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B2" w:rsidRDefault="00D43EB2"/>
    <w:p w:rsidR="00D43EB2" w:rsidRDefault="00D43EB2"/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D43EB2" w:rsidTr="006C4246">
        <w:trPr>
          <w:trHeight w:val="1415"/>
        </w:trPr>
        <w:tc>
          <w:tcPr>
            <w:tcW w:w="10260" w:type="dxa"/>
          </w:tcPr>
          <w:p w:rsidR="00D43EB2" w:rsidRDefault="00D43EB2"/>
          <w:p w:rsidR="00D43EB2" w:rsidRPr="00D43EB2" w:rsidRDefault="00D43EB2" w:rsidP="00D43EB2">
            <w:pPr>
              <w:tabs>
                <w:tab w:val="left" w:pos="720"/>
                <w:tab w:val="left" w:pos="900"/>
              </w:tabs>
              <w:jc w:val="center"/>
              <w:rPr>
                <w:rStyle w:val="docbody1"/>
                <w:b/>
                <w:sz w:val="28"/>
                <w:szCs w:val="28"/>
                <w:lang w:val="ro-RO"/>
              </w:rPr>
            </w:pPr>
            <w:r w:rsidRPr="00D43EB2">
              <w:rPr>
                <w:rStyle w:val="docbody1"/>
                <w:sz w:val="28"/>
                <w:szCs w:val="28"/>
                <w:lang w:val="ro-RO"/>
              </w:rPr>
              <w:t>Notă informativă</w:t>
            </w:r>
          </w:p>
          <w:p w:rsidR="00D43EB2" w:rsidRPr="00D43EB2" w:rsidRDefault="00D43EB2" w:rsidP="00D43EB2">
            <w:pPr>
              <w:jc w:val="center"/>
              <w:rPr>
                <w:rStyle w:val="docheader1"/>
                <w:sz w:val="28"/>
                <w:szCs w:val="28"/>
                <w:lang w:val="ro-RO"/>
              </w:rPr>
            </w:pPr>
            <w:r w:rsidRPr="00D43EB2">
              <w:rPr>
                <w:rStyle w:val="docbody1"/>
                <w:sz w:val="28"/>
                <w:szCs w:val="28"/>
                <w:lang w:val="ro-RO"/>
              </w:rPr>
              <w:t>la proiectul hotărârii Guvernului „</w:t>
            </w:r>
            <w:r w:rsidRPr="00885D60">
              <w:rPr>
                <w:rStyle w:val="docbody1"/>
                <w:sz w:val="28"/>
                <w:szCs w:val="28"/>
                <w:lang w:val="ro-RO"/>
              </w:rPr>
              <w:t>P</w:t>
            </w:r>
            <w:r w:rsidRPr="00885D60">
              <w:rPr>
                <w:rStyle w:val="docheader1"/>
                <w:b w:val="0"/>
                <w:sz w:val="28"/>
                <w:szCs w:val="28"/>
                <w:lang w:val="ro-RO"/>
              </w:rPr>
              <w:t>entru modificarea</w:t>
            </w:r>
          </w:p>
          <w:p w:rsidR="00D43EB2" w:rsidRDefault="00D43EB2" w:rsidP="00D43EB2">
            <w:pPr>
              <w:jc w:val="center"/>
            </w:pPr>
            <w:r w:rsidRPr="00D43EB2">
              <w:rPr>
                <w:rStyle w:val="docbody1"/>
                <w:sz w:val="28"/>
                <w:szCs w:val="28"/>
                <w:lang w:val="ro-RO"/>
              </w:rPr>
              <w:t xml:space="preserve">Hotărârii Guvernului nr. </w:t>
            </w:r>
            <w:r w:rsidRPr="00D43EB2">
              <w:rPr>
                <w:b/>
                <w:color w:val="000000"/>
                <w:sz w:val="28"/>
                <w:szCs w:val="28"/>
                <w:lang w:val="ro-RO"/>
              </w:rPr>
              <w:t>983</w:t>
            </w:r>
            <w:r w:rsidRPr="00D43EB2">
              <w:rPr>
                <w:rStyle w:val="docbody1"/>
                <w:sz w:val="28"/>
                <w:szCs w:val="28"/>
                <w:lang w:val="ro-RO"/>
              </w:rPr>
              <w:t xml:space="preserve"> din 22 decembrie </w:t>
            </w:r>
            <w:r w:rsidRPr="00D43EB2">
              <w:rPr>
                <w:b/>
                <w:color w:val="000000"/>
                <w:sz w:val="28"/>
                <w:szCs w:val="28"/>
                <w:lang w:val="ro-RO"/>
              </w:rPr>
              <w:t>2012”</w:t>
            </w:r>
          </w:p>
        </w:tc>
      </w:tr>
    </w:tbl>
    <w:p w:rsidR="00D43EB2" w:rsidRDefault="00D43EB2"/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252"/>
        <w:gridCol w:w="10008"/>
      </w:tblGrid>
      <w:tr w:rsidR="00D43EB2" w:rsidTr="006C4246">
        <w:tc>
          <w:tcPr>
            <w:tcW w:w="10260" w:type="dxa"/>
            <w:gridSpan w:val="2"/>
          </w:tcPr>
          <w:p w:rsidR="00D43EB2" w:rsidRPr="00D43EB2" w:rsidRDefault="00D43EB2" w:rsidP="00D43E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43EB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Condițiile ca</w:t>
            </w:r>
            <w:r w:rsidR="006D050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</w:t>
            </w:r>
            <w:bookmarkStart w:id="0" w:name="_GoBack"/>
            <w:bookmarkEnd w:id="0"/>
            <w:r w:rsidRPr="00D43EB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au impus elaborarea proiectului</w:t>
            </w:r>
          </w:p>
        </w:tc>
      </w:tr>
      <w:tr w:rsidR="00D43EB2" w:rsidRPr="001364D4" w:rsidTr="006C4246">
        <w:tc>
          <w:tcPr>
            <w:tcW w:w="10260" w:type="dxa"/>
            <w:gridSpan w:val="2"/>
          </w:tcPr>
          <w:p w:rsidR="001364D4" w:rsidRPr="0073562E" w:rsidRDefault="006C4246" w:rsidP="006C4246">
            <w:pPr>
              <w:pStyle w:val="ListParagraph"/>
              <w:tabs>
                <w:tab w:val="left" w:pos="851"/>
              </w:tabs>
              <w:spacing w:line="276" w:lineRule="auto"/>
              <w:ind w:left="72"/>
              <w:jc w:val="both"/>
              <w:rPr>
                <w:lang w:val="ro-RO"/>
              </w:rPr>
            </w:pPr>
            <w:r>
              <w:rPr>
                <w:rStyle w:val="docbody1"/>
                <w:sz w:val="28"/>
                <w:szCs w:val="28"/>
                <w:lang w:val="ro-RO"/>
              </w:rPr>
              <w:t xml:space="preserve">           </w:t>
            </w:r>
            <w:r w:rsidR="001364D4" w:rsidRPr="001364D4">
              <w:rPr>
                <w:rStyle w:val="docbody1"/>
                <w:sz w:val="28"/>
                <w:szCs w:val="28"/>
                <w:lang w:val="ro-RO"/>
              </w:rPr>
              <w:t>Proiectul Hotărârii Guvernului „</w:t>
            </w:r>
            <w:r w:rsidR="001364D4" w:rsidRPr="006C4246">
              <w:rPr>
                <w:rStyle w:val="docbody1"/>
                <w:sz w:val="28"/>
                <w:szCs w:val="28"/>
                <w:lang w:val="ro-RO"/>
              </w:rPr>
              <w:t>P</w:t>
            </w:r>
            <w:r w:rsidR="001364D4" w:rsidRPr="006C4246">
              <w:rPr>
                <w:rStyle w:val="docheader1"/>
                <w:b w:val="0"/>
                <w:sz w:val="28"/>
                <w:szCs w:val="28"/>
                <w:lang w:val="ro-RO"/>
              </w:rPr>
              <w:t>entru modificarea</w:t>
            </w:r>
            <w:r w:rsidR="001364D4" w:rsidRPr="001364D4">
              <w:rPr>
                <w:rStyle w:val="docheader1"/>
                <w:sz w:val="28"/>
                <w:szCs w:val="28"/>
                <w:lang w:val="ro-RO"/>
              </w:rPr>
              <w:t xml:space="preserve"> </w:t>
            </w:r>
            <w:r w:rsidR="001364D4" w:rsidRPr="001364D4">
              <w:rPr>
                <w:rStyle w:val="docbody1"/>
                <w:sz w:val="28"/>
                <w:szCs w:val="28"/>
                <w:lang w:val="ro-RO"/>
              </w:rPr>
              <w:t xml:space="preserve">Hotărârii Guvernului nr. </w:t>
            </w:r>
            <w:r w:rsidR="001364D4" w:rsidRPr="001364D4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983</w:t>
            </w:r>
            <w:r w:rsidR="001364D4" w:rsidRPr="001364D4">
              <w:rPr>
                <w:rStyle w:val="docbody1"/>
                <w:sz w:val="28"/>
                <w:szCs w:val="28"/>
                <w:lang w:val="ro-RO"/>
              </w:rPr>
              <w:t xml:space="preserve"> din 22 decembrie </w:t>
            </w:r>
            <w:r w:rsidR="001364D4" w:rsidRPr="001364D4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2012” a fost elaborat în temeiul prevederilor art. 145 din Codul Educației al Republicii Moldova nr. 152 din 17 iulie 2014, precum și în scopul realizării unei analize a costurilor reale a serviciilor educaționale alocate de la bugetul de stat pentru pregătirea cadrelor de specialitate în instituțiile de învățământ superior. </w:t>
            </w:r>
            <w:r w:rsidR="001364D4" w:rsidRPr="00136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Având în vedere: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Peisajul instituțional actual al învățământului superior din Republica Moldova, în particular numărul mult prea mare al universităților de stat (așa cum reiese inclusiv, din analizele experților internaționali)</w:t>
            </w:r>
            <w:r w:rsidR="00A934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descreșterea drastică a numărului de studenți</w:t>
            </w:r>
            <w:r w:rsidRPr="00136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limitat</w:t>
            </w:r>
            <w:proofErr w:type="spellEnd"/>
            <w:proofErr w:type="gram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alocat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învățământului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superior din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Republica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Moldova.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Faptul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orice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modificare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modului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finanțare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trebuie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proofErr w:type="gram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aibă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obiectiv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creșterea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calității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învățământului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superior.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Avînd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vedere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Agenția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Națională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Asigurare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Calității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Învățământul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Profesional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(ANACIP)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nu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reușit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acrediteze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toate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programele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învățămîntul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superior (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doar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20% din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acestea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începînd</w:t>
            </w:r>
            <w:r w:rsidR="00A934F4">
              <w:rPr>
                <w:rFonts w:ascii="Times New Roman" w:hAnsi="Times New Roman" w:cs="Times New Roman"/>
                <w:sz w:val="28"/>
                <w:szCs w:val="28"/>
              </w:rPr>
              <w:t>u-și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activitățile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sale la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sfîrșitul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anului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2015;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Lipsa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Metodologii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aprobate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ANACIP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ierarhizarea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instituțiilor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învățământ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superior (art.83 (3),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Codul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educației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bazată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indicatori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performanță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care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servi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stabilirea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numărului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bugetare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finanțare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stat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fiecare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program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universitate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precum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4F4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alocarea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fondurilor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bugetare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acțivități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cercetare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dezvoltare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inovare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creație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artisitică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3EB2" w:rsidRPr="001364D4" w:rsidRDefault="00D43EB2" w:rsidP="00D43EB2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Lipsa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expertize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resurselor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financiare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contractarea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expertize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plan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internațional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EB2" w:rsidRPr="001364D4" w:rsidRDefault="001364D4" w:rsidP="006C4246">
            <w:pPr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eform</w:t>
            </w: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întîrziată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cercetării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care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urmează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spor</w:t>
            </w: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ească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cercetare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universități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, el</w:t>
            </w: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ement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esențial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finanțare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toate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cele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menționate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denotă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Educației,Culturii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>Cercetării</w:t>
            </w:r>
            <w:proofErr w:type="spellEnd"/>
            <w:r w:rsidR="00D43EB2"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est</w:t>
            </w:r>
            <w:r w:rsidR="006C4246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căutarea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unei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formule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de</w:t>
            </w:r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finanțare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învăță</w:t>
            </w:r>
            <w:r w:rsidR="00A8616F">
              <w:rPr>
                <w:rFonts w:ascii="Times New Roman" w:hAnsi="Times New Roman" w:cs="Times New Roman"/>
                <w:sz w:val="28"/>
                <w:szCs w:val="28"/>
              </w:rPr>
              <w:t>mântul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superior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bazată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indicatori</w:t>
            </w:r>
            <w:proofErr w:type="spellEnd"/>
            <w:r w:rsidR="00A8616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A8616F">
              <w:rPr>
                <w:rFonts w:ascii="Times New Roman" w:hAnsi="Times New Roman" w:cs="Times New Roman"/>
                <w:sz w:val="28"/>
                <w:szCs w:val="28"/>
              </w:rPr>
              <w:t>performanță</w:t>
            </w:r>
            <w:proofErr w:type="spellEnd"/>
            <w:r w:rsidR="00A93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3EB2" w:rsidRPr="001364D4" w:rsidTr="006C4246">
        <w:trPr>
          <w:gridBefore w:val="1"/>
          <w:wBefore w:w="252" w:type="dxa"/>
        </w:trPr>
        <w:tc>
          <w:tcPr>
            <w:tcW w:w="10008" w:type="dxa"/>
          </w:tcPr>
          <w:p w:rsidR="00D43EB2" w:rsidRPr="001364D4" w:rsidRDefault="00D43EB2" w:rsidP="00D43EB2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364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3.Esența proiectului</w:t>
            </w:r>
          </w:p>
        </w:tc>
      </w:tr>
      <w:tr w:rsidR="00D43EB2" w:rsidRPr="001364D4" w:rsidTr="006C4246">
        <w:trPr>
          <w:gridBefore w:val="1"/>
          <w:wBefore w:w="252" w:type="dxa"/>
        </w:trPr>
        <w:tc>
          <w:tcPr>
            <w:tcW w:w="10008" w:type="dxa"/>
          </w:tcPr>
          <w:p w:rsidR="008A7D1B" w:rsidRDefault="006C4246" w:rsidP="006C424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Finanțarea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bugetară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gramStart"/>
            <w:r w:rsidR="008A7D1B">
              <w:rPr>
                <w:sz w:val="28"/>
                <w:szCs w:val="28"/>
              </w:rPr>
              <w:t>a</w:t>
            </w:r>
            <w:proofErr w:type="gram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învățământului</w:t>
            </w:r>
            <w:proofErr w:type="spellEnd"/>
            <w:r w:rsidR="008A7D1B">
              <w:rPr>
                <w:sz w:val="28"/>
                <w:szCs w:val="28"/>
              </w:rPr>
              <w:t xml:space="preserve"> superior </w:t>
            </w:r>
            <w:proofErr w:type="spellStart"/>
            <w:r w:rsidR="008A7D1B">
              <w:rPr>
                <w:sz w:val="28"/>
                <w:szCs w:val="28"/>
              </w:rPr>
              <w:t>urmează</w:t>
            </w:r>
            <w:proofErr w:type="spellEnd"/>
            <w:r w:rsidR="008A7D1B">
              <w:rPr>
                <w:sz w:val="28"/>
                <w:szCs w:val="28"/>
              </w:rPr>
              <w:t xml:space="preserve"> a se face </w:t>
            </w:r>
            <w:proofErr w:type="spellStart"/>
            <w:r w:rsidR="008A7D1B">
              <w:rPr>
                <w:sz w:val="28"/>
                <w:szCs w:val="28"/>
              </w:rPr>
              <w:t>prin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finanțare</w:t>
            </w:r>
            <w:proofErr w:type="spellEnd"/>
            <w:r w:rsidR="008A7D1B">
              <w:rPr>
                <w:sz w:val="28"/>
                <w:szCs w:val="28"/>
              </w:rPr>
              <w:t xml:space="preserve">-standard: cost standard per student </w:t>
            </w:r>
            <w:proofErr w:type="spellStart"/>
            <w:r w:rsidR="008A7D1B">
              <w:rPr>
                <w:sz w:val="28"/>
                <w:szCs w:val="28"/>
              </w:rPr>
              <w:t>și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coeficient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ajustare</w:t>
            </w:r>
            <w:proofErr w:type="spellEnd"/>
            <w:r w:rsidR="008A7D1B">
              <w:rPr>
                <w:sz w:val="28"/>
                <w:szCs w:val="28"/>
              </w:rPr>
              <w:t xml:space="preserve">, </w:t>
            </w:r>
            <w:proofErr w:type="spellStart"/>
            <w:r w:rsidR="008A7D1B">
              <w:rPr>
                <w:sz w:val="28"/>
                <w:szCs w:val="28"/>
              </w:rPr>
              <w:t>prevedere</w:t>
            </w:r>
            <w:proofErr w:type="spellEnd"/>
            <w:r w:rsidR="008A7D1B">
              <w:rPr>
                <w:sz w:val="28"/>
                <w:szCs w:val="28"/>
              </w:rPr>
              <w:t xml:space="preserve"> care </w:t>
            </w:r>
            <w:proofErr w:type="spellStart"/>
            <w:r w:rsidR="008A7D1B">
              <w:rPr>
                <w:sz w:val="28"/>
                <w:szCs w:val="28"/>
              </w:rPr>
              <w:t>urmează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să</w:t>
            </w:r>
            <w:proofErr w:type="spellEnd"/>
            <w:r w:rsidR="008A7D1B">
              <w:rPr>
                <w:sz w:val="28"/>
                <w:szCs w:val="28"/>
              </w:rPr>
              <w:t xml:space="preserve"> fie </w:t>
            </w:r>
            <w:proofErr w:type="spellStart"/>
            <w:r w:rsidR="008A7D1B">
              <w:rPr>
                <w:sz w:val="28"/>
                <w:szCs w:val="28"/>
              </w:rPr>
              <w:t>implementată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după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aprobarea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unei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metodologii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finantare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bazată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pe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indicatori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performanță</w:t>
            </w:r>
            <w:proofErr w:type="spellEnd"/>
            <w:r w:rsidR="008A7D1B">
              <w:rPr>
                <w:sz w:val="28"/>
                <w:szCs w:val="28"/>
              </w:rPr>
              <w:t xml:space="preserve">, </w:t>
            </w:r>
            <w:proofErr w:type="spellStart"/>
            <w:r w:rsidR="008A7D1B">
              <w:rPr>
                <w:sz w:val="28"/>
                <w:szCs w:val="28"/>
              </w:rPr>
              <w:t>atât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pe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linia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cercetare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și</w:t>
            </w:r>
            <w:proofErr w:type="spellEnd"/>
            <w:r w:rsidR="008A7D1B">
              <w:rPr>
                <w:sz w:val="28"/>
                <w:szCs w:val="28"/>
              </w:rPr>
              <w:t xml:space="preserve"> transfer de </w:t>
            </w:r>
            <w:proofErr w:type="spellStart"/>
            <w:r w:rsidR="008A7D1B">
              <w:rPr>
                <w:sz w:val="28"/>
                <w:szCs w:val="28"/>
              </w:rPr>
              <w:t>cunoștințe</w:t>
            </w:r>
            <w:proofErr w:type="spellEnd"/>
            <w:r w:rsidR="008A7D1B">
              <w:rPr>
                <w:sz w:val="28"/>
                <w:szCs w:val="28"/>
              </w:rPr>
              <w:t xml:space="preserve">, </w:t>
            </w:r>
            <w:proofErr w:type="spellStart"/>
            <w:r w:rsidR="008A7D1B">
              <w:rPr>
                <w:sz w:val="28"/>
                <w:szCs w:val="28"/>
              </w:rPr>
              <w:t>cât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și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pe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linia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predare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și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învățare</w:t>
            </w:r>
            <w:proofErr w:type="spellEnd"/>
            <w:r w:rsidR="008A7D1B">
              <w:rPr>
                <w:sz w:val="28"/>
                <w:szCs w:val="28"/>
              </w:rPr>
              <w:t xml:space="preserve">. La moment </w:t>
            </w:r>
            <w:proofErr w:type="spellStart"/>
            <w:r w:rsidR="008A7D1B">
              <w:rPr>
                <w:sz w:val="28"/>
                <w:szCs w:val="28"/>
              </w:rPr>
              <w:t>există</w:t>
            </w:r>
            <w:proofErr w:type="spellEnd"/>
            <w:r w:rsidR="008A7D1B">
              <w:rPr>
                <w:sz w:val="28"/>
                <w:szCs w:val="28"/>
              </w:rPr>
              <w:t xml:space="preserve"> un </w:t>
            </w:r>
            <w:proofErr w:type="spellStart"/>
            <w:r w:rsidR="008A7D1B">
              <w:rPr>
                <w:sz w:val="28"/>
                <w:szCs w:val="28"/>
              </w:rPr>
              <w:t>proiect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finanțare</w:t>
            </w:r>
            <w:proofErr w:type="spellEnd"/>
            <w:r w:rsidR="008A7D1B">
              <w:rPr>
                <w:sz w:val="28"/>
                <w:szCs w:val="28"/>
              </w:rPr>
              <w:t xml:space="preserve"> a </w:t>
            </w:r>
            <w:proofErr w:type="spellStart"/>
            <w:r w:rsidR="008A7D1B">
              <w:rPr>
                <w:sz w:val="28"/>
                <w:szCs w:val="28"/>
              </w:rPr>
              <w:t>învățământului</w:t>
            </w:r>
            <w:proofErr w:type="spellEnd"/>
            <w:r w:rsidR="008A7D1B">
              <w:rPr>
                <w:sz w:val="28"/>
                <w:szCs w:val="28"/>
              </w:rPr>
              <w:t xml:space="preserve"> superior, </w:t>
            </w:r>
            <w:proofErr w:type="spellStart"/>
            <w:r w:rsidR="008A7D1B">
              <w:rPr>
                <w:sz w:val="28"/>
                <w:szCs w:val="28"/>
              </w:rPr>
              <w:t>elaborat</w:t>
            </w:r>
            <w:proofErr w:type="spellEnd"/>
            <w:r w:rsidR="008A7D1B">
              <w:rPr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sz w:val="28"/>
                <w:szCs w:val="28"/>
              </w:rPr>
              <w:t>experți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străini</w:t>
            </w:r>
            <w:proofErr w:type="spellEnd"/>
            <w:r w:rsidR="008A7D1B">
              <w:rPr>
                <w:sz w:val="28"/>
                <w:szCs w:val="28"/>
              </w:rPr>
              <w:t xml:space="preserve">, care </w:t>
            </w:r>
            <w:proofErr w:type="spellStart"/>
            <w:r w:rsidR="008A7D1B">
              <w:rPr>
                <w:sz w:val="28"/>
                <w:szCs w:val="28"/>
              </w:rPr>
              <w:t>urmează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să</w:t>
            </w:r>
            <w:proofErr w:type="spellEnd"/>
            <w:r w:rsidR="008A7D1B">
              <w:rPr>
                <w:sz w:val="28"/>
                <w:szCs w:val="28"/>
              </w:rPr>
              <w:t xml:space="preserve"> fie </w:t>
            </w:r>
            <w:proofErr w:type="spellStart"/>
            <w:r w:rsidR="008A7D1B">
              <w:rPr>
                <w:sz w:val="28"/>
                <w:szCs w:val="28"/>
              </w:rPr>
              <w:t>dezbătut</w:t>
            </w:r>
            <w:proofErr w:type="spellEnd"/>
            <w:r w:rsidR="008A7D1B">
              <w:rPr>
                <w:sz w:val="28"/>
                <w:szCs w:val="28"/>
              </w:rPr>
              <w:t xml:space="preserve"> public, </w:t>
            </w:r>
            <w:proofErr w:type="spellStart"/>
            <w:r w:rsidR="008A7D1B">
              <w:rPr>
                <w:sz w:val="28"/>
                <w:szCs w:val="28"/>
              </w:rPr>
              <w:t>ajustat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si</w:t>
            </w:r>
            <w:proofErr w:type="spellEnd"/>
            <w:r w:rsidR="008A7D1B">
              <w:rPr>
                <w:sz w:val="28"/>
                <w:szCs w:val="28"/>
              </w:rPr>
              <w:t xml:space="preserve"> pus </w:t>
            </w:r>
            <w:proofErr w:type="spellStart"/>
            <w:r w:rsidR="008A7D1B">
              <w:rPr>
                <w:sz w:val="28"/>
                <w:szCs w:val="28"/>
              </w:rPr>
              <w:t>în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aplicare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sz w:val="28"/>
                <w:szCs w:val="28"/>
              </w:rPr>
              <w:t>în</w:t>
            </w:r>
            <w:proofErr w:type="spellEnd"/>
            <w:r w:rsidR="008A7D1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A7D1B">
              <w:rPr>
                <w:sz w:val="28"/>
                <w:szCs w:val="28"/>
              </w:rPr>
              <w:t>următorii</w:t>
            </w:r>
            <w:proofErr w:type="spellEnd"/>
            <w:r w:rsidR="008A7D1B">
              <w:rPr>
                <w:sz w:val="28"/>
                <w:szCs w:val="28"/>
              </w:rPr>
              <w:t xml:space="preserve">  </w:t>
            </w:r>
            <w:proofErr w:type="spellStart"/>
            <w:r w:rsidR="008A7D1B">
              <w:rPr>
                <w:sz w:val="28"/>
                <w:szCs w:val="28"/>
              </w:rPr>
              <w:t>ani</w:t>
            </w:r>
            <w:proofErr w:type="spellEnd"/>
            <w:proofErr w:type="gramEnd"/>
            <w:r w:rsidR="008A7D1B">
              <w:rPr>
                <w:sz w:val="28"/>
                <w:szCs w:val="28"/>
              </w:rPr>
              <w:t>.</w:t>
            </w:r>
          </w:p>
          <w:p w:rsidR="00D43EB2" w:rsidRPr="001364D4" w:rsidRDefault="00D43EB2" w:rsidP="00D43E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defintivarea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proiectui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finanț</w:t>
            </w:r>
            <w:proofErr w:type="gram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 a</w:t>
            </w:r>
            <w:proofErr w:type="gram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învățământului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superior </w:t>
            </w:r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s-a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ținut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cont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rezultatele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TEMPUS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EUnAM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7D1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8A7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-au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adus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contribuția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experți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din Romania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cadrul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unui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TAIEX,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consultat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toate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universitățile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EB2" w:rsidRPr="001364D4" w:rsidRDefault="00D43EB2" w:rsidP="00D43E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asemenea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Educației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Culturii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Cercetării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consideră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orice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formulă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elaborată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pripit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sub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constrângerile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punctelor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1- 5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sus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duce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fapt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la o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redistribuire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sărăciei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risipire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resurselor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loc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ducă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obiectivul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generos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creșterii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calității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așa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cum se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intenționa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Codul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Educației</w:t>
            </w:r>
            <w:proofErr w:type="spellEnd"/>
            <w:r w:rsidR="00A93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EB2" w:rsidRPr="001364D4" w:rsidRDefault="00D43EB2" w:rsidP="008A7D1B">
            <w:pPr>
              <w:tabs>
                <w:tab w:val="left" w:pos="709"/>
              </w:tabs>
              <w:spacing w:line="276" w:lineRule="auto"/>
              <w:jc w:val="both"/>
              <w:rPr>
                <w:rStyle w:val="docbody1"/>
                <w:sz w:val="28"/>
                <w:szCs w:val="28"/>
                <w:lang w:val="ro-RO"/>
              </w:rPr>
            </w:pPr>
            <w:r w:rsidRPr="001364D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Având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vedere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elementele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obiective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sus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propunem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>modificarea</w:t>
            </w:r>
            <w:proofErr w:type="spellEnd"/>
            <w:r w:rsidRPr="001364D4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>otărârii respective, după cum urmează: la punctul 2 al hotărârii, sintagma ”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5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 xml:space="preserve"> ani financiari (2013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-2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>01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7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>)” și la punctul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 xml:space="preserve"> 21 din anexa nr. 1, sintagma ”5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 xml:space="preserve"> ani financiari (2013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-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 xml:space="preserve"> 201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7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>)” se substituie, respectiv, cu sintagma ”7 ani financiari (2013-201</w:t>
            </w:r>
            <w:r w:rsidR="00C61D85">
              <w:rPr>
                <w:rStyle w:val="docbody1"/>
                <w:sz w:val="28"/>
                <w:szCs w:val="28"/>
                <w:lang w:val="ro-RO"/>
              </w:rPr>
              <w:t>9</w:t>
            </w:r>
            <w:r w:rsidRPr="001364D4">
              <w:rPr>
                <w:rStyle w:val="docbody1"/>
                <w:sz w:val="28"/>
                <w:szCs w:val="28"/>
                <w:lang w:val="ro-RO"/>
              </w:rPr>
              <w:t>)”.</w:t>
            </w:r>
          </w:p>
          <w:p w:rsidR="00D43EB2" w:rsidRPr="001364D4" w:rsidRDefault="00D43EB2" w:rsidP="006C4246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A3782" w:rsidRPr="00D43EB2" w:rsidTr="006C4246">
        <w:trPr>
          <w:gridBefore w:val="1"/>
          <w:wBefore w:w="252" w:type="dxa"/>
        </w:trPr>
        <w:tc>
          <w:tcPr>
            <w:tcW w:w="10008" w:type="dxa"/>
          </w:tcPr>
          <w:p w:rsidR="00DA3782" w:rsidRPr="00DA3782" w:rsidRDefault="00DA3782" w:rsidP="00DA378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Costul implementării</w:t>
            </w:r>
          </w:p>
        </w:tc>
      </w:tr>
      <w:tr w:rsidR="00DA3782" w:rsidRPr="001364D4" w:rsidTr="006C4246">
        <w:trPr>
          <w:gridBefore w:val="1"/>
          <w:wBefore w:w="252" w:type="dxa"/>
        </w:trPr>
        <w:tc>
          <w:tcPr>
            <w:tcW w:w="10008" w:type="dxa"/>
          </w:tcPr>
          <w:p w:rsidR="00DA3782" w:rsidRPr="00DA3782" w:rsidRDefault="00DA3782" w:rsidP="00A934F4">
            <w:pPr>
              <w:pStyle w:val="ListParagraph"/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prezentei hotăr</w:t>
            </w:r>
            <w:r w:rsidRPr="00DA378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 nu necesită cheltuiel</w:t>
            </w:r>
            <w:r w:rsidR="00A934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financiare suplimentare și se </w:t>
            </w: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încadrează în limita alocațiilor bugetare pentru an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2017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-2019</w:t>
            </w: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DA3782" w:rsidRPr="001364D4" w:rsidRDefault="00DA3782" w:rsidP="00DA3782">
            <w:pPr>
              <w:pStyle w:val="ListParagraph"/>
              <w:tabs>
                <w:tab w:val="left" w:pos="851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A3782" w:rsidRPr="00D43EB2" w:rsidTr="006C4246">
        <w:trPr>
          <w:gridBefore w:val="1"/>
          <w:wBefore w:w="252" w:type="dxa"/>
        </w:trPr>
        <w:tc>
          <w:tcPr>
            <w:tcW w:w="10008" w:type="dxa"/>
          </w:tcPr>
          <w:p w:rsidR="00DA3782" w:rsidRPr="00DA3782" w:rsidRDefault="00DA3782" w:rsidP="008034E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Impactul implementării</w:t>
            </w:r>
          </w:p>
        </w:tc>
      </w:tr>
      <w:tr w:rsidR="00DA3782" w:rsidRPr="001364D4" w:rsidTr="006C4246">
        <w:trPr>
          <w:gridBefore w:val="1"/>
          <w:wBefore w:w="252" w:type="dxa"/>
        </w:trPr>
        <w:tc>
          <w:tcPr>
            <w:tcW w:w="10008" w:type="dxa"/>
          </w:tcPr>
          <w:p w:rsidR="00DA3782" w:rsidRPr="00DA3782" w:rsidRDefault="00DA3782" w:rsidP="006C4246">
            <w:pPr>
              <w:pStyle w:val="ListParagraph"/>
              <w:tabs>
                <w:tab w:val="left" w:pos="990"/>
              </w:tabs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37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hotărâre respectiv va permite:</w:t>
            </w:r>
          </w:p>
          <w:p w:rsidR="00DA3782" w:rsidRPr="00DA3782" w:rsidRDefault="00DA3782" w:rsidP="006C4246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DA3782">
              <w:rPr>
                <w:rStyle w:val="docbody1"/>
                <w:sz w:val="28"/>
                <w:szCs w:val="28"/>
                <w:lang w:val="ro-RO"/>
              </w:rPr>
              <w:t xml:space="preserve">- crearea unui grup de specialiști competenți care vor </w:t>
            </w:r>
            <w:r w:rsidR="00A934F4">
              <w:rPr>
                <w:rStyle w:val="docbody1"/>
                <w:sz w:val="28"/>
                <w:szCs w:val="28"/>
                <w:lang w:val="ro-RO"/>
              </w:rPr>
              <w:t xml:space="preserve">definitiva și pilota </w:t>
            </w:r>
            <w:r w:rsidRPr="00DA3782">
              <w:rPr>
                <w:rStyle w:val="docbody1"/>
                <w:sz w:val="28"/>
                <w:szCs w:val="28"/>
                <w:lang w:val="ro-RO"/>
              </w:rPr>
              <w:t xml:space="preserve"> un mecanism bine determinat adus </w:t>
            </w:r>
            <w:r w:rsidRPr="00DA3782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 concordanță cu politicile și strategiile naționale ale dezvoltării învățământului superior și postuniversitar;</w:t>
            </w:r>
          </w:p>
          <w:p w:rsidR="00DA3782" w:rsidRPr="00DA3782" w:rsidRDefault="00DA3782" w:rsidP="006C4246">
            <w:pPr>
              <w:spacing w:line="276" w:lineRule="auto"/>
              <w:ind w:firstLine="426"/>
              <w:jc w:val="both"/>
              <w:rPr>
                <w:rStyle w:val="docbody1"/>
                <w:sz w:val="28"/>
                <w:szCs w:val="28"/>
                <w:lang w:val="ro-RO"/>
              </w:rPr>
            </w:pPr>
            <w:r w:rsidRPr="00DA3782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- </w:t>
            </w:r>
            <w:r w:rsidRPr="00DA3782">
              <w:rPr>
                <w:rStyle w:val="docbody1"/>
                <w:sz w:val="28"/>
                <w:szCs w:val="28"/>
                <w:lang w:val="ro-RO"/>
              </w:rPr>
              <w:t>asigurarea unui management mai eficient, precum și eficacitatea utilizării resurselor</w:t>
            </w:r>
            <w:r w:rsidR="006C4246">
              <w:rPr>
                <w:rStyle w:val="docbody1"/>
                <w:sz w:val="28"/>
                <w:szCs w:val="28"/>
                <w:lang w:val="ro-RO"/>
              </w:rPr>
              <w:t xml:space="preserve"> financiare</w:t>
            </w:r>
            <w:r w:rsidRPr="00DA3782">
              <w:rPr>
                <w:rStyle w:val="docbody1"/>
                <w:sz w:val="28"/>
                <w:szCs w:val="28"/>
                <w:lang w:val="ro-RO"/>
              </w:rPr>
              <w:t>.</w:t>
            </w:r>
          </w:p>
          <w:p w:rsidR="00DA3782" w:rsidRPr="001364D4" w:rsidRDefault="00DA3782" w:rsidP="008034E4">
            <w:pPr>
              <w:pStyle w:val="ListParagraph"/>
              <w:tabs>
                <w:tab w:val="left" w:pos="851"/>
              </w:tabs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A3782" w:rsidRPr="0073562E" w:rsidRDefault="00DA3782" w:rsidP="00DA3782">
      <w:pPr>
        <w:ind w:firstLine="708"/>
        <w:jc w:val="both"/>
        <w:rPr>
          <w:rStyle w:val="docbody1"/>
          <w:lang w:val="ro-RO"/>
        </w:rPr>
      </w:pPr>
    </w:p>
    <w:p w:rsidR="00DA3782" w:rsidRPr="001364D4" w:rsidRDefault="00DA3782" w:rsidP="006C4246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782">
        <w:rPr>
          <w:rStyle w:val="docbody1"/>
          <w:b/>
          <w:sz w:val="28"/>
          <w:szCs w:val="28"/>
          <w:lang w:val="ro-RO"/>
        </w:rPr>
        <w:t xml:space="preserve">      Ministru          </w:t>
      </w:r>
      <w:r w:rsidRPr="00DA3782">
        <w:rPr>
          <w:rStyle w:val="docbody1"/>
          <w:b/>
          <w:sz w:val="28"/>
          <w:szCs w:val="28"/>
          <w:lang w:val="ro-RO"/>
        </w:rPr>
        <w:tab/>
      </w:r>
      <w:r w:rsidRPr="00DA3782">
        <w:rPr>
          <w:rStyle w:val="docbody1"/>
          <w:b/>
          <w:sz w:val="28"/>
          <w:szCs w:val="28"/>
          <w:lang w:val="ro-RO"/>
        </w:rPr>
        <w:tab/>
      </w:r>
      <w:r w:rsidRPr="00DA3782">
        <w:rPr>
          <w:rStyle w:val="docbody1"/>
          <w:b/>
          <w:sz w:val="28"/>
          <w:szCs w:val="28"/>
          <w:lang w:val="ro-RO"/>
        </w:rPr>
        <w:tab/>
      </w:r>
      <w:r w:rsidRPr="00DA3782">
        <w:rPr>
          <w:rStyle w:val="docbody1"/>
          <w:b/>
          <w:sz w:val="28"/>
          <w:szCs w:val="28"/>
          <w:lang w:val="ro-RO"/>
        </w:rPr>
        <w:tab/>
        <w:t>Monica BABUC</w:t>
      </w:r>
    </w:p>
    <w:sectPr w:rsidR="00DA3782" w:rsidRPr="001364D4" w:rsidSect="00C714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E3465"/>
    <w:multiLevelType w:val="hybridMultilevel"/>
    <w:tmpl w:val="B6AA33B8"/>
    <w:lvl w:ilvl="0" w:tplc="1F462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E51673"/>
    <w:multiLevelType w:val="hybridMultilevel"/>
    <w:tmpl w:val="552E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048A"/>
    <w:multiLevelType w:val="hybridMultilevel"/>
    <w:tmpl w:val="9F728950"/>
    <w:lvl w:ilvl="0" w:tplc="1D3E19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62F"/>
    <w:multiLevelType w:val="hybridMultilevel"/>
    <w:tmpl w:val="9F728950"/>
    <w:lvl w:ilvl="0" w:tplc="1D3E19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2F8E"/>
    <w:multiLevelType w:val="hybridMultilevel"/>
    <w:tmpl w:val="9F728950"/>
    <w:lvl w:ilvl="0" w:tplc="1D3E19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387C"/>
    <w:multiLevelType w:val="hybridMultilevel"/>
    <w:tmpl w:val="F60248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3EB2"/>
    <w:rsid w:val="001364D4"/>
    <w:rsid w:val="006C4246"/>
    <w:rsid w:val="006D0500"/>
    <w:rsid w:val="00885D60"/>
    <w:rsid w:val="008A7D1B"/>
    <w:rsid w:val="00A8616F"/>
    <w:rsid w:val="00A934F4"/>
    <w:rsid w:val="00AE6E1F"/>
    <w:rsid w:val="00B03C12"/>
    <w:rsid w:val="00C61D85"/>
    <w:rsid w:val="00C7144F"/>
    <w:rsid w:val="00D43EB2"/>
    <w:rsid w:val="00D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836A-CDF0-4488-AE2B-98F72728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rsid w:val="00D43EB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1">
    <w:name w:val="doc_body1"/>
    <w:rsid w:val="00D43EB2"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3E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Nadejda Velisco</cp:lastModifiedBy>
  <cp:revision>9</cp:revision>
  <cp:lastPrinted>2017-08-25T06:13:00Z</cp:lastPrinted>
  <dcterms:created xsi:type="dcterms:W3CDTF">2017-08-22T06:01:00Z</dcterms:created>
  <dcterms:modified xsi:type="dcterms:W3CDTF">2017-08-25T06:14:00Z</dcterms:modified>
</cp:coreProperties>
</file>