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D6" w:rsidRPr="0067202C" w:rsidRDefault="00FD64D6" w:rsidP="00FD64D6">
      <w:pPr>
        <w:spacing w:after="0" w:line="256" w:lineRule="auto"/>
        <w:ind w:left="-720"/>
        <w:jc w:val="center"/>
        <w:rPr>
          <w:rFonts w:ascii="Times New Roman" w:eastAsia="Calibri" w:hAnsi="Times New Roman" w:cs="Times New Roman"/>
          <w:b/>
          <w:sz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>Notă de argumentare</w:t>
      </w:r>
    </w:p>
    <w:p w:rsidR="00FD64D6" w:rsidRDefault="00FD64D6" w:rsidP="00FD64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229D3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hotărîrii Guvernului cu privire la Cerinţele aplicabile germenilor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şi seminţelor destinate producţ</w:t>
      </w:r>
      <w:r w:rsidRPr="00B229D3">
        <w:rPr>
          <w:rFonts w:ascii="Times New Roman" w:eastAsia="Calibri" w:hAnsi="Times New Roman" w:cs="Times New Roman"/>
          <w:b/>
          <w:sz w:val="28"/>
          <w:szCs w:val="28"/>
          <w:lang w:val="ro-RO"/>
        </w:rPr>
        <w:t>iei de germeni</w:t>
      </w:r>
    </w:p>
    <w:p w:rsidR="00FD64D6" w:rsidRPr="00B229D3" w:rsidRDefault="00FD64D6" w:rsidP="00FD64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FD64D6" w:rsidRPr="0067202C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Prezentul proiect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„Cerinţe aplicabile germenilor şi seminţelor destinate producţ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iei de germeni”, este elaborat în conformitate cu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prevederile anexei nr. 2 a 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Planul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ui n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aţional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acţiuni pentru implementarea Acordului de Asociere Republica Moldova-Uniunea Europeană în perioada 2017-2019, aprobat prin Hotărîrea Guvernului nr. 1472 din 30.12.2016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</w:p>
    <w:p w:rsidR="00FD64D6" w:rsidRPr="0067202C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Proiectul prenotat are drept scop elaborarea </w:t>
      </w:r>
      <w:r w:rsidRPr="0030033E">
        <w:rPr>
          <w:rFonts w:ascii="Times New Roman" w:eastAsia="Calibri" w:hAnsi="Times New Roman" w:cs="Times New Roman"/>
          <w:sz w:val="28"/>
          <w:szCs w:val="28"/>
          <w:lang w:val="ro-RO"/>
        </w:rPr>
        <w:t>şi armonizarea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eficientă a acquis-ului comunitar prin asigurarea unei funcţionări corecte a cerinţelor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aplicabile germenilor şi seminţelor destinate producţiei de germeni, 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obligatorii tuturor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operatorilor 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care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produc germeni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Necesitatea implementării unui astfel de sistem se datorează garantării corectitudinii </w:t>
      </w:r>
      <w:r w:rsidRPr="002D2CF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operaţiunilor de import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UE </w:t>
      </w:r>
      <w:r w:rsidRPr="002D2CF1">
        <w:rPr>
          <w:rFonts w:ascii="Times New Roman" w:eastAsia="Calibri" w:hAnsi="Times New Roman" w:cs="Times New Roman"/>
          <w:sz w:val="28"/>
          <w:szCs w:val="28"/>
          <w:lang w:val="ro-RO"/>
        </w:rPr>
        <w:t>în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conformitate cu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cerinţele statelor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membre ale Uniunii Europene.</w:t>
      </w:r>
    </w:p>
    <w:p w:rsidR="00FD64D6" w:rsidRPr="0067202C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Identificarea cerinţelor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aplicabile germenilor şi seminţelor destinate producţiei de germeni 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sunt transpuse din Regulamentul (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UE) Nr. 208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/20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 al Comisiei din 11martie 2013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privind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cerinţele în materie de trasabilitate aplicabile germenilor şi seminţelor destinate producţiei de germeni,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Regulamentul (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U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E) Nr.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210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/20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 Comisiei din 1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1martie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privind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aprobarea unităţilor care produc germeni în conformitate cu Regulamentul (CE) Nr. 852/2004 al Parlamentului European şi al Consiliului şi Regulamentul (UE) Nr. 211/2013 al Comisiei din 11 martie 2013 privind cerinţele de certificare pentru importurile în Uniune de germeni şi seminţe pentru producţia de germeni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FD64D6" w:rsidRPr="0067202C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Prezentul proiect de hotărâre nu va implica cheltuieli financiare major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 din cadrul bugetului de stat. 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Toate aceste cheltuieli vor fi alocate în limita mijloacelor financiare aprobate în legea bugetară anuală.</w:t>
      </w:r>
    </w:p>
    <w:p w:rsidR="00FD64D6" w:rsidRPr="0067202C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La modul practic, unul din cei mai expliciţi indicatori ai progresului obţinuţi de R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epublica 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oldova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calea spre integrarea în UE este volumul actelor naţionale calitative, care au transpus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prevederile 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legislaţiei UE şi dovezile elocvente de implementare practică efectivă a acestora. </w:t>
      </w:r>
    </w:p>
    <w:p w:rsidR="00FD64D6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>În acest context, considerăm necesară exami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narea şi aprobarea proiectului h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otărârii Guvernului „Cerinţe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aplicabile germenilor şi seminţelor destinate producţiei de germeni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”, fiind unul din actele înaintate de UE spre armonizare în legislaţia naţională, care vor stabili liniile directoare de import,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cerinţe de igienă pentru unităţile care produc germeni, cerinţe în materie de trasabilitate, cerinţe în materie de trasabilitate aplicabile seminţelor şi germenilor importaţi, contribuind astfel la sporirea calităţii germenilor</w:t>
      </w:r>
      <w:r w:rsidRPr="0067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prin crearea conexiunilor dintre consumator – agent economic. </w:t>
      </w:r>
    </w:p>
    <w:p w:rsidR="00FD64D6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FD64D6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FD64D6" w:rsidRPr="00175C36" w:rsidRDefault="00FD64D6" w:rsidP="00FD64D6">
      <w:pPr>
        <w:spacing w:after="0" w:line="240" w:lineRule="auto"/>
        <w:ind w:left="-720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>Ministru                                                                  Vasile BÎTCA</w:t>
      </w:r>
    </w:p>
    <w:p w:rsidR="00FD64D6" w:rsidRDefault="00FD64D6" w:rsidP="00FD64D6">
      <w:pPr>
        <w:spacing w:after="0" w:line="256" w:lineRule="auto"/>
        <w:ind w:right="-57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FD64D6" w:rsidRDefault="00FD64D6" w:rsidP="00FD64D6">
      <w:pPr>
        <w:spacing w:after="0" w:line="256" w:lineRule="auto"/>
        <w:ind w:right="-57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FD64D6" w:rsidRPr="0067202C" w:rsidRDefault="00FD64D6" w:rsidP="00FD64D6">
      <w:pPr>
        <w:spacing w:after="0" w:line="256" w:lineRule="auto"/>
        <w:ind w:right="-57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FD64D6" w:rsidRDefault="00FD64D6" w:rsidP="00FD64D6">
      <w:pPr>
        <w:spacing w:after="0" w:line="256" w:lineRule="auto"/>
        <w:ind w:right="-57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FD64D6" w:rsidRPr="0067202C" w:rsidRDefault="00FD64D6" w:rsidP="00FD64D6">
      <w:pPr>
        <w:spacing w:after="0" w:line="256" w:lineRule="auto"/>
        <w:ind w:right="-57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FD64D6" w:rsidRPr="0067202C" w:rsidRDefault="00FD64D6" w:rsidP="00FD64D6">
      <w:pPr>
        <w:spacing w:after="0" w:line="256" w:lineRule="auto"/>
        <w:ind w:right="-57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67202C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Ex.: </w:t>
      </w:r>
      <w:r>
        <w:rPr>
          <w:rFonts w:ascii="Times New Roman" w:eastAsia="Calibri" w:hAnsi="Times New Roman" w:cs="Times New Roman"/>
          <w:sz w:val="16"/>
          <w:szCs w:val="16"/>
          <w:lang w:val="ro-RO"/>
        </w:rPr>
        <w:t>Mihai Mocanu</w:t>
      </w:r>
    </w:p>
    <w:p w:rsidR="00FD64D6" w:rsidRDefault="00FD64D6" w:rsidP="00FD64D6">
      <w:pPr>
        <w:spacing w:after="0" w:line="256" w:lineRule="auto"/>
        <w:ind w:right="-57"/>
        <w:rPr>
          <w:rFonts w:ascii="Times New Roman" w:eastAsia="Calibri" w:hAnsi="Times New Roman" w:cs="Times New Roman"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sz w:val="16"/>
          <w:szCs w:val="16"/>
          <w:lang w:val="ro-RO"/>
        </w:rPr>
        <w:t>tel. 022  210  610</w:t>
      </w:r>
      <w:bookmarkStart w:id="0" w:name="_GoBack"/>
      <w:bookmarkEnd w:id="0"/>
    </w:p>
    <w:sectPr w:rsidR="00FD64D6" w:rsidSect="005C781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4D6"/>
    <w:rsid w:val="00464584"/>
    <w:rsid w:val="00665FA8"/>
    <w:rsid w:val="00964041"/>
    <w:rsid w:val="00FD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Company>CIA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1</cp:revision>
  <dcterms:created xsi:type="dcterms:W3CDTF">2017-09-25T05:31:00Z</dcterms:created>
  <dcterms:modified xsi:type="dcterms:W3CDTF">2017-09-25T05:33:00Z</dcterms:modified>
</cp:coreProperties>
</file>