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50F" w:rsidRPr="00C26501" w:rsidRDefault="0001450F" w:rsidP="00461C89">
      <w:pPr>
        <w:jc w:val="center"/>
        <w:rPr>
          <w:b/>
          <w:sz w:val="25"/>
          <w:szCs w:val="25"/>
          <w:u w:val="single"/>
        </w:rPr>
      </w:pPr>
      <w:r w:rsidRPr="00C26501">
        <w:rPr>
          <w:b/>
          <w:sz w:val="25"/>
          <w:szCs w:val="25"/>
          <w:u w:val="single"/>
        </w:rPr>
        <w:t>N</w:t>
      </w:r>
      <w:r w:rsidR="001B1B74" w:rsidRPr="00C26501">
        <w:rPr>
          <w:b/>
          <w:sz w:val="25"/>
          <w:szCs w:val="25"/>
          <w:u w:val="single"/>
        </w:rPr>
        <w:t xml:space="preserve"> </w:t>
      </w:r>
      <w:r w:rsidRPr="00C26501">
        <w:rPr>
          <w:b/>
          <w:sz w:val="25"/>
          <w:szCs w:val="25"/>
          <w:u w:val="single"/>
        </w:rPr>
        <w:t>O</w:t>
      </w:r>
      <w:r w:rsidR="001B1B74" w:rsidRPr="00C26501">
        <w:rPr>
          <w:b/>
          <w:sz w:val="25"/>
          <w:szCs w:val="25"/>
          <w:u w:val="single"/>
        </w:rPr>
        <w:t xml:space="preserve"> </w:t>
      </w:r>
      <w:r w:rsidRPr="00C26501">
        <w:rPr>
          <w:b/>
          <w:sz w:val="25"/>
          <w:szCs w:val="25"/>
          <w:u w:val="single"/>
        </w:rPr>
        <w:t>T</w:t>
      </w:r>
      <w:r w:rsidR="001B1B74" w:rsidRPr="00C26501">
        <w:rPr>
          <w:b/>
          <w:sz w:val="25"/>
          <w:szCs w:val="25"/>
          <w:u w:val="single"/>
        </w:rPr>
        <w:t xml:space="preserve"> </w:t>
      </w:r>
      <w:r w:rsidRPr="00C26501">
        <w:rPr>
          <w:b/>
          <w:sz w:val="25"/>
          <w:szCs w:val="25"/>
          <w:u w:val="single"/>
        </w:rPr>
        <w:t>Ă  I</w:t>
      </w:r>
      <w:r w:rsidR="001B1B74" w:rsidRPr="00C26501">
        <w:rPr>
          <w:b/>
          <w:sz w:val="25"/>
          <w:szCs w:val="25"/>
          <w:u w:val="single"/>
        </w:rPr>
        <w:t xml:space="preserve"> </w:t>
      </w:r>
      <w:r w:rsidRPr="00C26501">
        <w:rPr>
          <w:b/>
          <w:sz w:val="25"/>
          <w:szCs w:val="25"/>
          <w:u w:val="single"/>
        </w:rPr>
        <w:t>N</w:t>
      </w:r>
      <w:r w:rsidR="001B1B74" w:rsidRPr="00C26501">
        <w:rPr>
          <w:b/>
          <w:sz w:val="25"/>
          <w:szCs w:val="25"/>
          <w:u w:val="single"/>
        </w:rPr>
        <w:t xml:space="preserve"> </w:t>
      </w:r>
      <w:r w:rsidRPr="00C26501">
        <w:rPr>
          <w:b/>
          <w:sz w:val="25"/>
          <w:szCs w:val="25"/>
          <w:u w:val="single"/>
        </w:rPr>
        <w:t>F</w:t>
      </w:r>
      <w:r w:rsidR="001B1B74" w:rsidRPr="00C26501">
        <w:rPr>
          <w:b/>
          <w:sz w:val="25"/>
          <w:szCs w:val="25"/>
          <w:u w:val="single"/>
        </w:rPr>
        <w:t xml:space="preserve"> </w:t>
      </w:r>
      <w:r w:rsidRPr="00C26501">
        <w:rPr>
          <w:b/>
          <w:sz w:val="25"/>
          <w:szCs w:val="25"/>
          <w:u w:val="single"/>
        </w:rPr>
        <w:t>O</w:t>
      </w:r>
      <w:r w:rsidR="001B1B74" w:rsidRPr="00C26501">
        <w:rPr>
          <w:b/>
          <w:sz w:val="25"/>
          <w:szCs w:val="25"/>
          <w:u w:val="single"/>
        </w:rPr>
        <w:t xml:space="preserve"> </w:t>
      </w:r>
      <w:r w:rsidRPr="00C26501">
        <w:rPr>
          <w:b/>
          <w:sz w:val="25"/>
          <w:szCs w:val="25"/>
          <w:u w:val="single"/>
        </w:rPr>
        <w:t>R</w:t>
      </w:r>
      <w:r w:rsidR="001B1B74" w:rsidRPr="00C26501">
        <w:rPr>
          <w:b/>
          <w:sz w:val="25"/>
          <w:szCs w:val="25"/>
          <w:u w:val="single"/>
        </w:rPr>
        <w:t xml:space="preserve"> </w:t>
      </w:r>
      <w:r w:rsidRPr="00C26501">
        <w:rPr>
          <w:b/>
          <w:sz w:val="25"/>
          <w:szCs w:val="25"/>
          <w:u w:val="single"/>
        </w:rPr>
        <w:t>M</w:t>
      </w:r>
      <w:r w:rsidR="001B1B74" w:rsidRPr="00C26501">
        <w:rPr>
          <w:b/>
          <w:sz w:val="25"/>
          <w:szCs w:val="25"/>
          <w:u w:val="single"/>
        </w:rPr>
        <w:t xml:space="preserve"> </w:t>
      </w:r>
      <w:r w:rsidRPr="00C26501">
        <w:rPr>
          <w:b/>
          <w:sz w:val="25"/>
          <w:szCs w:val="25"/>
          <w:u w:val="single"/>
        </w:rPr>
        <w:t>A</w:t>
      </w:r>
      <w:r w:rsidR="001B1B74" w:rsidRPr="00C26501">
        <w:rPr>
          <w:b/>
          <w:sz w:val="25"/>
          <w:szCs w:val="25"/>
          <w:u w:val="single"/>
        </w:rPr>
        <w:t xml:space="preserve"> </w:t>
      </w:r>
      <w:r w:rsidRPr="00C26501">
        <w:rPr>
          <w:b/>
          <w:sz w:val="25"/>
          <w:szCs w:val="25"/>
          <w:u w:val="single"/>
        </w:rPr>
        <w:t>T</w:t>
      </w:r>
      <w:r w:rsidR="001B1B74" w:rsidRPr="00C26501">
        <w:rPr>
          <w:b/>
          <w:sz w:val="25"/>
          <w:szCs w:val="25"/>
          <w:u w:val="single"/>
        </w:rPr>
        <w:t xml:space="preserve"> </w:t>
      </w:r>
      <w:r w:rsidRPr="00C26501">
        <w:rPr>
          <w:b/>
          <w:sz w:val="25"/>
          <w:szCs w:val="25"/>
          <w:u w:val="single"/>
        </w:rPr>
        <w:t>I</w:t>
      </w:r>
      <w:r w:rsidR="001B1B74" w:rsidRPr="00C26501">
        <w:rPr>
          <w:b/>
          <w:sz w:val="25"/>
          <w:szCs w:val="25"/>
          <w:u w:val="single"/>
        </w:rPr>
        <w:t xml:space="preserve"> </w:t>
      </w:r>
      <w:r w:rsidRPr="00C26501">
        <w:rPr>
          <w:b/>
          <w:sz w:val="25"/>
          <w:szCs w:val="25"/>
          <w:u w:val="single"/>
        </w:rPr>
        <w:t>V</w:t>
      </w:r>
      <w:r w:rsidR="001B1B74" w:rsidRPr="00C26501">
        <w:rPr>
          <w:b/>
          <w:sz w:val="25"/>
          <w:szCs w:val="25"/>
          <w:u w:val="single"/>
        </w:rPr>
        <w:t xml:space="preserve"> </w:t>
      </w:r>
      <w:r w:rsidRPr="00C26501">
        <w:rPr>
          <w:b/>
          <w:sz w:val="25"/>
          <w:szCs w:val="25"/>
          <w:u w:val="single"/>
        </w:rPr>
        <w:t>Ă</w:t>
      </w:r>
    </w:p>
    <w:p w:rsidR="002D3E8C" w:rsidRPr="00C26501" w:rsidRDefault="00107A7A" w:rsidP="00461C89">
      <w:pPr>
        <w:jc w:val="center"/>
        <w:rPr>
          <w:b/>
          <w:sz w:val="25"/>
          <w:szCs w:val="25"/>
        </w:rPr>
      </w:pPr>
      <w:r w:rsidRPr="00C26501">
        <w:rPr>
          <w:b/>
          <w:sz w:val="25"/>
          <w:szCs w:val="25"/>
        </w:rPr>
        <w:t>la proiectul Hotărârii Guvernului</w:t>
      </w:r>
      <w:r w:rsidR="001B1B74" w:rsidRPr="00C26501">
        <w:rPr>
          <w:b/>
          <w:sz w:val="25"/>
          <w:szCs w:val="25"/>
        </w:rPr>
        <w:t xml:space="preserve"> </w:t>
      </w:r>
      <w:r w:rsidRPr="00C26501">
        <w:rPr>
          <w:b/>
          <w:sz w:val="25"/>
          <w:szCs w:val="25"/>
        </w:rPr>
        <w:t xml:space="preserve">cu privire la aprobarea </w:t>
      </w:r>
    </w:p>
    <w:p w:rsidR="002D3E8C" w:rsidRPr="00C26501" w:rsidRDefault="001B1B74" w:rsidP="00461C89">
      <w:pPr>
        <w:jc w:val="center"/>
        <w:rPr>
          <w:b/>
          <w:sz w:val="25"/>
          <w:szCs w:val="25"/>
        </w:rPr>
      </w:pPr>
      <w:r w:rsidRPr="00C26501">
        <w:rPr>
          <w:b/>
          <w:sz w:val="25"/>
          <w:szCs w:val="25"/>
        </w:rPr>
        <w:t xml:space="preserve">Regulamentului privind organizarea licitațiilor pentru oferirea </w:t>
      </w:r>
    </w:p>
    <w:p w:rsidR="0001450F" w:rsidRPr="00C26501" w:rsidRDefault="001B1B74" w:rsidP="00461C89">
      <w:pPr>
        <w:jc w:val="center"/>
        <w:rPr>
          <w:b/>
          <w:sz w:val="25"/>
          <w:szCs w:val="25"/>
        </w:rPr>
      </w:pPr>
      <w:r w:rsidRPr="00C26501">
        <w:rPr>
          <w:b/>
          <w:sz w:val="25"/>
          <w:szCs w:val="25"/>
        </w:rPr>
        <w:t>statutului de producător eligibil</w:t>
      </w:r>
    </w:p>
    <w:p w:rsidR="00107A7A" w:rsidRPr="00C26501" w:rsidRDefault="00107A7A" w:rsidP="0001450F">
      <w:pPr>
        <w:spacing w:after="120"/>
        <w:jc w:val="both"/>
        <w:rPr>
          <w:sz w:val="24"/>
          <w:szCs w:val="24"/>
        </w:rPr>
      </w:pPr>
    </w:p>
    <w:p w:rsidR="002D3E8C" w:rsidRPr="00E3374E" w:rsidRDefault="002D3E8C" w:rsidP="007F3985">
      <w:pPr>
        <w:spacing w:before="120" w:after="120" w:line="360" w:lineRule="auto"/>
        <w:jc w:val="both"/>
        <w:rPr>
          <w:bCs/>
          <w:i/>
          <w:sz w:val="25"/>
          <w:szCs w:val="25"/>
          <w:u w:val="single"/>
        </w:rPr>
      </w:pPr>
      <w:r w:rsidRPr="00E3374E">
        <w:rPr>
          <w:bCs/>
          <w:i/>
          <w:sz w:val="25"/>
          <w:szCs w:val="25"/>
          <w:u w:val="single"/>
        </w:rPr>
        <w:t>Argumentarea necesității intervenției propuse</w:t>
      </w:r>
    </w:p>
    <w:p w:rsidR="00334F84" w:rsidRPr="00E3374E" w:rsidRDefault="002D3E8C" w:rsidP="007F3985">
      <w:pPr>
        <w:spacing w:before="120" w:after="120" w:line="360" w:lineRule="auto"/>
        <w:jc w:val="both"/>
        <w:rPr>
          <w:bCs/>
          <w:sz w:val="25"/>
          <w:szCs w:val="25"/>
        </w:rPr>
      </w:pPr>
      <w:r w:rsidRPr="00E3374E">
        <w:rPr>
          <w:bCs/>
          <w:sz w:val="25"/>
          <w:szCs w:val="25"/>
        </w:rPr>
        <w:t xml:space="preserve">În vederea </w:t>
      </w:r>
      <w:r w:rsidR="006106FC" w:rsidRPr="00E3374E">
        <w:rPr>
          <w:bCs/>
          <w:sz w:val="25"/>
          <w:szCs w:val="25"/>
        </w:rPr>
        <w:t>implementării</w:t>
      </w:r>
      <w:r w:rsidRPr="00E3374E">
        <w:rPr>
          <w:bCs/>
          <w:sz w:val="25"/>
          <w:szCs w:val="25"/>
        </w:rPr>
        <w:t xml:space="preserve"> prevederilor </w:t>
      </w:r>
      <w:r w:rsidR="00EC79AE" w:rsidRPr="00E3374E">
        <w:rPr>
          <w:bCs/>
          <w:sz w:val="25"/>
          <w:szCs w:val="25"/>
        </w:rPr>
        <w:t xml:space="preserve">art.10 lit. k) al </w:t>
      </w:r>
      <w:r w:rsidR="003D10D7" w:rsidRPr="00E3374E">
        <w:rPr>
          <w:bCs/>
          <w:sz w:val="25"/>
          <w:szCs w:val="25"/>
        </w:rPr>
        <w:t>Legii Nr. 10 din 26.02.2016</w:t>
      </w:r>
      <w:r w:rsidR="006106FC" w:rsidRPr="00E3374E">
        <w:rPr>
          <w:bCs/>
          <w:sz w:val="25"/>
          <w:szCs w:val="25"/>
        </w:rPr>
        <w:t xml:space="preserve"> privind promovarea utilizării </w:t>
      </w:r>
      <w:r w:rsidR="003D10D7" w:rsidRPr="00E3374E">
        <w:rPr>
          <w:bCs/>
          <w:sz w:val="25"/>
          <w:szCs w:val="25"/>
        </w:rPr>
        <w:t>energiei din surse regenerabile</w:t>
      </w:r>
      <w:r w:rsidR="003D10D7" w:rsidRPr="00E3374E">
        <w:rPr>
          <w:sz w:val="25"/>
          <w:szCs w:val="25"/>
        </w:rPr>
        <w:t xml:space="preserve"> (</w:t>
      </w:r>
      <w:r w:rsidR="003D10D7" w:rsidRPr="00E3374E">
        <w:rPr>
          <w:bCs/>
          <w:sz w:val="25"/>
          <w:szCs w:val="25"/>
        </w:rPr>
        <w:t>Monitorul Oficial Nr. 69-77</w:t>
      </w:r>
      <w:r w:rsidR="00EC79AE" w:rsidRPr="00E3374E">
        <w:rPr>
          <w:sz w:val="25"/>
          <w:szCs w:val="25"/>
        </w:rPr>
        <w:t xml:space="preserve"> din </w:t>
      </w:r>
      <w:r w:rsidR="00EC79AE" w:rsidRPr="00E3374E">
        <w:rPr>
          <w:bCs/>
          <w:sz w:val="25"/>
          <w:szCs w:val="25"/>
        </w:rPr>
        <w:t xml:space="preserve">25.03.2016 </w:t>
      </w:r>
      <w:r w:rsidR="003D10D7" w:rsidRPr="00E3374E">
        <w:rPr>
          <w:bCs/>
          <w:sz w:val="25"/>
          <w:szCs w:val="25"/>
        </w:rPr>
        <w:t>art</w:t>
      </w:r>
      <w:r w:rsidR="00EC79AE" w:rsidRPr="00E3374E">
        <w:rPr>
          <w:bCs/>
          <w:sz w:val="25"/>
          <w:szCs w:val="25"/>
        </w:rPr>
        <w:t>. Nr</w:t>
      </w:r>
      <w:r w:rsidR="003D10D7" w:rsidRPr="00E3374E">
        <w:rPr>
          <w:bCs/>
          <w:sz w:val="25"/>
          <w:szCs w:val="25"/>
        </w:rPr>
        <w:t>: 117</w:t>
      </w:r>
      <w:r w:rsidR="00EC79AE" w:rsidRPr="00E3374E">
        <w:rPr>
          <w:bCs/>
          <w:sz w:val="25"/>
          <w:szCs w:val="25"/>
        </w:rPr>
        <w:t>)</w:t>
      </w:r>
      <w:r w:rsidR="003D10D7" w:rsidRPr="00E3374E">
        <w:rPr>
          <w:bCs/>
          <w:sz w:val="25"/>
          <w:szCs w:val="25"/>
        </w:rPr>
        <w:t xml:space="preserve">, </w:t>
      </w:r>
      <w:r w:rsidR="006106FC" w:rsidRPr="00E3374E">
        <w:rPr>
          <w:bCs/>
          <w:sz w:val="25"/>
          <w:szCs w:val="25"/>
        </w:rPr>
        <w:t xml:space="preserve">Ministerul Economiei a elaborat și propune spre promovare proiectul </w:t>
      </w:r>
      <w:r w:rsidR="001B1B74" w:rsidRPr="00E3374E">
        <w:rPr>
          <w:bCs/>
          <w:i/>
          <w:sz w:val="25"/>
          <w:szCs w:val="25"/>
        </w:rPr>
        <w:t>Regulamentul</w:t>
      </w:r>
      <w:r w:rsidR="006106FC" w:rsidRPr="00E3374E">
        <w:rPr>
          <w:bCs/>
          <w:i/>
          <w:sz w:val="25"/>
          <w:szCs w:val="25"/>
        </w:rPr>
        <w:t>ui</w:t>
      </w:r>
      <w:r w:rsidR="001B1B74" w:rsidRPr="00E3374E">
        <w:rPr>
          <w:bCs/>
          <w:i/>
          <w:sz w:val="25"/>
          <w:szCs w:val="25"/>
        </w:rPr>
        <w:t xml:space="preserve"> privind organizarea licitațiilor pentru oferirea statutului de producător eligibil</w:t>
      </w:r>
      <w:r w:rsidR="001B1B74" w:rsidRPr="00E3374E">
        <w:rPr>
          <w:bCs/>
          <w:sz w:val="25"/>
          <w:szCs w:val="25"/>
        </w:rPr>
        <w:t>.</w:t>
      </w:r>
      <w:r w:rsidR="006106FC" w:rsidRPr="00E3374E">
        <w:rPr>
          <w:bCs/>
          <w:sz w:val="25"/>
          <w:szCs w:val="25"/>
        </w:rPr>
        <w:t xml:space="preserve"> </w:t>
      </w:r>
      <w:r w:rsidR="009C4860" w:rsidRPr="00E3374E">
        <w:rPr>
          <w:bCs/>
          <w:sz w:val="25"/>
          <w:szCs w:val="25"/>
        </w:rPr>
        <w:t xml:space="preserve">Regulamentul menționat vine întru crearea cadrului juridic necesar implementării </w:t>
      </w:r>
      <w:r w:rsidR="00FB6E64">
        <w:rPr>
          <w:bCs/>
          <w:sz w:val="25"/>
          <w:szCs w:val="25"/>
        </w:rPr>
        <w:t>schemei</w:t>
      </w:r>
      <w:r w:rsidR="009C4860" w:rsidRPr="00E3374E">
        <w:rPr>
          <w:bCs/>
          <w:sz w:val="25"/>
          <w:szCs w:val="25"/>
        </w:rPr>
        <w:t xml:space="preserve"> de suport introduse de Legea 10/2016, și anume a </w:t>
      </w:r>
      <w:r w:rsidR="009C4860" w:rsidRPr="00E3374E">
        <w:rPr>
          <w:bCs/>
          <w:i/>
          <w:sz w:val="25"/>
          <w:szCs w:val="25"/>
        </w:rPr>
        <w:t>prețurilor fixe</w:t>
      </w:r>
      <w:r w:rsidR="009C4860" w:rsidRPr="00E3374E">
        <w:rPr>
          <w:bCs/>
          <w:sz w:val="25"/>
          <w:szCs w:val="25"/>
        </w:rPr>
        <w:t xml:space="preserve"> oferite pentru energia electrică generată de instalațiile de valorificare a potențialului regenerabil.</w:t>
      </w:r>
    </w:p>
    <w:p w:rsidR="006E57C2" w:rsidRPr="00E3374E" w:rsidRDefault="00B81507" w:rsidP="00D40F3B">
      <w:pPr>
        <w:spacing w:before="120" w:after="120" w:line="360" w:lineRule="auto"/>
        <w:jc w:val="both"/>
        <w:rPr>
          <w:bCs/>
          <w:sz w:val="25"/>
          <w:szCs w:val="25"/>
        </w:rPr>
      </w:pPr>
      <w:r w:rsidRPr="00E3374E">
        <w:rPr>
          <w:bCs/>
          <w:sz w:val="25"/>
          <w:szCs w:val="25"/>
        </w:rPr>
        <w:t>Astfel, p</w:t>
      </w:r>
      <w:r w:rsidR="00C90063" w:rsidRPr="00E3374E">
        <w:rPr>
          <w:bCs/>
          <w:sz w:val="25"/>
          <w:szCs w:val="25"/>
        </w:rPr>
        <w:t xml:space="preserve">roiectul menționat supra este elaborat în contextul armonizării legislației Republicii Moldova în domeniul energiei regenerabile cu </w:t>
      </w:r>
      <w:r w:rsidR="00C90063" w:rsidRPr="00E3374E">
        <w:rPr>
          <w:bCs/>
          <w:i/>
          <w:sz w:val="25"/>
          <w:szCs w:val="25"/>
        </w:rPr>
        <w:t>acquis</w:t>
      </w:r>
      <w:r w:rsidR="00C90063" w:rsidRPr="00E3374E">
        <w:rPr>
          <w:bCs/>
          <w:sz w:val="25"/>
          <w:szCs w:val="25"/>
        </w:rPr>
        <w:t>-</w:t>
      </w:r>
      <w:proofErr w:type="spellStart"/>
      <w:r w:rsidR="00C90063" w:rsidRPr="00E3374E">
        <w:rPr>
          <w:bCs/>
          <w:sz w:val="25"/>
          <w:szCs w:val="25"/>
        </w:rPr>
        <w:t>ul</w:t>
      </w:r>
      <w:proofErr w:type="spellEnd"/>
      <w:r w:rsidR="00C90063" w:rsidRPr="00E3374E">
        <w:rPr>
          <w:bCs/>
          <w:sz w:val="25"/>
          <w:szCs w:val="25"/>
        </w:rPr>
        <w:t xml:space="preserve"> Uniunii Europene din sectorul respectiv, proces lansat în cadrul implementării angajamentelor asumate prin semnarea Acordului de Asociere între Republica Moldova </w:t>
      </w:r>
      <w:proofErr w:type="spellStart"/>
      <w:r w:rsidR="00C90063" w:rsidRPr="00E3374E">
        <w:rPr>
          <w:bCs/>
          <w:sz w:val="25"/>
          <w:szCs w:val="25"/>
        </w:rPr>
        <w:t>şi</w:t>
      </w:r>
      <w:proofErr w:type="spellEnd"/>
      <w:r w:rsidR="00C90063" w:rsidRPr="00E3374E">
        <w:rPr>
          <w:bCs/>
          <w:sz w:val="25"/>
          <w:szCs w:val="25"/>
        </w:rPr>
        <w:t xml:space="preserve"> Uniunea Europeană </w:t>
      </w:r>
      <w:proofErr w:type="spellStart"/>
      <w:r w:rsidR="00C90063" w:rsidRPr="00E3374E">
        <w:rPr>
          <w:bCs/>
          <w:sz w:val="25"/>
          <w:szCs w:val="25"/>
        </w:rPr>
        <w:t>şi</w:t>
      </w:r>
      <w:proofErr w:type="spellEnd"/>
      <w:r w:rsidR="00C90063" w:rsidRPr="00E3374E">
        <w:rPr>
          <w:bCs/>
          <w:sz w:val="25"/>
          <w:szCs w:val="25"/>
        </w:rPr>
        <w:t xml:space="preserve"> Comunitatea Europeană a Energiei Atomice </w:t>
      </w:r>
      <w:proofErr w:type="spellStart"/>
      <w:r w:rsidR="00C90063" w:rsidRPr="00E3374E">
        <w:rPr>
          <w:bCs/>
          <w:sz w:val="25"/>
          <w:szCs w:val="25"/>
        </w:rPr>
        <w:t>şi</w:t>
      </w:r>
      <w:proofErr w:type="spellEnd"/>
      <w:r w:rsidR="00C90063" w:rsidRPr="00E3374E">
        <w:rPr>
          <w:bCs/>
          <w:sz w:val="25"/>
          <w:szCs w:val="25"/>
        </w:rPr>
        <w:t xml:space="preserve"> statele membre ale acestora, ratificat de Parlamentul Republicii Moldova prin Legea nr. 112 din 02.07.2014, precum </w:t>
      </w:r>
      <w:proofErr w:type="spellStart"/>
      <w:r w:rsidR="00C90063" w:rsidRPr="00E3374E">
        <w:rPr>
          <w:bCs/>
          <w:sz w:val="25"/>
          <w:szCs w:val="25"/>
        </w:rPr>
        <w:t>şi</w:t>
      </w:r>
      <w:proofErr w:type="spellEnd"/>
      <w:r w:rsidR="00C90063" w:rsidRPr="00E3374E">
        <w:rPr>
          <w:bCs/>
          <w:sz w:val="25"/>
          <w:szCs w:val="25"/>
        </w:rPr>
        <w:t xml:space="preserve"> a angajamentelor asumate de către Republica Moldova în cadrul Tra</w:t>
      </w:r>
      <w:r w:rsidR="006E57C2" w:rsidRPr="00E3374E">
        <w:rPr>
          <w:bCs/>
          <w:sz w:val="25"/>
          <w:szCs w:val="25"/>
        </w:rPr>
        <w:t xml:space="preserve">tatului </w:t>
      </w:r>
      <w:proofErr w:type="spellStart"/>
      <w:r w:rsidR="006E57C2" w:rsidRPr="00E3374E">
        <w:rPr>
          <w:bCs/>
          <w:sz w:val="25"/>
          <w:szCs w:val="25"/>
        </w:rPr>
        <w:t>Comunităţii</w:t>
      </w:r>
      <w:proofErr w:type="spellEnd"/>
      <w:r w:rsidR="006E57C2" w:rsidRPr="00E3374E">
        <w:rPr>
          <w:bCs/>
          <w:sz w:val="25"/>
          <w:szCs w:val="25"/>
        </w:rPr>
        <w:t xml:space="preserve"> Energetice</w:t>
      </w:r>
      <w:r w:rsidR="00D40F3B" w:rsidRPr="00E3374E">
        <w:rPr>
          <w:bCs/>
          <w:sz w:val="25"/>
          <w:szCs w:val="25"/>
        </w:rPr>
        <w:t xml:space="preserve">, prin adoptarea Legii Nr. 117 din  23.12.2009 pentru aderarea Republicii Moldova la Tratatul de constituire a </w:t>
      </w:r>
      <w:proofErr w:type="spellStart"/>
      <w:r w:rsidR="00D40F3B" w:rsidRPr="00E3374E">
        <w:rPr>
          <w:bCs/>
          <w:sz w:val="25"/>
          <w:szCs w:val="25"/>
        </w:rPr>
        <w:t>Comunităţii</w:t>
      </w:r>
      <w:proofErr w:type="spellEnd"/>
      <w:r w:rsidR="00D40F3B" w:rsidRPr="00E3374E">
        <w:rPr>
          <w:bCs/>
          <w:sz w:val="25"/>
          <w:szCs w:val="25"/>
        </w:rPr>
        <w:t xml:space="preserve"> Energetice</w:t>
      </w:r>
      <w:r w:rsidR="006E57C2" w:rsidRPr="00E3374E">
        <w:rPr>
          <w:bCs/>
          <w:sz w:val="25"/>
          <w:szCs w:val="25"/>
        </w:rPr>
        <w:t xml:space="preserve">. </w:t>
      </w:r>
    </w:p>
    <w:p w:rsidR="00C90063" w:rsidRPr="00E3374E" w:rsidRDefault="00683502" w:rsidP="00C90063">
      <w:pPr>
        <w:spacing w:before="120" w:after="120" w:line="360" w:lineRule="auto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Î</w:t>
      </w:r>
      <w:r w:rsidR="00D40F3B" w:rsidRPr="00E3374E">
        <w:rPr>
          <w:bCs/>
          <w:sz w:val="25"/>
          <w:szCs w:val="25"/>
        </w:rPr>
        <w:t>n continuare</w:t>
      </w:r>
      <w:r w:rsidR="006E57C2" w:rsidRPr="00E3374E">
        <w:rPr>
          <w:bCs/>
          <w:sz w:val="25"/>
          <w:szCs w:val="25"/>
        </w:rPr>
        <w:t xml:space="preserve"> celor expuse, menționăm că, </w:t>
      </w:r>
      <w:r w:rsidR="00C90063" w:rsidRPr="00E3374E">
        <w:rPr>
          <w:bCs/>
          <w:sz w:val="25"/>
          <w:szCs w:val="25"/>
        </w:rPr>
        <w:t xml:space="preserve">Parlamentul Republicii Moldova a adoptat Legea nr.10 din 26.02.2016 privind promovarea utilizării energiei din surse regenerabile, prin care sunt transpuse în </w:t>
      </w:r>
      <w:r w:rsidR="00514DA7" w:rsidRPr="00E3374E">
        <w:rPr>
          <w:bCs/>
          <w:sz w:val="25"/>
          <w:szCs w:val="25"/>
        </w:rPr>
        <w:t>legislația</w:t>
      </w:r>
      <w:r w:rsidR="00C90063" w:rsidRPr="00E3374E">
        <w:rPr>
          <w:bCs/>
          <w:sz w:val="25"/>
          <w:szCs w:val="25"/>
        </w:rPr>
        <w:t xml:space="preserve"> </w:t>
      </w:r>
      <w:r w:rsidR="00514DA7" w:rsidRPr="00E3374E">
        <w:rPr>
          <w:bCs/>
          <w:sz w:val="25"/>
          <w:szCs w:val="25"/>
        </w:rPr>
        <w:t>națională</w:t>
      </w:r>
      <w:r w:rsidR="00C90063" w:rsidRPr="00E3374E">
        <w:rPr>
          <w:bCs/>
          <w:sz w:val="25"/>
          <w:szCs w:val="25"/>
        </w:rPr>
        <w:t xml:space="preserve"> principiile/prevederile Directivei nr. 2009/28/CE a Parlamentului European </w:t>
      </w:r>
      <w:proofErr w:type="spellStart"/>
      <w:r w:rsidR="00C90063" w:rsidRPr="00E3374E">
        <w:rPr>
          <w:bCs/>
          <w:sz w:val="25"/>
          <w:szCs w:val="25"/>
        </w:rPr>
        <w:t>şi</w:t>
      </w:r>
      <w:proofErr w:type="spellEnd"/>
      <w:r w:rsidR="00C90063" w:rsidRPr="00E3374E">
        <w:rPr>
          <w:bCs/>
          <w:sz w:val="25"/>
          <w:szCs w:val="25"/>
        </w:rPr>
        <w:t xml:space="preserve"> a Consiliului din 23 aprilie 2009 privind promovarea utilizării energiei din surse regenerabile, de modificare și ulterior de abrogare a Directivelor 2001/77/CE și  2003/30/CE, publicată în Jurnalul Oficial al Uniunii Europene nr. L 140/16 din 05 iunie 2009. </w:t>
      </w:r>
    </w:p>
    <w:p w:rsidR="00B452B7" w:rsidRPr="00E3374E" w:rsidRDefault="00B81507" w:rsidP="00C90063">
      <w:pPr>
        <w:spacing w:before="120" w:after="120" w:line="360" w:lineRule="auto"/>
        <w:jc w:val="both"/>
        <w:rPr>
          <w:bCs/>
          <w:sz w:val="25"/>
          <w:szCs w:val="25"/>
        </w:rPr>
      </w:pPr>
      <w:r w:rsidRPr="00E3374E">
        <w:rPr>
          <w:bCs/>
          <w:sz w:val="25"/>
          <w:szCs w:val="25"/>
        </w:rPr>
        <w:t xml:space="preserve">De precizat că, realizarea activităților </w:t>
      </w:r>
      <w:r w:rsidR="00683502">
        <w:rPr>
          <w:bCs/>
          <w:sz w:val="25"/>
          <w:szCs w:val="25"/>
        </w:rPr>
        <w:t xml:space="preserve">de elaborare </w:t>
      </w:r>
      <w:r w:rsidR="000F5EB1" w:rsidRPr="00E3374E">
        <w:rPr>
          <w:bCs/>
          <w:sz w:val="25"/>
          <w:szCs w:val="25"/>
        </w:rPr>
        <w:t xml:space="preserve">a proiectului Regulamentului </w:t>
      </w:r>
      <w:r w:rsidRPr="00E3374E">
        <w:rPr>
          <w:bCs/>
          <w:sz w:val="25"/>
          <w:szCs w:val="25"/>
        </w:rPr>
        <w:t>menționat a fost posibilă grație suportului</w:t>
      </w:r>
      <w:r w:rsidR="00023068" w:rsidRPr="00E3374E">
        <w:rPr>
          <w:bCs/>
          <w:sz w:val="25"/>
          <w:szCs w:val="25"/>
        </w:rPr>
        <w:t>/asistenței tehnice</w:t>
      </w:r>
      <w:r w:rsidRPr="00E3374E">
        <w:rPr>
          <w:bCs/>
          <w:sz w:val="25"/>
          <w:szCs w:val="25"/>
        </w:rPr>
        <w:t xml:space="preserve"> oferit</w:t>
      </w:r>
      <w:r w:rsidR="00023068" w:rsidRPr="00E3374E">
        <w:rPr>
          <w:bCs/>
          <w:sz w:val="25"/>
          <w:szCs w:val="25"/>
        </w:rPr>
        <w:t xml:space="preserve"> </w:t>
      </w:r>
      <w:r w:rsidRPr="00E3374E">
        <w:rPr>
          <w:bCs/>
          <w:sz w:val="25"/>
          <w:szCs w:val="25"/>
        </w:rPr>
        <w:t xml:space="preserve">de către </w:t>
      </w:r>
      <w:r w:rsidR="00B64F56" w:rsidRPr="00E3374E">
        <w:rPr>
          <w:bCs/>
          <w:sz w:val="25"/>
          <w:szCs w:val="25"/>
        </w:rPr>
        <w:t>Agenția Statelor Unite pentru Dezvoltare Internațională</w:t>
      </w:r>
      <w:r w:rsidRPr="00E3374E">
        <w:rPr>
          <w:bCs/>
          <w:sz w:val="25"/>
          <w:szCs w:val="25"/>
        </w:rPr>
        <w:t xml:space="preserve"> </w:t>
      </w:r>
      <w:r w:rsidR="00B64F56" w:rsidRPr="00E3374E">
        <w:rPr>
          <w:bCs/>
          <w:sz w:val="25"/>
          <w:szCs w:val="25"/>
        </w:rPr>
        <w:t>(</w:t>
      </w:r>
      <w:r w:rsidRPr="00E3374E">
        <w:rPr>
          <w:bCs/>
          <w:sz w:val="25"/>
          <w:szCs w:val="25"/>
        </w:rPr>
        <w:t>USAID</w:t>
      </w:r>
      <w:r w:rsidR="00B64F56" w:rsidRPr="00E3374E">
        <w:rPr>
          <w:bCs/>
          <w:sz w:val="25"/>
          <w:szCs w:val="25"/>
        </w:rPr>
        <w:t>)</w:t>
      </w:r>
      <w:r w:rsidRPr="00E3374E">
        <w:rPr>
          <w:bCs/>
          <w:sz w:val="25"/>
          <w:szCs w:val="25"/>
        </w:rPr>
        <w:t xml:space="preserve">, care a permis implicarea expertizei internaționale în </w:t>
      </w:r>
      <w:r w:rsidRPr="00E3374E">
        <w:rPr>
          <w:bCs/>
          <w:sz w:val="25"/>
          <w:szCs w:val="25"/>
        </w:rPr>
        <w:lastRenderedPageBreak/>
        <w:t xml:space="preserve">definitivarea cadrului normativ secundar pentru organizarea licitațiilor pentru oferirea statutului de producător eligibil. </w:t>
      </w:r>
    </w:p>
    <w:p w:rsidR="00FB6BC2" w:rsidRPr="00E3374E" w:rsidRDefault="00FB6BC2" w:rsidP="00FB6BC2">
      <w:pPr>
        <w:spacing w:before="120" w:after="120" w:line="360" w:lineRule="auto"/>
        <w:jc w:val="both"/>
        <w:rPr>
          <w:bCs/>
          <w:sz w:val="25"/>
          <w:szCs w:val="25"/>
        </w:rPr>
      </w:pPr>
      <w:r w:rsidRPr="00E3374E">
        <w:rPr>
          <w:bCs/>
          <w:i/>
          <w:sz w:val="25"/>
          <w:szCs w:val="25"/>
          <w:u w:val="single"/>
        </w:rPr>
        <w:t>Principalele prevederi, evidențierea elementelor noi</w:t>
      </w:r>
      <w:r w:rsidRPr="00E3374E">
        <w:rPr>
          <w:bCs/>
          <w:sz w:val="25"/>
          <w:szCs w:val="25"/>
        </w:rPr>
        <w:t xml:space="preserve"> </w:t>
      </w:r>
    </w:p>
    <w:p w:rsidR="00FB6BC2" w:rsidRPr="00E3374E" w:rsidRDefault="00D40F3B" w:rsidP="00FB6BC2">
      <w:pPr>
        <w:spacing w:before="120" w:after="120" w:line="360" w:lineRule="auto"/>
        <w:jc w:val="both"/>
        <w:rPr>
          <w:bCs/>
          <w:sz w:val="25"/>
          <w:szCs w:val="25"/>
        </w:rPr>
      </w:pPr>
      <w:r w:rsidRPr="00E3374E">
        <w:rPr>
          <w:bCs/>
          <w:sz w:val="25"/>
          <w:szCs w:val="25"/>
        </w:rPr>
        <w:t>P</w:t>
      </w:r>
      <w:r w:rsidR="00FB6BC2" w:rsidRPr="00E3374E">
        <w:rPr>
          <w:bCs/>
          <w:sz w:val="25"/>
          <w:szCs w:val="25"/>
        </w:rPr>
        <w:t>roiectul Regulamentului privind organizarea licitațiilor pentru oferirea statutului de producător eligibil are ca scop stabilirea unor proceduri</w:t>
      </w:r>
      <w:r w:rsidR="002C7A0C" w:rsidRPr="00E3374E">
        <w:rPr>
          <w:bCs/>
          <w:sz w:val="25"/>
          <w:szCs w:val="25"/>
        </w:rPr>
        <w:t xml:space="preserve">, </w:t>
      </w:r>
      <w:r w:rsidR="00514DA7" w:rsidRPr="00E3374E">
        <w:rPr>
          <w:bCs/>
          <w:sz w:val="25"/>
          <w:szCs w:val="25"/>
        </w:rPr>
        <w:t>condiții</w:t>
      </w:r>
      <w:r w:rsidR="002C7A0C" w:rsidRPr="00E3374E">
        <w:rPr>
          <w:bCs/>
          <w:sz w:val="25"/>
          <w:szCs w:val="25"/>
        </w:rPr>
        <w:t xml:space="preserve"> </w:t>
      </w:r>
      <w:r w:rsidR="00FB6BC2" w:rsidRPr="00E3374E">
        <w:rPr>
          <w:bCs/>
          <w:sz w:val="25"/>
          <w:szCs w:val="25"/>
        </w:rPr>
        <w:t xml:space="preserve">și criterii neechivoce, obiective, transparente </w:t>
      </w:r>
      <w:proofErr w:type="spellStart"/>
      <w:r w:rsidR="00FB6BC2" w:rsidRPr="00E3374E">
        <w:rPr>
          <w:bCs/>
          <w:sz w:val="25"/>
          <w:szCs w:val="25"/>
        </w:rPr>
        <w:t>şi</w:t>
      </w:r>
      <w:proofErr w:type="spellEnd"/>
      <w:r w:rsidR="00FB6BC2" w:rsidRPr="00E3374E">
        <w:rPr>
          <w:bCs/>
          <w:sz w:val="25"/>
          <w:szCs w:val="25"/>
        </w:rPr>
        <w:t xml:space="preserve"> nediscriminatorii ce urmează a fi aplicate la organizarea licitațiilor pentru oferirea statutului de producător eligibil, </w:t>
      </w:r>
      <w:r w:rsidR="00514DA7" w:rsidRPr="00E3374E">
        <w:rPr>
          <w:bCs/>
          <w:sz w:val="25"/>
          <w:szCs w:val="25"/>
        </w:rPr>
        <w:t>desfășurate</w:t>
      </w:r>
      <w:r w:rsidR="00FB6BC2" w:rsidRPr="00E3374E">
        <w:rPr>
          <w:bCs/>
          <w:sz w:val="25"/>
          <w:szCs w:val="25"/>
        </w:rPr>
        <w:t xml:space="preserve"> în contextul implementării schemei de sprijin privind oferirea statutului de producător eligibil producătorilor mari, prin intermediul </w:t>
      </w:r>
      <w:r w:rsidR="00514DA7" w:rsidRPr="00E3374E">
        <w:rPr>
          <w:bCs/>
          <w:sz w:val="25"/>
          <w:szCs w:val="25"/>
        </w:rPr>
        <w:t>licitațiilor</w:t>
      </w:r>
      <w:r w:rsidR="00FB6BC2" w:rsidRPr="00E3374E">
        <w:rPr>
          <w:bCs/>
          <w:sz w:val="25"/>
          <w:szCs w:val="25"/>
        </w:rPr>
        <w:t>.</w:t>
      </w:r>
    </w:p>
    <w:p w:rsidR="00FB6BC2" w:rsidRPr="00E3374E" w:rsidRDefault="00FB6BC2" w:rsidP="00FB6BC2">
      <w:pPr>
        <w:spacing w:before="120" w:after="120" w:line="360" w:lineRule="auto"/>
        <w:jc w:val="both"/>
        <w:rPr>
          <w:bCs/>
          <w:sz w:val="25"/>
          <w:szCs w:val="25"/>
        </w:rPr>
      </w:pPr>
      <w:r w:rsidRPr="00E3374E">
        <w:rPr>
          <w:bCs/>
          <w:sz w:val="25"/>
          <w:szCs w:val="25"/>
        </w:rPr>
        <w:t xml:space="preserve">Prezentul Regulament se </w:t>
      </w:r>
      <w:r w:rsidR="00A74D65">
        <w:rPr>
          <w:bCs/>
          <w:sz w:val="25"/>
          <w:szCs w:val="25"/>
        </w:rPr>
        <w:t xml:space="preserve">Va </w:t>
      </w:r>
      <w:r w:rsidRPr="00E3374E">
        <w:rPr>
          <w:bCs/>
          <w:sz w:val="25"/>
          <w:szCs w:val="25"/>
        </w:rPr>
        <w:t>aplică la organizarea licitațiilor pentru oferirea statutului de producător eligibil producătorilor mari în cazul:</w:t>
      </w:r>
    </w:p>
    <w:p w:rsidR="00FB6BC2" w:rsidRPr="00E3374E" w:rsidRDefault="002C7A0C" w:rsidP="00D40F3B">
      <w:pPr>
        <w:spacing w:line="360" w:lineRule="auto"/>
        <w:ind w:left="851" w:hanging="284"/>
        <w:jc w:val="both"/>
        <w:rPr>
          <w:bCs/>
          <w:sz w:val="25"/>
          <w:szCs w:val="25"/>
        </w:rPr>
      </w:pPr>
      <w:r w:rsidRPr="00E3374E">
        <w:rPr>
          <w:bCs/>
          <w:sz w:val="25"/>
          <w:szCs w:val="25"/>
        </w:rPr>
        <w:t xml:space="preserve">a) </w:t>
      </w:r>
      <w:r w:rsidR="00514DA7" w:rsidRPr="00E3374E">
        <w:rPr>
          <w:bCs/>
          <w:sz w:val="25"/>
          <w:szCs w:val="25"/>
        </w:rPr>
        <w:t>construcției</w:t>
      </w:r>
      <w:r w:rsidR="00FB6BC2" w:rsidRPr="00E3374E">
        <w:rPr>
          <w:bCs/>
          <w:sz w:val="25"/>
          <w:szCs w:val="25"/>
        </w:rPr>
        <w:t xml:space="preserve"> de noi centrale electrice care utilizează SRE;</w:t>
      </w:r>
    </w:p>
    <w:p w:rsidR="00FB6BC2" w:rsidRPr="00E3374E" w:rsidRDefault="002C7A0C" w:rsidP="00D40F3B">
      <w:pPr>
        <w:spacing w:line="360" w:lineRule="auto"/>
        <w:ind w:left="851" w:hanging="284"/>
        <w:jc w:val="both"/>
        <w:rPr>
          <w:bCs/>
          <w:sz w:val="25"/>
          <w:szCs w:val="25"/>
        </w:rPr>
      </w:pPr>
      <w:r w:rsidRPr="00E3374E">
        <w:rPr>
          <w:bCs/>
          <w:sz w:val="25"/>
          <w:szCs w:val="25"/>
        </w:rPr>
        <w:t xml:space="preserve">b) </w:t>
      </w:r>
      <w:r w:rsidR="00514DA7" w:rsidRPr="00E3374E">
        <w:rPr>
          <w:bCs/>
          <w:sz w:val="25"/>
          <w:szCs w:val="25"/>
        </w:rPr>
        <w:t>construcției</w:t>
      </w:r>
      <w:r w:rsidR="00FB6BC2" w:rsidRPr="00E3374E">
        <w:rPr>
          <w:bCs/>
          <w:sz w:val="25"/>
          <w:szCs w:val="25"/>
        </w:rPr>
        <w:t xml:space="preserve"> de noi centrale electrice hibrid, care utilizează SRE </w:t>
      </w:r>
      <w:proofErr w:type="spellStart"/>
      <w:r w:rsidR="00FB6BC2" w:rsidRPr="00E3374E">
        <w:rPr>
          <w:bCs/>
          <w:sz w:val="25"/>
          <w:szCs w:val="25"/>
        </w:rPr>
        <w:t>şi</w:t>
      </w:r>
      <w:proofErr w:type="spellEnd"/>
      <w:r w:rsidR="00FB6BC2" w:rsidRPr="00E3374E">
        <w:rPr>
          <w:bCs/>
          <w:sz w:val="25"/>
          <w:szCs w:val="25"/>
        </w:rPr>
        <w:t xml:space="preserve"> surse </w:t>
      </w:r>
      <w:r w:rsidR="00514DA7" w:rsidRPr="00E3374E">
        <w:rPr>
          <w:bCs/>
          <w:sz w:val="25"/>
          <w:szCs w:val="25"/>
        </w:rPr>
        <w:t>convenționale</w:t>
      </w:r>
      <w:r w:rsidR="00FB6BC2" w:rsidRPr="00E3374E">
        <w:rPr>
          <w:bCs/>
          <w:sz w:val="25"/>
          <w:szCs w:val="25"/>
        </w:rPr>
        <w:t xml:space="preserve"> de energie;</w:t>
      </w:r>
    </w:p>
    <w:p w:rsidR="002C7A0C" w:rsidRPr="00E3374E" w:rsidRDefault="002C7A0C" w:rsidP="00D40F3B">
      <w:pPr>
        <w:spacing w:line="360" w:lineRule="auto"/>
        <w:ind w:left="851" w:hanging="284"/>
        <w:jc w:val="both"/>
        <w:rPr>
          <w:bCs/>
          <w:sz w:val="25"/>
          <w:szCs w:val="25"/>
        </w:rPr>
      </w:pPr>
      <w:r w:rsidRPr="00E3374E">
        <w:rPr>
          <w:bCs/>
          <w:sz w:val="25"/>
          <w:szCs w:val="25"/>
        </w:rPr>
        <w:t xml:space="preserve">c) </w:t>
      </w:r>
      <w:r w:rsidR="00FB6BC2" w:rsidRPr="00E3374E">
        <w:rPr>
          <w:bCs/>
          <w:sz w:val="25"/>
          <w:szCs w:val="25"/>
        </w:rPr>
        <w:t xml:space="preserve">majorării capacității centralelor electrice existente, care utilizează SRE. </w:t>
      </w:r>
    </w:p>
    <w:p w:rsidR="00C90063" w:rsidRPr="00E3374E" w:rsidRDefault="00C90063" w:rsidP="00E83205">
      <w:pPr>
        <w:spacing w:before="120" w:after="120" w:line="360" w:lineRule="auto"/>
        <w:jc w:val="both"/>
        <w:rPr>
          <w:bCs/>
          <w:sz w:val="25"/>
          <w:szCs w:val="25"/>
        </w:rPr>
      </w:pPr>
      <w:r w:rsidRPr="00E3374E">
        <w:rPr>
          <w:bCs/>
          <w:sz w:val="25"/>
          <w:szCs w:val="25"/>
        </w:rPr>
        <w:t xml:space="preserve">Prin urmare, </w:t>
      </w:r>
      <w:r w:rsidR="00494569" w:rsidRPr="00E3374E">
        <w:rPr>
          <w:bCs/>
          <w:sz w:val="25"/>
          <w:szCs w:val="25"/>
        </w:rPr>
        <w:t>proiectul Regulamentului</w:t>
      </w:r>
      <w:r w:rsidRPr="00E3374E">
        <w:rPr>
          <w:bCs/>
          <w:sz w:val="25"/>
          <w:szCs w:val="25"/>
        </w:rPr>
        <w:t xml:space="preserve"> vine să modifice abordarea statului față de investițiile în domeniul energiei regenerabile, oferind investitorilor în domeniu garanțiile necesare. </w:t>
      </w:r>
      <w:r w:rsidR="000D0A29" w:rsidRPr="00E3374E">
        <w:rPr>
          <w:bCs/>
          <w:sz w:val="25"/>
          <w:szCs w:val="25"/>
        </w:rPr>
        <w:t>În același timp, n</w:t>
      </w:r>
      <w:r w:rsidRPr="00E3374E">
        <w:rPr>
          <w:bCs/>
          <w:sz w:val="25"/>
          <w:szCs w:val="25"/>
        </w:rPr>
        <w:t>oua schemă de sprijin a investițiilor este prezentată de instrumente de piață, care promovează competiția în rândul investitorilor – licitațiile de capacități</w:t>
      </w:r>
      <w:r w:rsidR="002C7A0C" w:rsidRPr="00E3374E">
        <w:rPr>
          <w:bCs/>
          <w:sz w:val="25"/>
          <w:szCs w:val="25"/>
        </w:rPr>
        <w:t>.</w:t>
      </w:r>
      <w:r w:rsidRPr="00E3374E">
        <w:rPr>
          <w:bCs/>
          <w:sz w:val="25"/>
          <w:szCs w:val="25"/>
        </w:rPr>
        <w:t xml:space="preserve"> </w:t>
      </w:r>
      <w:r w:rsidR="000D0A29" w:rsidRPr="00E3374E">
        <w:rPr>
          <w:bCs/>
          <w:sz w:val="25"/>
          <w:szCs w:val="25"/>
        </w:rPr>
        <w:t xml:space="preserve">Această procedură de alocare a capacităților de generare a energiei electrice este elaborată inclusiv în conformitate cu normele comunitare în domeniul competitivității și ajutorului de stat, și anume a </w:t>
      </w:r>
      <w:r w:rsidR="00147A03" w:rsidRPr="00E3374E">
        <w:rPr>
          <w:bCs/>
          <w:sz w:val="25"/>
          <w:szCs w:val="25"/>
        </w:rPr>
        <w:t xml:space="preserve">Comunicării Comisiei Europene, </w:t>
      </w:r>
      <w:r w:rsidR="00E83205" w:rsidRPr="00E3374E">
        <w:rPr>
          <w:bCs/>
          <w:sz w:val="25"/>
          <w:szCs w:val="25"/>
        </w:rPr>
        <w:t>Orientări privind ajutoarele de stat pentru protecția medi</w:t>
      </w:r>
      <w:r w:rsidR="00147A03" w:rsidRPr="00E3374E">
        <w:rPr>
          <w:bCs/>
          <w:sz w:val="25"/>
          <w:szCs w:val="25"/>
        </w:rPr>
        <w:t>ului și energie pentru perioada 2014-2020.</w:t>
      </w:r>
    </w:p>
    <w:p w:rsidR="00C90063" w:rsidRPr="00E3374E" w:rsidRDefault="002C7A0C" w:rsidP="00C90063">
      <w:pPr>
        <w:spacing w:before="120" w:after="120" w:line="360" w:lineRule="auto"/>
        <w:jc w:val="both"/>
        <w:rPr>
          <w:bCs/>
          <w:sz w:val="25"/>
          <w:szCs w:val="25"/>
        </w:rPr>
      </w:pPr>
      <w:r w:rsidRPr="00E3374E">
        <w:rPr>
          <w:bCs/>
          <w:sz w:val="25"/>
          <w:szCs w:val="25"/>
        </w:rPr>
        <w:t>Astfel, î</w:t>
      </w:r>
      <w:r w:rsidR="00C90063" w:rsidRPr="00E3374E">
        <w:rPr>
          <w:bCs/>
          <w:sz w:val="25"/>
          <w:szCs w:val="25"/>
        </w:rPr>
        <w:t xml:space="preserve">n vederea realizării obiectivelor propuse </w:t>
      </w:r>
      <w:proofErr w:type="spellStart"/>
      <w:r w:rsidR="00C90063" w:rsidRPr="00E3374E">
        <w:rPr>
          <w:bCs/>
          <w:sz w:val="25"/>
          <w:szCs w:val="25"/>
        </w:rPr>
        <w:t>şi</w:t>
      </w:r>
      <w:proofErr w:type="spellEnd"/>
      <w:r w:rsidR="00C90063" w:rsidRPr="00E3374E">
        <w:rPr>
          <w:bCs/>
          <w:sz w:val="25"/>
          <w:szCs w:val="25"/>
        </w:rPr>
        <w:t xml:space="preserve"> promovării utilizării energiei din surse regenerabile</w:t>
      </w:r>
      <w:r w:rsidR="00B870F9" w:rsidRPr="00E3374E">
        <w:rPr>
          <w:bCs/>
          <w:sz w:val="25"/>
          <w:szCs w:val="25"/>
        </w:rPr>
        <w:t xml:space="preserve"> </w:t>
      </w:r>
      <w:r w:rsidR="00C90063" w:rsidRPr="00E3374E">
        <w:rPr>
          <w:bCs/>
          <w:sz w:val="25"/>
          <w:szCs w:val="25"/>
        </w:rPr>
        <w:t xml:space="preserve">(SRE), în conformitate cu prevederile Legii nr.10 din 26.02.2016 privind promovarea utilizării energiei din surse regenerabile </w:t>
      </w:r>
      <w:r w:rsidR="00E42434" w:rsidRPr="00E3374E">
        <w:rPr>
          <w:bCs/>
          <w:sz w:val="25"/>
          <w:szCs w:val="25"/>
        </w:rPr>
        <w:t>și</w:t>
      </w:r>
      <w:r w:rsidR="00E42434" w:rsidRPr="00E3374E">
        <w:rPr>
          <w:sz w:val="25"/>
          <w:szCs w:val="25"/>
        </w:rPr>
        <w:t xml:space="preserve"> </w:t>
      </w:r>
      <w:r w:rsidR="00B870F9" w:rsidRPr="00E3374E">
        <w:rPr>
          <w:sz w:val="25"/>
          <w:szCs w:val="25"/>
        </w:rPr>
        <w:t xml:space="preserve">în conformitate cu prevederile </w:t>
      </w:r>
      <w:r w:rsidR="00E42434" w:rsidRPr="00E3374E">
        <w:rPr>
          <w:bCs/>
          <w:sz w:val="25"/>
          <w:szCs w:val="25"/>
        </w:rPr>
        <w:t>proiectul</w:t>
      </w:r>
      <w:r w:rsidR="00B870F9" w:rsidRPr="00E3374E">
        <w:rPr>
          <w:bCs/>
          <w:sz w:val="25"/>
          <w:szCs w:val="25"/>
        </w:rPr>
        <w:t>ui</w:t>
      </w:r>
      <w:r w:rsidR="00E42434" w:rsidRPr="00E3374E">
        <w:rPr>
          <w:bCs/>
          <w:sz w:val="25"/>
          <w:szCs w:val="25"/>
        </w:rPr>
        <w:t xml:space="preserve"> Regulamentului privind organizarea licitațiilor pentru oferirea statutului de producător eligibil, </w:t>
      </w:r>
      <w:r w:rsidR="00B870F9" w:rsidRPr="00E3374E">
        <w:rPr>
          <w:bCs/>
          <w:sz w:val="25"/>
          <w:szCs w:val="25"/>
        </w:rPr>
        <w:t xml:space="preserve">se propune </w:t>
      </w:r>
      <w:r w:rsidR="00C90063" w:rsidRPr="00E3374E">
        <w:rPr>
          <w:bCs/>
          <w:sz w:val="25"/>
          <w:szCs w:val="25"/>
        </w:rPr>
        <w:t>a f</w:t>
      </w:r>
      <w:r w:rsidR="00B870F9" w:rsidRPr="00E3374E">
        <w:rPr>
          <w:bCs/>
          <w:sz w:val="25"/>
          <w:szCs w:val="25"/>
        </w:rPr>
        <w:t>i</w:t>
      </w:r>
      <w:r w:rsidR="00C90063" w:rsidRPr="00E3374E">
        <w:rPr>
          <w:bCs/>
          <w:sz w:val="25"/>
          <w:szCs w:val="25"/>
        </w:rPr>
        <w:t xml:space="preserve"> introdusă o nouă schemă de suport/sprijin pentru producătorii de energie electrică din SRE, constituită din categoriile de măsuri ce urmează a fi aplicate în raport cu producătorii mari de energie electrică din SRE</w:t>
      </w:r>
      <w:r w:rsidR="00B870F9" w:rsidRPr="00E3374E">
        <w:rPr>
          <w:bCs/>
          <w:sz w:val="25"/>
          <w:szCs w:val="25"/>
        </w:rPr>
        <w:t>, după cum urmează:</w:t>
      </w:r>
      <w:r w:rsidR="00C90063" w:rsidRPr="00E3374E">
        <w:rPr>
          <w:bCs/>
          <w:sz w:val="25"/>
          <w:szCs w:val="25"/>
        </w:rPr>
        <w:t xml:space="preserve"> </w:t>
      </w:r>
    </w:p>
    <w:p w:rsidR="00C90063" w:rsidRPr="00E3374E" w:rsidRDefault="00C90063" w:rsidP="00B076AF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bCs/>
          <w:sz w:val="25"/>
          <w:szCs w:val="25"/>
        </w:rPr>
      </w:pPr>
      <w:r w:rsidRPr="00E3374E">
        <w:rPr>
          <w:bCs/>
          <w:sz w:val="25"/>
          <w:szCs w:val="25"/>
        </w:rPr>
        <w:lastRenderedPageBreak/>
        <w:t>Preț fix, stabilit în cadrul licitației pentru producătorul eligibil care deține sau urmează să dețină centrale electrice cu o putere cumulată mai mare decât limita de capacitate stabilită de Guvern;</w:t>
      </w:r>
    </w:p>
    <w:p w:rsidR="00C331C3" w:rsidRPr="00E3374E" w:rsidRDefault="00C90063" w:rsidP="00520E25">
      <w:pPr>
        <w:spacing w:before="120" w:after="120" w:line="360" w:lineRule="auto"/>
        <w:jc w:val="both"/>
        <w:rPr>
          <w:bCs/>
          <w:sz w:val="25"/>
          <w:szCs w:val="25"/>
        </w:rPr>
      </w:pPr>
      <w:r w:rsidRPr="00E3374E">
        <w:rPr>
          <w:bCs/>
          <w:sz w:val="25"/>
          <w:szCs w:val="25"/>
        </w:rPr>
        <w:t xml:space="preserve">Licitația se organizează de către </w:t>
      </w:r>
      <w:r w:rsidR="00C331C3" w:rsidRPr="00E3374E">
        <w:rPr>
          <w:bCs/>
          <w:sz w:val="25"/>
          <w:szCs w:val="25"/>
        </w:rPr>
        <w:t>C</w:t>
      </w:r>
      <w:r w:rsidRPr="00E3374E">
        <w:rPr>
          <w:bCs/>
          <w:sz w:val="25"/>
          <w:szCs w:val="25"/>
        </w:rPr>
        <w:t>omisi</w:t>
      </w:r>
      <w:r w:rsidR="00C331C3" w:rsidRPr="00E3374E">
        <w:rPr>
          <w:bCs/>
          <w:sz w:val="25"/>
          <w:szCs w:val="25"/>
        </w:rPr>
        <w:t xml:space="preserve">a de licitații, instituită </w:t>
      </w:r>
      <w:r w:rsidR="002B5331" w:rsidRPr="00E3374E">
        <w:rPr>
          <w:bCs/>
          <w:sz w:val="25"/>
          <w:szCs w:val="25"/>
        </w:rPr>
        <w:t xml:space="preserve">în conformitate cu </w:t>
      </w:r>
      <w:r w:rsidR="00520E25" w:rsidRPr="00E3374E">
        <w:rPr>
          <w:bCs/>
          <w:sz w:val="25"/>
          <w:szCs w:val="25"/>
        </w:rPr>
        <w:t xml:space="preserve"> </w:t>
      </w:r>
      <w:r w:rsidR="002B5331" w:rsidRPr="00E3374E">
        <w:rPr>
          <w:bCs/>
          <w:sz w:val="25"/>
          <w:szCs w:val="25"/>
        </w:rPr>
        <w:t>R</w:t>
      </w:r>
      <w:r w:rsidRPr="00E3374E">
        <w:rPr>
          <w:bCs/>
          <w:sz w:val="25"/>
          <w:szCs w:val="25"/>
        </w:rPr>
        <w:t xml:space="preserve">egulamentul privind desfășurarea licitațiilor pentru oferirea statutului de producător eligibil. Organizarea licitațiilor va permite Guvernului Republicii Moldova </w:t>
      </w:r>
      <w:r w:rsidR="00C331C3" w:rsidRPr="00E3374E">
        <w:rPr>
          <w:bCs/>
          <w:sz w:val="25"/>
          <w:szCs w:val="25"/>
        </w:rPr>
        <w:t xml:space="preserve">să subvenționeze această ramură a economiei și a investițiilor private atrase la cele mai mici costuri posibile, rezultate ca urmare  a promovării competitivității în sector. Mai mult ca atât, mecanismul respectiv vine să instituie un </w:t>
      </w:r>
      <w:r w:rsidRPr="00E3374E">
        <w:rPr>
          <w:bCs/>
          <w:sz w:val="25"/>
          <w:szCs w:val="25"/>
        </w:rPr>
        <w:t>control</w:t>
      </w:r>
      <w:r w:rsidR="00C331C3" w:rsidRPr="00E3374E">
        <w:rPr>
          <w:bCs/>
          <w:sz w:val="25"/>
          <w:szCs w:val="25"/>
        </w:rPr>
        <w:t xml:space="preserve"> asupra volumelor</w:t>
      </w:r>
      <w:r w:rsidRPr="00E3374E">
        <w:rPr>
          <w:bCs/>
          <w:sz w:val="25"/>
          <w:szCs w:val="25"/>
        </w:rPr>
        <w:t xml:space="preserve"> capacităților</w:t>
      </w:r>
      <w:r w:rsidR="00C331C3" w:rsidRPr="00E3374E">
        <w:rPr>
          <w:bCs/>
          <w:sz w:val="25"/>
          <w:szCs w:val="25"/>
        </w:rPr>
        <w:t xml:space="preserve"> a fi </w:t>
      </w:r>
      <w:r w:rsidRPr="00E3374E">
        <w:rPr>
          <w:bCs/>
          <w:sz w:val="25"/>
          <w:szCs w:val="25"/>
        </w:rPr>
        <w:t xml:space="preserve">instalate, precum și să anticipeze amplasările în teritoriu, ceea ce se află într-o strânsă legătură cu investițiile necesare pentru extinderea rețelelor de transport și distribuție pentru a face fața modificărilor formatului fluxurilor de energie electrică. </w:t>
      </w:r>
    </w:p>
    <w:p w:rsidR="007551D3" w:rsidRPr="00E3374E" w:rsidRDefault="00C331C3" w:rsidP="00520E25">
      <w:pPr>
        <w:spacing w:before="120" w:after="120" w:line="360" w:lineRule="auto"/>
        <w:jc w:val="both"/>
        <w:rPr>
          <w:bCs/>
          <w:sz w:val="25"/>
          <w:szCs w:val="25"/>
        </w:rPr>
      </w:pPr>
      <w:r w:rsidRPr="00E3374E">
        <w:rPr>
          <w:bCs/>
          <w:sz w:val="25"/>
          <w:szCs w:val="25"/>
        </w:rPr>
        <w:t>În același timp, p</w:t>
      </w:r>
      <w:r w:rsidR="0099029B" w:rsidRPr="00E3374E">
        <w:rPr>
          <w:bCs/>
          <w:sz w:val="25"/>
          <w:szCs w:val="25"/>
        </w:rPr>
        <w:t xml:space="preserve">entru fiecare tip de tehnologie de producere </w:t>
      </w:r>
      <w:r w:rsidR="00DA7D50" w:rsidRPr="00E3374E">
        <w:rPr>
          <w:bCs/>
          <w:sz w:val="25"/>
          <w:szCs w:val="25"/>
        </w:rPr>
        <w:t>ar putea</w:t>
      </w:r>
      <w:r w:rsidR="0099029B" w:rsidRPr="00E3374E">
        <w:rPr>
          <w:bCs/>
          <w:sz w:val="25"/>
          <w:szCs w:val="25"/>
        </w:rPr>
        <w:t xml:space="preserve"> fi organizate </w:t>
      </w:r>
      <w:r w:rsidR="00514DA7" w:rsidRPr="00E3374E">
        <w:rPr>
          <w:bCs/>
          <w:sz w:val="25"/>
          <w:szCs w:val="25"/>
        </w:rPr>
        <w:t>licitații</w:t>
      </w:r>
      <w:r w:rsidR="0099029B" w:rsidRPr="00E3374E">
        <w:rPr>
          <w:bCs/>
          <w:sz w:val="25"/>
          <w:szCs w:val="25"/>
        </w:rPr>
        <w:t xml:space="preserve"> separate</w:t>
      </w:r>
      <w:r w:rsidRPr="00E3374E">
        <w:rPr>
          <w:bCs/>
          <w:sz w:val="25"/>
          <w:szCs w:val="25"/>
        </w:rPr>
        <w:t xml:space="preserve">, </w:t>
      </w:r>
      <w:r w:rsidR="0099029B" w:rsidRPr="00E3374E">
        <w:rPr>
          <w:bCs/>
          <w:sz w:val="25"/>
          <w:szCs w:val="25"/>
        </w:rPr>
        <w:t xml:space="preserve">sau </w:t>
      </w:r>
      <w:r w:rsidR="00514DA7" w:rsidRPr="00E3374E">
        <w:rPr>
          <w:bCs/>
          <w:sz w:val="25"/>
          <w:szCs w:val="25"/>
        </w:rPr>
        <w:t>licitații</w:t>
      </w:r>
      <w:r w:rsidR="0099029B" w:rsidRPr="00E3374E">
        <w:rPr>
          <w:bCs/>
          <w:sz w:val="25"/>
          <w:szCs w:val="25"/>
        </w:rPr>
        <w:t xml:space="preserve"> complexe, pentru mai multe tipuri de tehnologii de producere, cu </w:t>
      </w:r>
      <w:r w:rsidR="00514DA7" w:rsidRPr="00E3374E">
        <w:rPr>
          <w:bCs/>
          <w:sz w:val="25"/>
          <w:szCs w:val="25"/>
        </w:rPr>
        <w:t>condiția</w:t>
      </w:r>
      <w:r w:rsidR="0099029B" w:rsidRPr="00E3374E">
        <w:rPr>
          <w:bCs/>
          <w:sz w:val="25"/>
          <w:szCs w:val="25"/>
        </w:rPr>
        <w:t xml:space="preserve"> stabilirii </w:t>
      </w:r>
      <w:r w:rsidR="007551D3" w:rsidRPr="00E3374E">
        <w:rPr>
          <w:bCs/>
          <w:sz w:val="25"/>
          <w:szCs w:val="25"/>
        </w:rPr>
        <w:t>criteriilor</w:t>
      </w:r>
      <w:r w:rsidR="0099029B" w:rsidRPr="00E3374E">
        <w:rPr>
          <w:bCs/>
          <w:sz w:val="25"/>
          <w:szCs w:val="25"/>
        </w:rPr>
        <w:t xml:space="preserve"> de </w:t>
      </w:r>
      <w:r w:rsidR="00514DA7" w:rsidRPr="00E3374E">
        <w:rPr>
          <w:bCs/>
          <w:sz w:val="25"/>
          <w:szCs w:val="25"/>
        </w:rPr>
        <w:t>desfășurare</w:t>
      </w:r>
      <w:r w:rsidR="0099029B" w:rsidRPr="00E3374E">
        <w:rPr>
          <w:bCs/>
          <w:sz w:val="25"/>
          <w:szCs w:val="25"/>
        </w:rPr>
        <w:t xml:space="preserve"> a </w:t>
      </w:r>
      <w:r w:rsidR="00514DA7" w:rsidRPr="00E3374E">
        <w:rPr>
          <w:bCs/>
          <w:sz w:val="25"/>
          <w:szCs w:val="25"/>
        </w:rPr>
        <w:t>licitației</w:t>
      </w:r>
      <w:r w:rsidR="0099029B" w:rsidRPr="00E3374E">
        <w:rPr>
          <w:bCs/>
          <w:sz w:val="25"/>
          <w:szCs w:val="25"/>
        </w:rPr>
        <w:t xml:space="preserve"> astfel încât </w:t>
      </w:r>
      <w:r w:rsidR="00514DA7" w:rsidRPr="00E3374E">
        <w:rPr>
          <w:bCs/>
          <w:sz w:val="25"/>
          <w:szCs w:val="25"/>
        </w:rPr>
        <w:t>competiția</w:t>
      </w:r>
      <w:r w:rsidR="0099029B" w:rsidRPr="00E3374E">
        <w:rPr>
          <w:bCs/>
          <w:sz w:val="25"/>
          <w:szCs w:val="25"/>
        </w:rPr>
        <w:t xml:space="preserve"> să se realizeze între ofertele depuse pentru </w:t>
      </w:r>
      <w:r w:rsidR="00514DA7" w:rsidRPr="00E3374E">
        <w:rPr>
          <w:bCs/>
          <w:sz w:val="25"/>
          <w:szCs w:val="25"/>
        </w:rPr>
        <w:t>același</w:t>
      </w:r>
      <w:r w:rsidR="0099029B" w:rsidRPr="00E3374E">
        <w:rPr>
          <w:bCs/>
          <w:sz w:val="25"/>
          <w:szCs w:val="25"/>
        </w:rPr>
        <w:t xml:space="preserve"> tip de tehnologie de producere, iar ofertele cu diferite tipuri de tehnologie să nu fie comparate între ele.</w:t>
      </w:r>
      <w:r w:rsidR="00520E25" w:rsidRPr="00E3374E">
        <w:rPr>
          <w:bCs/>
          <w:sz w:val="25"/>
          <w:szCs w:val="25"/>
        </w:rPr>
        <w:t xml:space="preserve"> </w:t>
      </w:r>
    </w:p>
    <w:p w:rsidR="00C90063" w:rsidRPr="00E3374E" w:rsidRDefault="007551D3" w:rsidP="00520E25">
      <w:pPr>
        <w:spacing w:before="120" w:after="120" w:line="360" w:lineRule="auto"/>
        <w:jc w:val="both"/>
        <w:rPr>
          <w:bCs/>
          <w:sz w:val="25"/>
          <w:szCs w:val="25"/>
        </w:rPr>
      </w:pPr>
      <w:r w:rsidRPr="00E3374E">
        <w:rPr>
          <w:bCs/>
          <w:sz w:val="25"/>
          <w:szCs w:val="25"/>
        </w:rPr>
        <w:t>De precizat că</w:t>
      </w:r>
      <w:r w:rsidR="00FF31F4">
        <w:rPr>
          <w:bCs/>
          <w:sz w:val="25"/>
          <w:szCs w:val="25"/>
        </w:rPr>
        <w:t>,</w:t>
      </w:r>
      <w:r w:rsidRPr="00E3374E">
        <w:rPr>
          <w:bCs/>
          <w:sz w:val="25"/>
          <w:szCs w:val="25"/>
        </w:rPr>
        <w:t xml:space="preserve"> l</w:t>
      </w:r>
      <w:r w:rsidR="00520E25" w:rsidRPr="00E3374E">
        <w:rPr>
          <w:bCs/>
          <w:sz w:val="25"/>
          <w:szCs w:val="25"/>
        </w:rPr>
        <w:t xml:space="preserve">a </w:t>
      </w:r>
      <w:r w:rsidR="00514DA7" w:rsidRPr="00E3374E">
        <w:rPr>
          <w:bCs/>
          <w:sz w:val="25"/>
          <w:szCs w:val="25"/>
        </w:rPr>
        <w:t>licitațiile</w:t>
      </w:r>
      <w:r w:rsidR="00520E25" w:rsidRPr="00E3374E">
        <w:rPr>
          <w:bCs/>
          <w:sz w:val="25"/>
          <w:szCs w:val="25"/>
        </w:rPr>
        <w:t xml:space="preserve"> organizate în conformitate cu prezentul Regulament poate participa orice dezvoltator care </w:t>
      </w:r>
      <w:r w:rsidR="00514DA7" w:rsidRPr="00E3374E">
        <w:rPr>
          <w:bCs/>
          <w:sz w:val="25"/>
          <w:szCs w:val="25"/>
        </w:rPr>
        <w:t>îndeplinește</w:t>
      </w:r>
      <w:r w:rsidR="00520E25" w:rsidRPr="00E3374E">
        <w:rPr>
          <w:bCs/>
          <w:sz w:val="25"/>
          <w:szCs w:val="25"/>
        </w:rPr>
        <w:t xml:space="preserve"> </w:t>
      </w:r>
      <w:r w:rsidR="00514DA7" w:rsidRPr="00E3374E">
        <w:rPr>
          <w:bCs/>
          <w:sz w:val="25"/>
          <w:szCs w:val="25"/>
        </w:rPr>
        <w:t>condițiile</w:t>
      </w:r>
      <w:r w:rsidR="00520E25" w:rsidRPr="00E3374E">
        <w:rPr>
          <w:bCs/>
          <w:sz w:val="25"/>
          <w:szCs w:val="25"/>
        </w:rPr>
        <w:t xml:space="preserve"> </w:t>
      </w:r>
      <w:proofErr w:type="spellStart"/>
      <w:r w:rsidR="00520E25" w:rsidRPr="00E3374E">
        <w:rPr>
          <w:bCs/>
          <w:sz w:val="25"/>
          <w:szCs w:val="25"/>
        </w:rPr>
        <w:t>şi</w:t>
      </w:r>
      <w:proofErr w:type="spellEnd"/>
      <w:r w:rsidR="00520E25" w:rsidRPr="00E3374E">
        <w:rPr>
          <w:bCs/>
          <w:sz w:val="25"/>
          <w:szCs w:val="25"/>
        </w:rPr>
        <w:t xml:space="preserve"> criteriile de participare stabilite în prezentul Regulament </w:t>
      </w:r>
      <w:proofErr w:type="spellStart"/>
      <w:r w:rsidR="00520E25" w:rsidRPr="00E3374E">
        <w:rPr>
          <w:bCs/>
          <w:sz w:val="25"/>
          <w:szCs w:val="25"/>
        </w:rPr>
        <w:t>ş</w:t>
      </w:r>
      <w:r w:rsidR="009D6B6A" w:rsidRPr="00E3374E">
        <w:rPr>
          <w:bCs/>
          <w:sz w:val="25"/>
          <w:szCs w:val="25"/>
        </w:rPr>
        <w:t>i</w:t>
      </w:r>
      <w:proofErr w:type="spellEnd"/>
      <w:r w:rsidR="009D6B6A" w:rsidRPr="00E3374E">
        <w:rPr>
          <w:bCs/>
          <w:sz w:val="25"/>
          <w:szCs w:val="25"/>
        </w:rPr>
        <w:t xml:space="preserve"> în </w:t>
      </w:r>
      <w:r w:rsidR="00514DA7" w:rsidRPr="00E3374E">
        <w:rPr>
          <w:bCs/>
          <w:sz w:val="25"/>
          <w:szCs w:val="25"/>
        </w:rPr>
        <w:t>documentația</w:t>
      </w:r>
      <w:r w:rsidR="009D6B6A" w:rsidRPr="00E3374E">
        <w:rPr>
          <w:bCs/>
          <w:sz w:val="25"/>
          <w:szCs w:val="25"/>
        </w:rPr>
        <w:t xml:space="preserve"> de </w:t>
      </w:r>
      <w:r w:rsidR="00514DA7" w:rsidRPr="00E3374E">
        <w:rPr>
          <w:bCs/>
          <w:sz w:val="25"/>
          <w:szCs w:val="25"/>
        </w:rPr>
        <w:t>licitație</w:t>
      </w:r>
      <w:r w:rsidR="009D6B6A" w:rsidRPr="00E3374E">
        <w:rPr>
          <w:bCs/>
          <w:sz w:val="25"/>
          <w:szCs w:val="25"/>
        </w:rPr>
        <w:t xml:space="preserve">. </w:t>
      </w:r>
      <w:r w:rsidR="00520E25" w:rsidRPr="00E3374E">
        <w:rPr>
          <w:bCs/>
          <w:sz w:val="25"/>
          <w:szCs w:val="25"/>
        </w:rPr>
        <w:t xml:space="preserve">Dezvoltatorul nerezident beneficiază de </w:t>
      </w:r>
      <w:r w:rsidR="00514DA7" w:rsidRPr="00E3374E">
        <w:rPr>
          <w:bCs/>
          <w:sz w:val="25"/>
          <w:szCs w:val="25"/>
        </w:rPr>
        <w:t>aceleași</w:t>
      </w:r>
      <w:r w:rsidR="00520E25" w:rsidRPr="00E3374E">
        <w:rPr>
          <w:bCs/>
          <w:sz w:val="25"/>
          <w:szCs w:val="25"/>
        </w:rPr>
        <w:t xml:space="preserve"> drepturi ca </w:t>
      </w:r>
      <w:proofErr w:type="spellStart"/>
      <w:r w:rsidR="00520E25" w:rsidRPr="00E3374E">
        <w:rPr>
          <w:bCs/>
          <w:sz w:val="25"/>
          <w:szCs w:val="25"/>
        </w:rPr>
        <w:t>şi</w:t>
      </w:r>
      <w:proofErr w:type="spellEnd"/>
      <w:r w:rsidR="00520E25" w:rsidRPr="00E3374E">
        <w:rPr>
          <w:bCs/>
          <w:sz w:val="25"/>
          <w:szCs w:val="25"/>
        </w:rPr>
        <w:t xml:space="preserve"> dezvoltatorul rezident </w:t>
      </w:r>
      <w:proofErr w:type="spellStart"/>
      <w:r w:rsidR="00520E25" w:rsidRPr="00E3374E">
        <w:rPr>
          <w:bCs/>
          <w:sz w:val="25"/>
          <w:szCs w:val="25"/>
        </w:rPr>
        <w:t>şi</w:t>
      </w:r>
      <w:proofErr w:type="spellEnd"/>
      <w:r w:rsidR="00520E25" w:rsidRPr="00E3374E">
        <w:rPr>
          <w:bCs/>
          <w:sz w:val="25"/>
          <w:szCs w:val="25"/>
        </w:rPr>
        <w:t xml:space="preserve"> trebuie să îndeplinească </w:t>
      </w:r>
      <w:r w:rsidR="00514DA7" w:rsidRPr="00E3374E">
        <w:rPr>
          <w:bCs/>
          <w:sz w:val="25"/>
          <w:szCs w:val="25"/>
        </w:rPr>
        <w:t>aceleași</w:t>
      </w:r>
      <w:r w:rsidR="00520E25" w:rsidRPr="00E3374E">
        <w:rPr>
          <w:bCs/>
          <w:sz w:val="25"/>
          <w:szCs w:val="25"/>
        </w:rPr>
        <w:t xml:space="preserve"> </w:t>
      </w:r>
      <w:r w:rsidR="00514DA7" w:rsidRPr="00E3374E">
        <w:rPr>
          <w:bCs/>
          <w:sz w:val="25"/>
          <w:szCs w:val="25"/>
        </w:rPr>
        <w:t>condiții</w:t>
      </w:r>
      <w:r w:rsidR="00520E25" w:rsidRPr="00E3374E">
        <w:rPr>
          <w:bCs/>
          <w:sz w:val="25"/>
          <w:szCs w:val="25"/>
        </w:rPr>
        <w:t xml:space="preserve"> </w:t>
      </w:r>
      <w:proofErr w:type="spellStart"/>
      <w:r w:rsidR="00520E25" w:rsidRPr="00E3374E">
        <w:rPr>
          <w:bCs/>
          <w:sz w:val="25"/>
          <w:szCs w:val="25"/>
        </w:rPr>
        <w:t>şi</w:t>
      </w:r>
      <w:proofErr w:type="spellEnd"/>
      <w:r w:rsidR="00520E25" w:rsidRPr="00E3374E">
        <w:rPr>
          <w:bCs/>
          <w:sz w:val="25"/>
          <w:szCs w:val="25"/>
        </w:rPr>
        <w:t xml:space="preserve"> crite</w:t>
      </w:r>
      <w:r w:rsidR="009D6B6A" w:rsidRPr="00E3374E">
        <w:rPr>
          <w:bCs/>
          <w:sz w:val="25"/>
          <w:szCs w:val="25"/>
        </w:rPr>
        <w:t xml:space="preserve">rii pentru a câștiga </w:t>
      </w:r>
      <w:r w:rsidR="00514DA7" w:rsidRPr="00E3374E">
        <w:rPr>
          <w:bCs/>
          <w:sz w:val="25"/>
          <w:szCs w:val="25"/>
        </w:rPr>
        <w:t>licitația</w:t>
      </w:r>
      <w:r w:rsidR="009D6B6A" w:rsidRPr="00E3374E">
        <w:rPr>
          <w:bCs/>
          <w:sz w:val="25"/>
          <w:szCs w:val="25"/>
        </w:rPr>
        <w:t xml:space="preserve">. </w:t>
      </w:r>
      <w:r w:rsidR="00514DA7" w:rsidRPr="00E3374E">
        <w:rPr>
          <w:bCs/>
          <w:sz w:val="25"/>
          <w:szCs w:val="25"/>
        </w:rPr>
        <w:t>Condițiile</w:t>
      </w:r>
      <w:r w:rsidR="00520E25" w:rsidRPr="00E3374E">
        <w:rPr>
          <w:bCs/>
          <w:sz w:val="25"/>
          <w:szCs w:val="25"/>
        </w:rPr>
        <w:t xml:space="preserve"> de participare, </w:t>
      </w:r>
      <w:r w:rsidR="00514DA7" w:rsidRPr="00E3374E">
        <w:rPr>
          <w:bCs/>
          <w:sz w:val="25"/>
          <w:szCs w:val="25"/>
        </w:rPr>
        <w:t>cerințele</w:t>
      </w:r>
      <w:r w:rsidR="00520E25" w:rsidRPr="00E3374E">
        <w:rPr>
          <w:bCs/>
          <w:sz w:val="25"/>
          <w:szCs w:val="25"/>
        </w:rPr>
        <w:t xml:space="preserve"> tehnice, financiare </w:t>
      </w:r>
      <w:proofErr w:type="spellStart"/>
      <w:r w:rsidR="00520E25" w:rsidRPr="00E3374E">
        <w:rPr>
          <w:bCs/>
          <w:sz w:val="25"/>
          <w:szCs w:val="25"/>
        </w:rPr>
        <w:t>şi</w:t>
      </w:r>
      <w:proofErr w:type="spellEnd"/>
      <w:r w:rsidR="00520E25" w:rsidRPr="00E3374E">
        <w:rPr>
          <w:bCs/>
          <w:sz w:val="25"/>
          <w:szCs w:val="25"/>
        </w:rPr>
        <w:t xml:space="preserve"> umane, precum </w:t>
      </w:r>
      <w:proofErr w:type="spellStart"/>
      <w:r w:rsidR="00520E25" w:rsidRPr="00E3374E">
        <w:rPr>
          <w:bCs/>
          <w:sz w:val="25"/>
          <w:szCs w:val="25"/>
        </w:rPr>
        <w:t>şi</w:t>
      </w:r>
      <w:proofErr w:type="spellEnd"/>
      <w:r w:rsidR="00520E25" w:rsidRPr="00E3374E">
        <w:rPr>
          <w:bCs/>
          <w:sz w:val="25"/>
          <w:szCs w:val="25"/>
        </w:rPr>
        <w:t xml:space="preserve"> criteriile de verificare </w:t>
      </w:r>
      <w:r w:rsidR="009D6B6A" w:rsidRPr="00E3374E">
        <w:rPr>
          <w:bCs/>
          <w:sz w:val="25"/>
          <w:szCs w:val="25"/>
        </w:rPr>
        <w:t>vor</w:t>
      </w:r>
      <w:r w:rsidR="00520E25" w:rsidRPr="00E3374E">
        <w:rPr>
          <w:bCs/>
          <w:sz w:val="25"/>
          <w:szCs w:val="25"/>
        </w:rPr>
        <w:t xml:space="preserve"> fi </w:t>
      </w:r>
      <w:r w:rsidR="00514DA7" w:rsidRPr="00E3374E">
        <w:rPr>
          <w:bCs/>
          <w:sz w:val="25"/>
          <w:szCs w:val="25"/>
        </w:rPr>
        <w:t>aceleași</w:t>
      </w:r>
      <w:r w:rsidR="00520E25" w:rsidRPr="00E3374E">
        <w:rPr>
          <w:bCs/>
          <w:sz w:val="25"/>
          <w:szCs w:val="25"/>
        </w:rPr>
        <w:t xml:space="preserve"> pentru </w:t>
      </w:r>
      <w:r w:rsidR="00514DA7" w:rsidRPr="00E3374E">
        <w:rPr>
          <w:bCs/>
          <w:sz w:val="25"/>
          <w:szCs w:val="25"/>
        </w:rPr>
        <w:t>toți</w:t>
      </w:r>
      <w:r w:rsidR="00520E25" w:rsidRPr="00E3374E">
        <w:rPr>
          <w:bCs/>
          <w:sz w:val="25"/>
          <w:szCs w:val="25"/>
        </w:rPr>
        <w:t xml:space="preserve"> dezvoltatorii, fără discriminare, </w:t>
      </w:r>
      <w:proofErr w:type="spellStart"/>
      <w:r w:rsidR="00520E25" w:rsidRPr="00E3374E">
        <w:rPr>
          <w:bCs/>
          <w:sz w:val="25"/>
          <w:szCs w:val="25"/>
        </w:rPr>
        <w:t>şi</w:t>
      </w:r>
      <w:proofErr w:type="spellEnd"/>
      <w:r w:rsidR="00520E25" w:rsidRPr="00E3374E">
        <w:rPr>
          <w:bCs/>
          <w:sz w:val="25"/>
          <w:szCs w:val="25"/>
        </w:rPr>
        <w:t xml:space="preserve"> </w:t>
      </w:r>
      <w:r w:rsidR="009D6B6A" w:rsidRPr="00E3374E">
        <w:rPr>
          <w:bCs/>
          <w:sz w:val="25"/>
          <w:szCs w:val="25"/>
        </w:rPr>
        <w:t>vor fi</w:t>
      </w:r>
      <w:r w:rsidR="00520E25" w:rsidRPr="00E3374E">
        <w:rPr>
          <w:bCs/>
          <w:sz w:val="25"/>
          <w:szCs w:val="25"/>
        </w:rPr>
        <w:t xml:space="preserve"> descri</w:t>
      </w:r>
      <w:r w:rsidR="009D6B6A" w:rsidRPr="00E3374E">
        <w:rPr>
          <w:bCs/>
          <w:sz w:val="25"/>
          <w:szCs w:val="25"/>
        </w:rPr>
        <w:t>se</w:t>
      </w:r>
      <w:r w:rsidR="00520E25" w:rsidRPr="00E3374E">
        <w:rPr>
          <w:bCs/>
          <w:sz w:val="25"/>
          <w:szCs w:val="25"/>
        </w:rPr>
        <w:t xml:space="preserve">, în mod obligatoriu, în </w:t>
      </w:r>
      <w:r w:rsidR="00514DA7" w:rsidRPr="00E3374E">
        <w:rPr>
          <w:bCs/>
          <w:sz w:val="25"/>
          <w:szCs w:val="25"/>
        </w:rPr>
        <w:t>documentația</w:t>
      </w:r>
      <w:r w:rsidR="00520E25" w:rsidRPr="00E3374E">
        <w:rPr>
          <w:bCs/>
          <w:sz w:val="25"/>
          <w:szCs w:val="25"/>
        </w:rPr>
        <w:t xml:space="preserve"> de </w:t>
      </w:r>
      <w:r w:rsidR="00514DA7" w:rsidRPr="00E3374E">
        <w:rPr>
          <w:bCs/>
          <w:sz w:val="25"/>
          <w:szCs w:val="25"/>
        </w:rPr>
        <w:t>licitație</w:t>
      </w:r>
      <w:r w:rsidR="00520E25" w:rsidRPr="00E3374E">
        <w:rPr>
          <w:bCs/>
          <w:sz w:val="25"/>
          <w:szCs w:val="25"/>
        </w:rPr>
        <w:t xml:space="preserve"> </w:t>
      </w:r>
      <w:r w:rsidR="009D6B6A" w:rsidRPr="00E3374E">
        <w:rPr>
          <w:bCs/>
          <w:sz w:val="25"/>
          <w:szCs w:val="25"/>
        </w:rPr>
        <w:t xml:space="preserve">elaborată </w:t>
      </w:r>
      <w:r w:rsidR="00520E25" w:rsidRPr="00E3374E">
        <w:rPr>
          <w:bCs/>
          <w:sz w:val="25"/>
          <w:szCs w:val="25"/>
        </w:rPr>
        <w:t xml:space="preserve">în conformitate cu prevederile </w:t>
      </w:r>
      <w:r w:rsidR="00836DA1" w:rsidRPr="00E3374E">
        <w:rPr>
          <w:bCs/>
          <w:sz w:val="25"/>
          <w:szCs w:val="25"/>
        </w:rPr>
        <w:t xml:space="preserve">legii și </w:t>
      </w:r>
      <w:r w:rsidR="00520E25" w:rsidRPr="00E3374E">
        <w:rPr>
          <w:bCs/>
          <w:sz w:val="25"/>
          <w:szCs w:val="25"/>
        </w:rPr>
        <w:t>Regulament</w:t>
      </w:r>
      <w:r w:rsidR="009D6B6A" w:rsidRPr="00E3374E">
        <w:rPr>
          <w:bCs/>
          <w:sz w:val="25"/>
          <w:szCs w:val="25"/>
        </w:rPr>
        <w:t>ului menționat</w:t>
      </w:r>
      <w:r w:rsidR="00520E25" w:rsidRPr="00E3374E">
        <w:rPr>
          <w:bCs/>
          <w:sz w:val="25"/>
          <w:szCs w:val="25"/>
        </w:rPr>
        <w:t xml:space="preserve">. </w:t>
      </w:r>
      <w:r w:rsidR="00E42434" w:rsidRPr="00E3374E">
        <w:rPr>
          <w:bCs/>
          <w:sz w:val="25"/>
          <w:szCs w:val="25"/>
        </w:rPr>
        <w:t xml:space="preserve"> </w:t>
      </w:r>
    </w:p>
    <w:p w:rsidR="008759A0" w:rsidRPr="00E3374E" w:rsidRDefault="0001450F" w:rsidP="008759A0">
      <w:pPr>
        <w:spacing w:before="120" w:line="360" w:lineRule="auto"/>
        <w:jc w:val="both"/>
        <w:rPr>
          <w:sz w:val="25"/>
          <w:szCs w:val="25"/>
        </w:rPr>
      </w:pPr>
      <w:r w:rsidRPr="00E3374E">
        <w:rPr>
          <w:sz w:val="25"/>
          <w:szCs w:val="25"/>
        </w:rPr>
        <w:t xml:space="preserve">Având în vedere cele menționate mai sus, solicităm respectuos promovarea proiectului </w:t>
      </w:r>
      <w:r w:rsidR="001C6DF8" w:rsidRPr="00E3374E">
        <w:rPr>
          <w:sz w:val="25"/>
          <w:szCs w:val="25"/>
        </w:rPr>
        <w:t>Hotărârii</w:t>
      </w:r>
      <w:r w:rsidRPr="00E3374E">
        <w:rPr>
          <w:sz w:val="25"/>
          <w:szCs w:val="25"/>
        </w:rPr>
        <w:t xml:space="preserve"> Guvernului </w:t>
      </w:r>
      <w:r w:rsidR="001C6DF8" w:rsidRPr="00E3374E">
        <w:rPr>
          <w:sz w:val="25"/>
          <w:szCs w:val="25"/>
        </w:rPr>
        <w:t xml:space="preserve">cu privire la aprobarea </w:t>
      </w:r>
      <w:r w:rsidR="008759A0" w:rsidRPr="00E3374E">
        <w:rPr>
          <w:sz w:val="25"/>
          <w:szCs w:val="25"/>
        </w:rPr>
        <w:t>proiectul</w:t>
      </w:r>
      <w:r w:rsidR="00273BFC">
        <w:rPr>
          <w:sz w:val="25"/>
          <w:szCs w:val="25"/>
        </w:rPr>
        <w:t>ui</w:t>
      </w:r>
      <w:r w:rsidR="008759A0" w:rsidRPr="00E3374E">
        <w:rPr>
          <w:sz w:val="25"/>
          <w:szCs w:val="25"/>
        </w:rPr>
        <w:t xml:space="preserve"> Regulamentului privind organizarea licitațiilor pentru oferirea statutului de producător eligibil. </w:t>
      </w:r>
    </w:p>
    <w:p w:rsidR="001E43A1" w:rsidRPr="00E3374E" w:rsidRDefault="001C6DF8" w:rsidP="008759A0">
      <w:pPr>
        <w:spacing w:before="120" w:line="360" w:lineRule="auto"/>
        <w:jc w:val="both"/>
        <w:rPr>
          <w:i/>
          <w:sz w:val="25"/>
          <w:szCs w:val="25"/>
          <w:u w:val="single"/>
        </w:rPr>
      </w:pPr>
      <w:r w:rsidRPr="00E3374E">
        <w:rPr>
          <w:i/>
          <w:sz w:val="25"/>
          <w:szCs w:val="25"/>
          <w:u w:val="single"/>
        </w:rPr>
        <w:t xml:space="preserve">Aspectul </w:t>
      </w:r>
      <w:proofErr w:type="spellStart"/>
      <w:r w:rsidRPr="00E3374E">
        <w:rPr>
          <w:i/>
          <w:sz w:val="25"/>
          <w:szCs w:val="25"/>
          <w:u w:val="single"/>
        </w:rPr>
        <w:t>economico</w:t>
      </w:r>
      <w:proofErr w:type="spellEnd"/>
      <w:r w:rsidRPr="00E3374E">
        <w:rPr>
          <w:i/>
          <w:sz w:val="25"/>
          <w:szCs w:val="25"/>
          <w:u w:val="single"/>
        </w:rPr>
        <w:t xml:space="preserve">-financiar. </w:t>
      </w:r>
    </w:p>
    <w:p w:rsidR="001E43A1" w:rsidRPr="00E3374E" w:rsidRDefault="001E43A1" w:rsidP="001E43A1">
      <w:pPr>
        <w:spacing w:before="120" w:line="360" w:lineRule="auto"/>
        <w:jc w:val="both"/>
        <w:rPr>
          <w:sz w:val="25"/>
          <w:szCs w:val="25"/>
        </w:rPr>
      </w:pPr>
      <w:r w:rsidRPr="00E3374E">
        <w:rPr>
          <w:sz w:val="25"/>
          <w:szCs w:val="25"/>
        </w:rPr>
        <w:t>Promovarea proiectului Regulamentului privind organizarea licitațiilor pentru oferirea statutului de producător eligibil, nu reclamă cheltuieli suplimentare din bugetul de stat.</w:t>
      </w:r>
    </w:p>
    <w:p w:rsidR="00E3374E" w:rsidRDefault="00E3374E" w:rsidP="00A72430">
      <w:pPr>
        <w:autoSpaceDE w:val="0"/>
        <w:autoSpaceDN w:val="0"/>
        <w:adjustRightInd w:val="0"/>
        <w:spacing w:before="120" w:after="120" w:line="360" w:lineRule="auto"/>
        <w:jc w:val="both"/>
        <w:rPr>
          <w:i/>
          <w:color w:val="000000"/>
          <w:sz w:val="25"/>
          <w:szCs w:val="25"/>
          <w:u w:val="single"/>
        </w:rPr>
      </w:pPr>
    </w:p>
    <w:p w:rsidR="001E43A1" w:rsidRPr="00E3374E" w:rsidRDefault="001C6DF8" w:rsidP="00A72430">
      <w:pPr>
        <w:autoSpaceDE w:val="0"/>
        <w:autoSpaceDN w:val="0"/>
        <w:adjustRightInd w:val="0"/>
        <w:spacing w:before="120" w:after="120" w:line="360" w:lineRule="auto"/>
        <w:jc w:val="both"/>
        <w:rPr>
          <w:bCs/>
          <w:iCs/>
          <w:sz w:val="25"/>
          <w:szCs w:val="25"/>
        </w:rPr>
      </w:pPr>
      <w:r w:rsidRPr="00E3374E">
        <w:rPr>
          <w:i/>
          <w:color w:val="000000"/>
          <w:sz w:val="25"/>
          <w:szCs w:val="25"/>
          <w:u w:val="single"/>
        </w:rPr>
        <w:lastRenderedPageBreak/>
        <w:t>Aspectul organizatoric</w:t>
      </w:r>
      <w:r w:rsidR="002E5788" w:rsidRPr="00E3374E">
        <w:rPr>
          <w:i/>
          <w:color w:val="000000"/>
          <w:sz w:val="25"/>
          <w:szCs w:val="25"/>
          <w:u w:val="single"/>
        </w:rPr>
        <w:t xml:space="preserve"> și normativ</w:t>
      </w:r>
      <w:r w:rsidRPr="00E3374E">
        <w:rPr>
          <w:i/>
          <w:color w:val="000000"/>
          <w:sz w:val="25"/>
          <w:szCs w:val="25"/>
          <w:u w:val="single"/>
        </w:rPr>
        <w:t>.</w:t>
      </w:r>
      <w:r w:rsidRPr="00E3374E">
        <w:rPr>
          <w:b/>
          <w:color w:val="000000"/>
          <w:sz w:val="25"/>
          <w:szCs w:val="25"/>
        </w:rPr>
        <w:t xml:space="preserve"> </w:t>
      </w:r>
    </w:p>
    <w:p w:rsidR="007551D3" w:rsidRPr="00E3374E" w:rsidRDefault="00032DE0" w:rsidP="002E5788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5"/>
          <w:szCs w:val="25"/>
        </w:rPr>
      </w:pPr>
      <w:r w:rsidRPr="00E3374E">
        <w:rPr>
          <w:sz w:val="25"/>
          <w:szCs w:val="25"/>
        </w:rPr>
        <w:t xml:space="preserve">Proiectul Regulamentului </w:t>
      </w:r>
      <w:r w:rsidR="00422764" w:rsidRPr="00E3374E">
        <w:rPr>
          <w:sz w:val="25"/>
          <w:szCs w:val="25"/>
        </w:rPr>
        <w:t>va avea un impact semnificativ pentru modernizarea</w:t>
      </w:r>
      <w:r w:rsidR="00E3374E" w:rsidRPr="00E3374E">
        <w:rPr>
          <w:sz w:val="25"/>
          <w:szCs w:val="25"/>
        </w:rPr>
        <w:t xml:space="preserve"> </w:t>
      </w:r>
      <w:r w:rsidR="00422764" w:rsidRPr="00E3374E">
        <w:rPr>
          <w:sz w:val="25"/>
          <w:szCs w:val="25"/>
        </w:rPr>
        <w:t xml:space="preserve">și </w:t>
      </w:r>
      <w:r w:rsidRPr="00E3374E">
        <w:rPr>
          <w:sz w:val="25"/>
          <w:szCs w:val="25"/>
        </w:rPr>
        <w:t xml:space="preserve">promovarea dezvoltării durabile a economiei </w:t>
      </w:r>
      <w:proofErr w:type="spellStart"/>
      <w:r w:rsidRPr="00E3374E">
        <w:rPr>
          <w:sz w:val="25"/>
          <w:szCs w:val="25"/>
        </w:rPr>
        <w:t>naţionale</w:t>
      </w:r>
      <w:proofErr w:type="spellEnd"/>
      <w:r w:rsidRPr="00E3374E">
        <w:rPr>
          <w:sz w:val="25"/>
          <w:szCs w:val="25"/>
        </w:rPr>
        <w:t xml:space="preserve"> prin încurajarea </w:t>
      </w:r>
      <w:r w:rsidR="007551D3" w:rsidRPr="00E3374E">
        <w:rPr>
          <w:sz w:val="25"/>
          <w:szCs w:val="25"/>
        </w:rPr>
        <w:t>valorificării potențialului regenerabil național, la nivelul producătorilor mari</w:t>
      </w:r>
      <w:r w:rsidRPr="00E3374E">
        <w:rPr>
          <w:sz w:val="25"/>
          <w:szCs w:val="25"/>
        </w:rPr>
        <w:t xml:space="preserve"> </w:t>
      </w:r>
      <w:proofErr w:type="spellStart"/>
      <w:r w:rsidRPr="00E3374E">
        <w:rPr>
          <w:sz w:val="25"/>
          <w:szCs w:val="25"/>
        </w:rPr>
        <w:t>şi</w:t>
      </w:r>
      <w:proofErr w:type="spellEnd"/>
      <w:r w:rsidR="007551D3" w:rsidRPr="00E3374E">
        <w:rPr>
          <w:sz w:val="25"/>
          <w:szCs w:val="25"/>
        </w:rPr>
        <w:t>, totodată,</w:t>
      </w:r>
      <w:r w:rsidRPr="00E3374E">
        <w:rPr>
          <w:sz w:val="25"/>
          <w:szCs w:val="25"/>
        </w:rPr>
        <w:t xml:space="preserve"> </w:t>
      </w:r>
      <w:r w:rsidR="007551D3" w:rsidRPr="00E3374E">
        <w:rPr>
          <w:sz w:val="25"/>
          <w:szCs w:val="25"/>
        </w:rPr>
        <w:t>va contribui considerabil la sporirea gradului de securitate energetică a Republicii Moldova</w:t>
      </w:r>
      <w:r w:rsidR="00422764" w:rsidRPr="00E3374E">
        <w:rPr>
          <w:sz w:val="25"/>
          <w:szCs w:val="25"/>
        </w:rPr>
        <w:t>.</w:t>
      </w:r>
      <w:r w:rsidRPr="00E3374E">
        <w:rPr>
          <w:sz w:val="25"/>
          <w:szCs w:val="25"/>
        </w:rPr>
        <w:t xml:space="preserve"> </w:t>
      </w:r>
      <w:r w:rsidR="00422764" w:rsidRPr="00E3374E">
        <w:rPr>
          <w:sz w:val="25"/>
          <w:szCs w:val="25"/>
        </w:rPr>
        <w:t>Totodată, d</w:t>
      </w:r>
      <w:r w:rsidR="001C6DF8" w:rsidRPr="00E3374E">
        <w:rPr>
          <w:sz w:val="25"/>
          <w:szCs w:val="25"/>
        </w:rPr>
        <w:t xml:space="preserve">at fiind </w:t>
      </w:r>
      <w:r w:rsidR="00422764" w:rsidRPr="00E3374E">
        <w:rPr>
          <w:sz w:val="25"/>
          <w:szCs w:val="25"/>
        </w:rPr>
        <w:t xml:space="preserve">faptul </w:t>
      </w:r>
      <w:r w:rsidR="001C6DF8" w:rsidRPr="00E3374E">
        <w:rPr>
          <w:sz w:val="25"/>
          <w:szCs w:val="25"/>
        </w:rPr>
        <w:t>că</w:t>
      </w:r>
      <w:r w:rsidR="00422764" w:rsidRPr="00E3374E">
        <w:rPr>
          <w:sz w:val="25"/>
          <w:szCs w:val="25"/>
        </w:rPr>
        <w:t>, valorificarea surselor de energie regenerabilă</w:t>
      </w:r>
      <w:r w:rsidR="001C6DF8" w:rsidRPr="00E3374E">
        <w:rPr>
          <w:sz w:val="25"/>
          <w:szCs w:val="25"/>
        </w:rPr>
        <w:t xml:space="preserve"> reprezintă un sector </w:t>
      </w:r>
      <w:r w:rsidR="007551D3" w:rsidRPr="00E3374E">
        <w:rPr>
          <w:sz w:val="25"/>
          <w:szCs w:val="25"/>
        </w:rPr>
        <w:t>specific</w:t>
      </w:r>
      <w:r w:rsidR="001C6DF8" w:rsidRPr="00E3374E">
        <w:rPr>
          <w:sz w:val="25"/>
          <w:szCs w:val="25"/>
        </w:rPr>
        <w:t>,</w:t>
      </w:r>
      <w:r w:rsidR="007B0319" w:rsidRPr="00E3374E">
        <w:rPr>
          <w:sz w:val="25"/>
          <w:szCs w:val="25"/>
        </w:rPr>
        <w:t xml:space="preserve"> c</w:t>
      </w:r>
      <w:r w:rsidR="00422764" w:rsidRPr="00E3374E">
        <w:rPr>
          <w:sz w:val="25"/>
          <w:szCs w:val="25"/>
        </w:rPr>
        <w:t>u</w:t>
      </w:r>
      <w:r w:rsidR="007B0319" w:rsidRPr="00E3374E">
        <w:rPr>
          <w:sz w:val="25"/>
          <w:szCs w:val="25"/>
        </w:rPr>
        <w:t xml:space="preserve"> element</w:t>
      </w:r>
      <w:r w:rsidR="00422764" w:rsidRPr="00E3374E">
        <w:rPr>
          <w:sz w:val="25"/>
          <w:szCs w:val="25"/>
        </w:rPr>
        <w:t>e</w:t>
      </w:r>
      <w:r w:rsidR="007B0319" w:rsidRPr="00E3374E">
        <w:rPr>
          <w:sz w:val="25"/>
          <w:szCs w:val="25"/>
        </w:rPr>
        <w:t xml:space="preserve"> prezent</w:t>
      </w:r>
      <w:r w:rsidR="00422764" w:rsidRPr="00E3374E">
        <w:rPr>
          <w:sz w:val="25"/>
          <w:szCs w:val="25"/>
        </w:rPr>
        <w:t>e</w:t>
      </w:r>
      <w:r w:rsidR="007B0319" w:rsidRPr="00E3374E">
        <w:rPr>
          <w:sz w:val="25"/>
          <w:szCs w:val="25"/>
        </w:rPr>
        <w:t xml:space="preserve"> în </w:t>
      </w:r>
      <w:r w:rsidR="00422764" w:rsidRPr="00E3374E">
        <w:rPr>
          <w:sz w:val="25"/>
          <w:szCs w:val="25"/>
        </w:rPr>
        <w:t>mai multe</w:t>
      </w:r>
      <w:r w:rsidR="007B0319" w:rsidRPr="00E3374E">
        <w:rPr>
          <w:sz w:val="25"/>
          <w:szCs w:val="25"/>
        </w:rPr>
        <w:t xml:space="preserve"> politici</w:t>
      </w:r>
      <w:r w:rsidR="007551D3" w:rsidRPr="00E3374E">
        <w:rPr>
          <w:sz w:val="25"/>
          <w:szCs w:val="25"/>
        </w:rPr>
        <w:t xml:space="preserve"> sectoriale</w:t>
      </w:r>
      <w:r w:rsidR="007B0319" w:rsidRPr="00E3374E">
        <w:rPr>
          <w:sz w:val="25"/>
          <w:szCs w:val="25"/>
        </w:rPr>
        <w:t>,</w:t>
      </w:r>
      <w:r w:rsidR="001C6DF8" w:rsidRPr="00E3374E">
        <w:rPr>
          <w:sz w:val="25"/>
          <w:szCs w:val="25"/>
        </w:rPr>
        <w:t xml:space="preserve"> implementarea </w:t>
      </w:r>
      <w:r w:rsidR="001C6DF8" w:rsidRPr="00E3374E">
        <w:rPr>
          <w:bCs/>
          <w:iCs/>
          <w:sz w:val="25"/>
          <w:szCs w:val="25"/>
        </w:rPr>
        <w:t xml:space="preserve">prezentului </w:t>
      </w:r>
      <w:r w:rsidR="00422764" w:rsidRPr="00E3374E">
        <w:rPr>
          <w:bCs/>
          <w:iCs/>
          <w:sz w:val="25"/>
          <w:szCs w:val="25"/>
        </w:rPr>
        <w:t>Regulament</w:t>
      </w:r>
      <w:r w:rsidR="001C6DF8" w:rsidRPr="00E3374E">
        <w:rPr>
          <w:bCs/>
          <w:iCs/>
          <w:sz w:val="25"/>
          <w:szCs w:val="25"/>
        </w:rPr>
        <w:t xml:space="preserve"> va </w:t>
      </w:r>
      <w:r w:rsidR="007551D3" w:rsidRPr="00E3374E">
        <w:rPr>
          <w:bCs/>
          <w:iCs/>
          <w:sz w:val="25"/>
          <w:szCs w:val="25"/>
        </w:rPr>
        <w:t>impune consolidarea comunicării între m</w:t>
      </w:r>
      <w:r w:rsidR="001C6DF8" w:rsidRPr="00E3374E">
        <w:rPr>
          <w:bCs/>
          <w:iCs/>
          <w:sz w:val="25"/>
          <w:szCs w:val="25"/>
        </w:rPr>
        <w:t>ai mult</w:t>
      </w:r>
      <w:r w:rsidR="007551D3" w:rsidRPr="00E3374E">
        <w:rPr>
          <w:bCs/>
          <w:iCs/>
          <w:sz w:val="25"/>
          <w:szCs w:val="25"/>
        </w:rPr>
        <w:t>e</w:t>
      </w:r>
      <w:r w:rsidR="001C6DF8" w:rsidRPr="00E3374E">
        <w:rPr>
          <w:bCs/>
          <w:iCs/>
          <w:sz w:val="25"/>
          <w:szCs w:val="25"/>
        </w:rPr>
        <w:t xml:space="preserve"> </w:t>
      </w:r>
      <w:r w:rsidR="00A72430" w:rsidRPr="00E3374E">
        <w:rPr>
          <w:bCs/>
          <w:iCs/>
          <w:sz w:val="25"/>
          <w:szCs w:val="25"/>
        </w:rPr>
        <w:t>autorități publice naționale cum ar fi</w:t>
      </w:r>
      <w:r w:rsidR="001C6DF8" w:rsidRPr="00E3374E">
        <w:rPr>
          <w:bCs/>
          <w:iCs/>
          <w:sz w:val="25"/>
          <w:szCs w:val="25"/>
        </w:rPr>
        <w:t xml:space="preserve"> Ministerul Dezvoltării Regio</w:t>
      </w:r>
      <w:r w:rsidR="00E3374E" w:rsidRPr="00E3374E">
        <w:rPr>
          <w:bCs/>
          <w:iCs/>
          <w:sz w:val="25"/>
          <w:szCs w:val="25"/>
        </w:rPr>
        <w:t>nale și Construcțiilor, Minister</w:t>
      </w:r>
      <w:r w:rsidR="001C6DF8" w:rsidRPr="00E3374E">
        <w:rPr>
          <w:bCs/>
          <w:iCs/>
          <w:sz w:val="25"/>
          <w:szCs w:val="25"/>
        </w:rPr>
        <w:t xml:space="preserve">ul Mediului, </w:t>
      </w:r>
      <w:r w:rsidR="00836DA1" w:rsidRPr="00E3374E">
        <w:rPr>
          <w:bCs/>
          <w:iCs/>
          <w:sz w:val="25"/>
          <w:szCs w:val="25"/>
        </w:rPr>
        <w:t xml:space="preserve">Ministerul Agriculturii </w:t>
      </w:r>
      <w:proofErr w:type="spellStart"/>
      <w:r w:rsidR="00836DA1" w:rsidRPr="00E3374E">
        <w:rPr>
          <w:bCs/>
          <w:iCs/>
          <w:sz w:val="25"/>
          <w:szCs w:val="25"/>
        </w:rPr>
        <w:t>şi</w:t>
      </w:r>
      <w:proofErr w:type="spellEnd"/>
      <w:r w:rsidR="00836DA1" w:rsidRPr="00E3374E">
        <w:rPr>
          <w:bCs/>
          <w:iCs/>
          <w:sz w:val="25"/>
          <w:szCs w:val="25"/>
        </w:rPr>
        <w:t xml:space="preserve"> Industriei Alimentare, Agenția Relații Funciare și Cadastru, </w:t>
      </w:r>
      <w:r w:rsidR="002E5788" w:rsidRPr="00E3374E">
        <w:rPr>
          <w:bCs/>
          <w:iCs/>
          <w:sz w:val="25"/>
          <w:szCs w:val="25"/>
        </w:rPr>
        <w:t xml:space="preserve">Agenția pentru Eficiență Energetică, </w:t>
      </w:r>
      <w:r w:rsidR="001C6DF8" w:rsidRPr="00E3374E">
        <w:rPr>
          <w:bCs/>
          <w:iCs/>
          <w:sz w:val="25"/>
          <w:szCs w:val="25"/>
        </w:rPr>
        <w:t>Inspec</w:t>
      </w:r>
      <w:r w:rsidR="00A72430" w:rsidRPr="00E3374E">
        <w:rPr>
          <w:bCs/>
          <w:iCs/>
          <w:sz w:val="25"/>
          <w:szCs w:val="25"/>
        </w:rPr>
        <w:t>toratul energetic de stat, etc., atât la etapa de coordonare a unor inițiative – în vederea</w:t>
      </w:r>
      <w:r w:rsidR="00FF31F4">
        <w:rPr>
          <w:bCs/>
          <w:iCs/>
          <w:sz w:val="25"/>
          <w:szCs w:val="25"/>
        </w:rPr>
        <w:t xml:space="preserve"> asigurării sinergiei eforturilor</w:t>
      </w:r>
      <w:r w:rsidR="00A72430" w:rsidRPr="00E3374E">
        <w:rPr>
          <w:bCs/>
          <w:iCs/>
          <w:sz w:val="25"/>
          <w:szCs w:val="25"/>
        </w:rPr>
        <w:t xml:space="preserve"> depuse, cât și la etapa de monitorizar</w:t>
      </w:r>
      <w:r w:rsidR="00836DA1" w:rsidRPr="00E3374E">
        <w:rPr>
          <w:bCs/>
          <w:iCs/>
          <w:sz w:val="25"/>
          <w:szCs w:val="25"/>
        </w:rPr>
        <w:t>e a impactului generat de ace</w:t>
      </w:r>
      <w:r w:rsidR="007551D3" w:rsidRPr="00E3374E">
        <w:rPr>
          <w:bCs/>
          <w:iCs/>
          <w:sz w:val="25"/>
          <w:szCs w:val="25"/>
        </w:rPr>
        <w:t>a</w:t>
      </w:r>
      <w:r w:rsidR="00836DA1" w:rsidRPr="00E3374E">
        <w:rPr>
          <w:bCs/>
          <w:iCs/>
          <w:sz w:val="25"/>
          <w:szCs w:val="25"/>
        </w:rPr>
        <w:t>stă</w:t>
      </w:r>
      <w:r w:rsidR="00A72430" w:rsidRPr="00E3374E">
        <w:rPr>
          <w:bCs/>
          <w:iCs/>
          <w:sz w:val="25"/>
          <w:szCs w:val="25"/>
        </w:rPr>
        <w:t xml:space="preserve"> inițiativ</w:t>
      </w:r>
      <w:r w:rsidR="00836DA1" w:rsidRPr="00E3374E">
        <w:rPr>
          <w:bCs/>
          <w:iCs/>
          <w:sz w:val="25"/>
          <w:szCs w:val="25"/>
        </w:rPr>
        <w:t>ă</w:t>
      </w:r>
      <w:r w:rsidR="00A72430" w:rsidRPr="00E3374E">
        <w:rPr>
          <w:bCs/>
          <w:iCs/>
          <w:sz w:val="25"/>
          <w:szCs w:val="25"/>
        </w:rPr>
        <w:t>.</w:t>
      </w:r>
      <w:r w:rsidR="002E5788" w:rsidRPr="00E3374E">
        <w:rPr>
          <w:bCs/>
          <w:iCs/>
          <w:sz w:val="25"/>
          <w:szCs w:val="25"/>
        </w:rPr>
        <w:t xml:space="preserve"> </w:t>
      </w:r>
    </w:p>
    <w:p w:rsidR="0001450F" w:rsidRPr="00E3374E" w:rsidRDefault="006A3EE1" w:rsidP="007551D3">
      <w:pPr>
        <w:autoSpaceDE w:val="0"/>
        <w:autoSpaceDN w:val="0"/>
        <w:adjustRightInd w:val="0"/>
        <w:spacing w:before="120" w:after="120" w:line="360" w:lineRule="auto"/>
        <w:jc w:val="both"/>
        <w:rPr>
          <w:bCs/>
          <w:iCs/>
          <w:sz w:val="25"/>
          <w:szCs w:val="25"/>
        </w:rPr>
      </w:pPr>
      <w:r w:rsidRPr="00E3374E">
        <w:rPr>
          <w:bCs/>
          <w:iCs/>
          <w:sz w:val="25"/>
          <w:szCs w:val="25"/>
        </w:rPr>
        <w:t>De menționat că</w:t>
      </w:r>
      <w:r w:rsidR="00FF31F4">
        <w:rPr>
          <w:bCs/>
          <w:iCs/>
          <w:sz w:val="25"/>
          <w:szCs w:val="25"/>
        </w:rPr>
        <w:t>,</w:t>
      </w:r>
      <w:bookmarkStart w:id="0" w:name="_GoBack"/>
      <w:bookmarkEnd w:id="0"/>
      <w:r w:rsidRPr="00E3374E">
        <w:rPr>
          <w:bCs/>
          <w:iCs/>
          <w:sz w:val="25"/>
          <w:szCs w:val="25"/>
        </w:rPr>
        <w:t xml:space="preserve"> </w:t>
      </w:r>
      <w:r w:rsidR="00D70363" w:rsidRPr="00E3374E">
        <w:rPr>
          <w:bCs/>
          <w:iCs/>
          <w:sz w:val="25"/>
          <w:szCs w:val="25"/>
        </w:rPr>
        <w:t>l</w:t>
      </w:r>
      <w:r w:rsidR="001C6DF8" w:rsidRPr="00E3374E">
        <w:rPr>
          <w:sz w:val="25"/>
          <w:szCs w:val="25"/>
        </w:rPr>
        <w:t xml:space="preserve">a elaborarea proiectului </w:t>
      </w:r>
      <w:r w:rsidR="00D70363" w:rsidRPr="00E3374E">
        <w:rPr>
          <w:sz w:val="25"/>
          <w:szCs w:val="25"/>
        </w:rPr>
        <w:t xml:space="preserve">Regulamentului </w:t>
      </w:r>
      <w:r w:rsidRPr="00E3374E">
        <w:rPr>
          <w:sz w:val="25"/>
          <w:szCs w:val="25"/>
        </w:rPr>
        <w:t>respectiv</w:t>
      </w:r>
      <w:r w:rsidR="00D70363" w:rsidRPr="00E3374E">
        <w:rPr>
          <w:sz w:val="25"/>
          <w:szCs w:val="25"/>
        </w:rPr>
        <w:t>,</w:t>
      </w:r>
      <w:r w:rsidR="001C6DF8" w:rsidRPr="00E3374E">
        <w:rPr>
          <w:sz w:val="25"/>
          <w:szCs w:val="25"/>
        </w:rPr>
        <w:t xml:space="preserve"> au fost luate în considerație opiniile și recomandările reprezentanților </w:t>
      </w:r>
      <w:r w:rsidR="00A72430" w:rsidRPr="00E3374E">
        <w:rPr>
          <w:sz w:val="25"/>
          <w:szCs w:val="25"/>
        </w:rPr>
        <w:t xml:space="preserve">Grupului </w:t>
      </w:r>
      <w:r w:rsidR="001C6DF8" w:rsidRPr="00E3374E">
        <w:rPr>
          <w:sz w:val="25"/>
          <w:szCs w:val="25"/>
        </w:rPr>
        <w:t xml:space="preserve">de lucru </w:t>
      </w:r>
      <w:r w:rsidR="00A72430" w:rsidRPr="00E3374E">
        <w:rPr>
          <w:sz w:val="25"/>
          <w:szCs w:val="25"/>
        </w:rPr>
        <w:t xml:space="preserve">creat în acest sens, </w:t>
      </w:r>
      <w:r w:rsidR="00C26501" w:rsidRPr="00E3374E">
        <w:rPr>
          <w:sz w:val="25"/>
          <w:szCs w:val="25"/>
        </w:rPr>
        <w:t>a fost analizată și luată în calcul experiența internațională în organizarea și desfășurarea licitațiilor, precum și au fost consultați</w:t>
      </w:r>
      <w:r w:rsidR="00A72430" w:rsidRPr="00E3374E">
        <w:rPr>
          <w:sz w:val="25"/>
          <w:szCs w:val="25"/>
        </w:rPr>
        <w:t xml:space="preserve"> </w:t>
      </w:r>
      <w:r w:rsidR="001C6DF8" w:rsidRPr="00E3374E">
        <w:rPr>
          <w:sz w:val="25"/>
          <w:szCs w:val="25"/>
        </w:rPr>
        <w:t xml:space="preserve">experți </w:t>
      </w:r>
      <w:r w:rsidRPr="00E3374E">
        <w:rPr>
          <w:sz w:val="25"/>
          <w:szCs w:val="25"/>
        </w:rPr>
        <w:t xml:space="preserve">naționali și internaționali </w:t>
      </w:r>
      <w:r w:rsidR="00C26501" w:rsidRPr="00E3374E">
        <w:rPr>
          <w:sz w:val="25"/>
          <w:szCs w:val="25"/>
        </w:rPr>
        <w:t>în domeniu</w:t>
      </w:r>
      <w:r w:rsidR="00A72430" w:rsidRPr="00E3374E">
        <w:rPr>
          <w:sz w:val="25"/>
          <w:szCs w:val="25"/>
        </w:rPr>
        <w:t>.</w:t>
      </w:r>
    </w:p>
    <w:p w:rsidR="00E658C6" w:rsidRPr="00E3374E" w:rsidRDefault="00E658C6" w:rsidP="0001450F">
      <w:pPr>
        <w:spacing w:after="120"/>
        <w:jc w:val="both"/>
        <w:rPr>
          <w:sz w:val="25"/>
          <w:szCs w:val="25"/>
        </w:rPr>
      </w:pPr>
    </w:p>
    <w:p w:rsidR="00C26501" w:rsidRPr="00E3374E" w:rsidRDefault="00C26501" w:rsidP="0001450F">
      <w:pPr>
        <w:spacing w:after="120"/>
        <w:jc w:val="both"/>
        <w:rPr>
          <w:sz w:val="25"/>
          <w:szCs w:val="25"/>
        </w:rPr>
      </w:pPr>
    </w:p>
    <w:p w:rsidR="00C26501" w:rsidRPr="00E3374E" w:rsidRDefault="00C26501" w:rsidP="0001450F">
      <w:pPr>
        <w:spacing w:after="120"/>
        <w:jc w:val="both"/>
        <w:rPr>
          <w:sz w:val="25"/>
          <w:szCs w:val="25"/>
        </w:rPr>
      </w:pPr>
    </w:p>
    <w:p w:rsidR="00F81933" w:rsidRPr="00E3374E" w:rsidRDefault="00514DA7" w:rsidP="00683502">
      <w:pPr>
        <w:spacing w:after="120"/>
        <w:jc w:val="center"/>
        <w:rPr>
          <w:sz w:val="25"/>
          <w:szCs w:val="25"/>
        </w:rPr>
      </w:pPr>
      <w:r w:rsidRPr="00E3374E">
        <w:rPr>
          <w:b/>
          <w:sz w:val="25"/>
          <w:szCs w:val="25"/>
        </w:rPr>
        <w:t>Vice</w:t>
      </w:r>
      <w:r w:rsidR="00683502">
        <w:rPr>
          <w:b/>
          <w:sz w:val="25"/>
          <w:szCs w:val="25"/>
        </w:rPr>
        <w:t>ministru</w:t>
      </w:r>
      <w:r w:rsidRPr="00E3374E">
        <w:rPr>
          <w:b/>
          <w:sz w:val="25"/>
          <w:szCs w:val="25"/>
        </w:rPr>
        <w:t xml:space="preserve">                                                                       </w:t>
      </w:r>
      <w:r w:rsidR="00683502">
        <w:rPr>
          <w:b/>
          <w:sz w:val="25"/>
          <w:szCs w:val="25"/>
        </w:rPr>
        <w:t>Vitalie IURCU</w:t>
      </w:r>
      <w:r w:rsidR="00461C89" w:rsidRPr="00E3374E">
        <w:rPr>
          <w:b/>
          <w:noProof/>
          <w:color w:val="000000"/>
          <w:sz w:val="25"/>
          <w:szCs w:val="25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88084A" wp14:editId="77B2C550">
                <wp:simplePos x="0" y="0"/>
                <wp:positionH relativeFrom="margin">
                  <wp:posOffset>-118027</wp:posOffset>
                </wp:positionH>
                <wp:positionV relativeFrom="margin">
                  <wp:posOffset>9149908</wp:posOffset>
                </wp:positionV>
                <wp:extent cx="1587500" cy="532738"/>
                <wp:effectExtent l="0" t="0" r="0" b="1270"/>
                <wp:wrapNone/>
                <wp:docPr id="3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532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038" w:rsidRPr="00E3374E" w:rsidRDefault="00485038" w:rsidP="00270CA5">
                            <w:pPr>
                              <w:pStyle w:val="Footer"/>
                              <w:rPr>
                                <w:rFonts w:ascii="Garamond" w:hAnsi="Garamond" w:cs="Garamond"/>
                                <w:sz w:val="16"/>
                                <w:szCs w:val="16"/>
                              </w:rPr>
                            </w:pPr>
                            <w:r w:rsidRPr="00683502">
                              <w:rPr>
                                <w:rFonts w:ascii="Garamond" w:hAnsi="Garamond" w:cs="Garamond"/>
                                <w:sz w:val="16"/>
                                <w:szCs w:val="16"/>
                                <w:lang w:val="it-IT"/>
                              </w:rPr>
                              <w:t xml:space="preserve">ex.: </w:t>
                            </w:r>
                            <w:r w:rsidR="002E5788" w:rsidRPr="00683502">
                              <w:rPr>
                                <w:rFonts w:ascii="Garamond" w:hAnsi="Garamond" w:cs="Garamond"/>
                                <w:sz w:val="16"/>
                                <w:szCs w:val="16"/>
                                <w:lang w:val="it-IT"/>
                              </w:rPr>
                              <w:t>Nicolae OLARI</w:t>
                            </w:r>
                          </w:p>
                          <w:p w:rsidR="00485038" w:rsidRPr="00E3374E" w:rsidRDefault="002E5788" w:rsidP="00270CA5">
                            <w:pPr>
                              <w:pStyle w:val="Footer"/>
                              <w:rPr>
                                <w:rFonts w:ascii="Garamond" w:hAnsi="Garamond" w:cs="Garamond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3374E">
                              <w:rPr>
                                <w:rFonts w:ascii="Garamond" w:hAnsi="Garamond" w:cs="Garamond"/>
                                <w:sz w:val="16"/>
                                <w:szCs w:val="16"/>
                              </w:rPr>
                              <w:t>email.:nicolae.olari</w:t>
                            </w:r>
                            <w:r w:rsidR="00485038" w:rsidRPr="00E3374E">
                              <w:rPr>
                                <w:rFonts w:ascii="Garamond" w:hAnsi="Garamond" w:cs="Garamond"/>
                                <w:sz w:val="16"/>
                                <w:szCs w:val="16"/>
                              </w:rPr>
                              <w:t>@mec.gov.md</w:t>
                            </w:r>
                            <w:proofErr w:type="spellEnd"/>
                          </w:p>
                          <w:p w:rsidR="00485038" w:rsidRPr="00E3374E" w:rsidRDefault="00485038" w:rsidP="00270CA5">
                            <w:pPr>
                              <w:pStyle w:val="Footer"/>
                              <w:rPr>
                                <w:sz w:val="20"/>
                              </w:rPr>
                            </w:pPr>
                            <w:r w:rsidRPr="00E3374E">
                              <w:rPr>
                                <w:rFonts w:ascii="Garamond" w:hAnsi="Garamond" w:cs="Garamond"/>
                                <w:sz w:val="20"/>
                                <w:lang w:val="en-US"/>
                              </w:rPr>
                              <w:t>022.250.6</w:t>
                            </w:r>
                            <w:r w:rsidR="00683502">
                              <w:rPr>
                                <w:rFonts w:ascii="Garamond" w:hAnsi="Garamond" w:cs="Garamond"/>
                                <w:sz w:val="20"/>
                                <w:lang w:val="en-US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8084A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-9.3pt;margin-top:720.45pt;width:125pt;height:41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" filled="f" stroked="f">
                <v:textbox>
                  <w:txbxContent>
                    <w:p w:rsidR="00485038" w:rsidRPr="00E3374E" w:rsidRDefault="00485038" w:rsidP="00270CA5">
                      <w:pPr>
                        <w:pStyle w:val="Footer"/>
                        <w:rPr>
                          <w:rFonts w:ascii="Garamond" w:hAnsi="Garamond" w:cs="Garamond"/>
                          <w:sz w:val="16"/>
                          <w:szCs w:val="16"/>
                        </w:rPr>
                      </w:pPr>
                      <w:r w:rsidRPr="00683502">
                        <w:rPr>
                          <w:rFonts w:ascii="Garamond" w:hAnsi="Garamond" w:cs="Garamond"/>
                          <w:sz w:val="16"/>
                          <w:szCs w:val="16"/>
                          <w:lang w:val="it-IT"/>
                        </w:rPr>
                        <w:t xml:space="preserve">ex.: </w:t>
                      </w:r>
                      <w:r w:rsidR="002E5788" w:rsidRPr="00683502">
                        <w:rPr>
                          <w:rFonts w:ascii="Garamond" w:hAnsi="Garamond" w:cs="Garamond"/>
                          <w:sz w:val="16"/>
                          <w:szCs w:val="16"/>
                          <w:lang w:val="it-IT"/>
                        </w:rPr>
                        <w:t>Nicolae OLARI</w:t>
                      </w:r>
                    </w:p>
                    <w:p w:rsidR="00485038" w:rsidRPr="00E3374E" w:rsidRDefault="002E5788" w:rsidP="00270CA5">
                      <w:pPr>
                        <w:pStyle w:val="Footer"/>
                        <w:rPr>
                          <w:rFonts w:ascii="Garamond" w:hAnsi="Garamond" w:cs="Garamond"/>
                          <w:sz w:val="16"/>
                          <w:szCs w:val="16"/>
                        </w:rPr>
                      </w:pPr>
                      <w:proofErr w:type="spellStart"/>
                      <w:r w:rsidRPr="00E3374E">
                        <w:rPr>
                          <w:rFonts w:ascii="Garamond" w:hAnsi="Garamond" w:cs="Garamond"/>
                          <w:sz w:val="16"/>
                          <w:szCs w:val="16"/>
                        </w:rPr>
                        <w:t>email.:nicolae.olari</w:t>
                      </w:r>
                      <w:r w:rsidR="00485038" w:rsidRPr="00E3374E">
                        <w:rPr>
                          <w:rFonts w:ascii="Garamond" w:hAnsi="Garamond" w:cs="Garamond"/>
                          <w:sz w:val="16"/>
                          <w:szCs w:val="16"/>
                        </w:rPr>
                        <w:t>@mec.gov.md</w:t>
                      </w:r>
                      <w:proofErr w:type="spellEnd"/>
                    </w:p>
                    <w:p w:rsidR="00485038" w:rsidRPr="00E3374E" w:rsidRDefault="00485038" w:rsidP="00270CA5">
                      <w:pPr>
                        <w:pStyle w:val="Footer"/>
                        <w:rPr>
                          <w:sz w:val="20"/>
                        </w:rPr>
                      </w:pPr>
                      <w:r w:rsidRPr="00E3374E">
                        <w:rPr>
                          <w:rFonts w:ascii="Garamond" w:hAnsi="Garamond" w:cs="Garamond"/>
                          <w:sz w:val="20"/>
                          <w:lang w:val="en-US"/>
                        </w:rPr>
                        <w:t>022.250.6</w:t>
                      </w:r>
                      <w:r w:rsidR="00683502">
                        <w:rPr>
                          <w:rFonts w:ascii="Garamond" w:hAnsi="Garamond" w:cs="Garamond"/>
                          <w:sz w:val="20"/>
                          <w:lang w:val="en-US"/>
                        </w:rPr>
                        <w:t>90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F81933" w:rsidRPr="00E3374E" w:rsidSect="00461C89">
      <w:headerReference w:type="default" r:id="rId7"/>
      <w:footerReference w:type="default" r:id="rId8"/>
      <w:pgSz w:w="11906" w:h="16838"/>
      <w:pgMar w:top="568" w:right="850" w:bottom="1134" w:left="1701" w:header="708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DCC" w:rsidRDefault="008D5DCC">
      <w:r>
        <w:separator/>
      </w:r>
    </w:p>
  </w:endnote>
  <w:endnote w:type="continuationSeparator" w:id="0">
    <w:p w:rsidR="008D5DCC" w:rsidRDefault="008D5DCC">
      <w:r>
        <w:continuationSeparator/>
      </w:r>
    </w:p>
  </w:endnote>
  <w:endnote w:type="continuationNotice" w:id="1">
    <w:p w:rsidR="008D5DCC" w:rsidRDefault="008D5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  <w:sz w:val="20"/>
      </w:rPr>
      <w:id w:val="-1633707668"/>
      <w:docPartObj>
        <w:docPartGallery w:val="Page Numbers (Bottom of Page)"/>
        <w:docPartUnique/>
      </w:docPartObj>
    </w:sdtPr>
    <w:sdtEndPr/>
    <w:sdtContent>
      <w:p w:rsidR="005C558A" w:rsidRPr="005C558A" w:rsidRDefault="005C558A">
        <w:pPr>
          <w:pStyle w:val="Footer"/>
          <w:jc w:val="right"/>
          <w:rPr>
            <w:rFonts w:ascii="Garamond" w:hAnsi="Garamond"/>
            <w:sz w:val="20"/>
          </w:rPr>
        </w:pPr>
        <w:r w:rsidRPr="005C558A">
          <w:rPr>
            <w:rFonts w:ascii="Garamond" w:hAnsi="Garamond"/>
            <w:sz w:val="20"/>
          </w:rPr>
          <w:fldChar w:fldCharType="begin"/>
        </w:r>
        <w:r w:rsidRPr="005C558A">
          <w:rPr>
            <w:rFonts w:ascii="Garamond" w:hAnsi="Garamond"/>
            <w:sz w:val="20"/>
          </w:rPr>
          <w:instrText>PAGE   \* MERGEFORMAT</w:instrText>
        </w:r>
        <w:r w:rsidRPr="005C558A">
          <w:rPr>
            <w:rFonts w:ascii="Garamond" w:hAnsi="Garamond"/>
            <w:sz w:val="20"/>
          </w:rPr>
          <w:fldChar w:fldCharType="separate"/>
        </w:r>
        <w:r w:rsidR="00FF31F4">
          <w:rPr>
            <w:rFonts w:ascii="Garamond" w:hAnsi="Garamond"/>
            <w:noProof/>
            <w:sz w:val="20"/>
          </w:rPr>
          <w:t>4</w:t>
        </w:r>
        <w:r w:rsidRPr="005C558A">
          <w:rPr>
            <w:rFonts w:ascii="Garamond" w:hAnsi="Garamond"/>
            <w:sz w:val="20"/>
          </w:rPr>
          <w:fldChar w:fldCharType="end"/>
        </w:r>
      </w:p>
    </w:sdtContent>
  </w:sdt>
  <w:p w:rsidR="005C558A" w:rsidRDefault="005C55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DCC" w:rsidRDefault="008D5DCC">
      <w:r>
        <w:separator/>
      </w:r>
    </w:p>
  </w:footnote>
  <w:footnote w:type="continuationSeparator" w:id="0">
    <w:p w:rsidR="008D5DCC" w:rsidRDefault="008D5DCC">
      <w:r>
        <w:continuationSeparator/>
      </w:r>
    </w:p>
  </w:footnote>
  <w:footnote w:type="continuationNotice" w:id="1">
    <w:p w:rsidR="008D5DCC" w:rsidRDefault="008D5D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7D5" w:rsidRDefault="009177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60476"/>
    <w:multiLevelType w:val="hybridMultilevel"/>
    <w:tmpl w:val="BD8C3436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C7604"/>
    <w:multiLevelType w:val="hybridMultilevel"/>
    <w:tmpl w:val="AE64A7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C5EDB"/>
    <w:multiLevelType w:val="hybridMultilevel"/>
    <w:tmpl w:val="724429B6"/>
    <w:lvl w:ilvl="0" w:tplc="1A9C3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12009"/>
    <w:multiLevelType w:val="hybridMultilevel"/>
    <w:tmpl w:val="84A41354"/>
    <w:lvl w:ilvl="0" w:tplc="04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4" w15:restartNumberingAfterBreak="0">
    <w:nsid w:val="3F3057B2"/>
    <w:multiLevelType w:val="hybridMultilevel"/>
    <w:tmpl w:val="69460A7A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53785"/>
    <w:multiLevelType w:val="hybridMultilevel"/>
    <w:tmpl w:val="B1D4AF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997F1B"/>
    <w:multiLevelType w:val="hybridMultilevel"/>
    <w:tmpl w:val="4BF6A9DC"/>
    <w:lvl w:ilvl="0" w:tplc="E9064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238A2"/>
    <w:multiLevelType w:val="hybridMultilevel"/>
    <w:tmpl w:val="B7746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0F"/>
    <w:rsid w:val="000073EE"/>
    <w:rsid w:val="0001450F"/>
    <w:rsid w:val="00023068"/>
    <w:rsid w:val="00032DE0"/>
    <w:rsid w:val="000464B8"/>
    <w:rsid w:val="000C2D94"/>
    <w:rsid w:val="000D0A29"/>
    <w:rsid w:val="000F5EB1"/>
    <w:rsid w:val="000F746F"/>
    <w:rsid w:val="00107A7A"/>
    <w:rsid w:val="001407AF"/>
    <w:rsid w:val="00147A03"/>
    <w:rsid w:val="00157D07"/>
    <w:rsid w:val="001718E3"/>
    <w:rsid w:val="00180B17"/>
    <w:rsid w:val="0018685D"/>
    <w:rsid w:val="00190864"/>
    <w:rsid w:val="001A2824"/>
    <w:rsid w:val="001B1B74"/>
    <w:rsid w:val="001C6DF8"/>
    <w:rsid w:val="001E43A1"/>
    <w:rsid w:val="001E7B6F"/>
    <w:rsid w:val="00204D39"/>
    <w:rsid w:val="002511E9"/>
    <w:rsid w:val="00251843"/>
    <w:rsid w:val="00273BFC"/>
    <w:rsid w:val="00297C61"/>
    <w:rsid w:val="002A7748"/>
    <w:rsid w:val="002B5331"/>
    <w:rsid w:val="002C7A0C"/>
    <w:rsid w:val="002D3E8C"/>
    <w:rsid w:val="002E5788"/>
    <w:rsid w:val="00333147"/>
    <w:rsid w:val="00334F84"/>
    <w:rsid w:val="00342E91"/>
    <w:rsid w:val="00390C1E"/>
    <w:rsid w:val="003A48B1"/>
    <w:rsid w:val="003D10D7"/>
    <w:rsid w:val="00422764"/>
    <w:rsid w:val="00461C89"/>
    <w:rsid w:val="00485038"/>
    <w:rsid w:val="00494569"/>
    <w:rsid w:val="004B18A0"/>
    <w:rsid w:val="004E2C61"/>
    <w:rsid w:val="004E4238"/>
    <w:rsid w:val="00514DA7"/>
    <w:rsid w:val="00520E25"/>
    <w:rsid w:val="00530726"/>
    <w:rsid w:val="00577907"/>
    <w:rsid w:val="005B1EDA"/>
    <w:rsid w:val="005C558A"/>
    <w:rsid w:val="006106FC"/>
    <w:rsid w:val="006129C9"/>
    <w:rsid w:val="006302FC"/>
    <w:rsid w:val="006363D5"/>
    <w:rsid w:val="006472A2"/>
    <w:rsid w:val="006812BF"/>
    <w:rsid w:val="00683502"/>
    <w:rsid w:val="006A3EE1"/>
    <w:rsid w:val="006B7552"/>
    <w:rsid w:val="006E57C2"/>
    <w:rsid w:val="006F3B33"/>
    <w:rsid w:val="00747F5E"/>
    <w:rsid w:val="007551D3"/>
    <w:rsid w:val="00762954"/>
    <w:rsid w:val="0079039E"/>
    <w:rsid w:val="007B0319"/>
    <w:rsid w:val="007B112D"/>
    <w:rsid w:val="007C6E83"/>
    <w:rsid w:val="007C6ECB"/>
    <w:rsid w:val="007F3985"/>
    <w:rsid w:val="00832931"/>
    <w:rsid w:val="00836DA1"/>
    <w:rsid w:val="00864C5C"/>
    <w:rsid w:val="008759A0"/>
    <w:rsid w:val="00882366"/>
    <w:rsid w:val="008A5111"/>
    <w:rsid w:val="008A724C"/>
    <w:rsid w:val="008C79C6"/>
    <w:rsid w:val="008D302D"/>
    <w:rsid w:val="008D5DCC"/>
    <w:rsid w:val="009177D5"/>
    <w:rsid w:val="009732A7"/>
    <w:rsid w:val="0099029B"/>
    <w:rsid w:val="009C4860"/>
    <w:rsid w:val="009C66F9"/>
    <w:rsid w:val="009D6B6A"/>
    <w:rsid w:val="00A03DD4"/>
    <w:rsid w:val="00A05BE9"/>
    <w:rsid w:val="00A07717"/>
    <w:rsid w:val="00A72430"/>
    <w:rsid w:val="00A74D65"/>
    <w:rsid w:val="00A946CE"/>
    <w:rsid w:val="00AC1DFE"/>
    <w:rsid w:val="00AE3305"/>
    <w:rsid w:val="00AE338B"/>
    <w:rsid w:val="00B076AF"/>
    <w:rsid w:val="00B452B7"/>
    <w:rsid w:val="00B64F56"/>
    <w:rsid w:val="00B81507"/>
    <w:rsid w:val="00B870F9"/>
    <w:rsid w:val="00B93AD6"/>
    <w:rsid w:val="00BB75F6"/>
    <w:rsid w:val="00BC4139"/>
    <w:rsid w:val="00C26501"/>
    <w:rsid w:val="00C331C3"/>
    <w:rsid w:val="00C404F6"/>
    <w:rsid w:val="00C650FF"/>
    <w:rsid w:val="00C77F9C"/>
    <w:rsid w:val="00C90063"/>
    <w:rsid w:val="00D40F3B"/>
    <w:rsid w:val="00D70363"/>
    <w:rsid w:val="00DA7D50"/>
    <w:rsid w:val="00E27528"/>
    <w:rsid w:val="00E3374E"/>
    <w:rsid w:val="00E34F1F"/>
    <w:rsid w:val="00E42434"/>
    <w:rsid w:val="00E57C8E"/>
    <w:rsid w:val="00E658C6"/>
    <w:rsid w:val="00E667ED"/>
    <w:rsid w:val="00E80543"/>
    <w:rsid w:val="00E83205"/>
    <w:rsid w:val="00E96AB7"/>
    <w:rsid w:val="00EA611B"/>
    <w:rsid w:val="00EC4180"/>
    <w:rsid w:val="00EC79AE"/>
    <w:rsid w:val="00F26FA7"/>
    <w:rsid w:val="00F81933"/>
    <w:rsid w:val="00F82CB2"/>
    <w:rsid w:val="00FA56F9"/>
    <w:rsid w:val="00FA6B42"/>
    <w:rsid w:val="00FB6BC2"/>
    <w:rsid w:val="00FB6E64"/>
    <w:rsid w:val="00FC5F84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FA0C1C-04E7-44AA-B636-B9A9983C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5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1,List Paragraph1,Numbered Indented Text,List Paragraph Char Char Char,List Paragraph Char Char,Bullet 1,lp1,List Paragraph11,Colorful List - Accent 11"/>
    <w:basedOn w:val="Normal"/>
    <w:link w:val="ListParagraphChar"/>
    <w:uiPriority w:val="34"/>
    <w:qFormat/>
    <w:rsid w:val="0001450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145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50F"/>
    <w:rPr>
      <w:rFonts w:ascii="Times New Roman" w:eastAsia="Times New Roman" w:hAnsi="Times New Roman" w:cs="Times New Roman"/>
      <w:noProof/>
      <w:sz w:val="28"/>
      <w:szCs w:val="20"/>
      <w:lang w:val="ro-RO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3985"/>
    <w:pPr>
      <w:widowControl w:val="0"/>
    </w:pPr>
    <w:rPr>
      <w:rFonts w:ascii="Arial Unicode MS" w:eastAsiaTheme="minorHAnsi" w:hAnsi="Arial Unicode MS" w:cs="Arial Unicode MS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3985"/>
    <w:rPr>
      <w:rFonts w:ascii="Arial Unicode MS" w:hAnsi="Arial Unicode MS" w:cs="Arial Unicode MS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7F3985"/>
    <w:rPr>
      <w:vertAlign w:val="superscript"/>
    </w:rPr>
  </w:style>
  <w:style w:type="table" w:styleId="TableGrid">
    <w:name w:val="Table Grid"/>
    <w:basedOn w:val="TableNormal"/>
    <w:uiPriority w:val="59"/>
    <w:rsid w:val="007F3985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3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985"/>
    <w:rPr>
      <w:rFonts w:ascii="Tahoma" w:eastAsia="Times New Roman" w:hAnsi="Tahoma" w:cs="Tahoma"/>
      <w:noProof/>
      <w:sz w:val="16"/>
      <w:szCs w:val="16"/>
      <w:lang w:val="ro-RO" w:eastAsia="ru-RU"/>
    </w:rPr>
  </w:style>
  <w:style w:type="paragraph" w:styleId="Header">
    <w:name w:val="header"/>
    <w:basedOn w:val="Normal"/>
    <w:link w:val="HeaderChar"/>
    <w:uiPriority w:val="99"/>
    <w:unhideWhenUsed/>
    <w:rsid w:val="007F39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985"/>
    <w:rPr>
      <w:rFonts w:ascii="Times New Roman" w:eastAsia="Times New Roman" w:hAnsi="Times New Roman" w:cs="Times New Roman"/>
      <w:noProof/>
      <w:sz w:val="28"/>
      <w:szCs w:val="20"/>
      <w:lang w:val="ro-RO" w:eastAsia="ru-RU"/>
    </w:rPr>
  </w:style>
  <w:style w:type="paragraph" w:customStyle="1" w:styleId="Default">
    <w:name w:val="Default"/>
    <w:rsid w:val="001C6DF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F3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B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B33"/>
    <w:rPr>
      <w:rFonts w:ascii="Times New Roman" w:eastAsia="Times New Roman" w:hAnsi="Times New Roman" w:cs="Times New Roman"/>
      <w:noProof/>
      <w:sz w:val="20"/>
      <w:szCs w:val="20"/>
      <w:lang w:val="ro-RO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B33"/>
    <w:rPr>
      <w:rFonts w:ascii="Times New Roman" w:eastAsia="Times New Roman" w:hAnsi="Times New Roman" w:cs="Times New Roman"/>
      <w:b/>
      <w:bCs/>
      <w:noProof/>
      <w:sz w:val="20"/>
      <w:szCs w:val="20"/>
      <w:lang w:val="ro-RO" w:eastAsia="ru-RU"/>
    </w:rPr>
  </w:style>
  <w:style w:type="paragraph" w:styleId="Revision">
    <w:name w:val="Revision"/>
    <w:hidden/>
    <w:uiPriority w:val="99"/>
    <w:semiHidden/>
    <w:rsid w:val="006F3B3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val="ro-RO" w:eastAsia="ru-RU"/>
    </w:rPr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Colorful List - Accent 11 Char"/>
    <w:link w:val="ListParagraph"/>
    <w:uiPriority w:val="34"/>
    <w:locked/>
    <w:rsid w:val="000464B8"/>
    <w:rPr>
      <w:rFonts w:ascii="Times New Roman" w:eastAsia="Times New Roman" w:hAnsi="Times New Roman" w:cs="Times New Roman"/>
      <w:noProof/>
      <w:sz w:val="28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1338</Words>
  <Characters>7632</Characters>
  <Application>Microsoft Office Word</Application>
  <DocSecurity>0</DocSecurity>
  <Lines>63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Nicolae</cp:lastModifiedBy>
  <cp:revision>24</cp:revision>
  <cp:lastPrinted>2016-10-18T15:00:00Z</cp:lastPrinted>
  <dcterms:created xsi:type="dcterms:W3CDTF">2016-06-04T11:52:00Z</dcterms:created>
  <dcterms:modified xsi:type="dcterms:W3CDTF">2017-10-27T13:35:00Z</dcterms:modified>
</cp:coreProperties>
</file>