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FC" w:rsidRPr="0027265F" w:rsidRDefault="00A051FC" w:rsidP="00C45EC6">
      <w:pPr>
        <w:jc w:val="center"/>
        <w:rPr>
          <w:b/>
          <w:sz w:val="24"/>
          <w:szCs w:val="24"/>
        </w:rPr>
      </w:pPr>
      <w:r w:rsidRPr="0027265F">
        <w:rPr>
          <w:b/>
          <w:sz w:val="24"/>
          <w:szCs w:val="24"/>
        </w:rPr>
        <w:t>Tabelul divergenţelor</w:t>
      </w:r>
    </w:p>
    <w:p w:rsidR="00A051FC" w:rsidRPr="0027265F" w:rsidRDefault="004130BB" w:rsidP="00A051FC">
      <w:pPr>
        <w:jc w:val="center"/>
        <w:rPr>
          <w:b/>
          <w:sz w:val="24"/>
          <w:szCs w:val="24"/>
        </w:rPr>
      </w:pPr>
      <w:r>
        <w:rPr>
          <w:b/>
          <w:sz w:val="24"/>
          <w:szCs w:val="24"/>
        </w:rPr>
        <w:t xml:space="preserve">la proiectul Hotărîrii Guvernului cu privire la aprobarea modificărilor ce se operează în unele hotărîri ale Guvernului  </w:t>
      </w:r>
    </w:p>
    <w:p w:rsidR="0027265F" w:rsidRPr="009E4EE1" w:rsidRDefault="0027265F" w:rsidP="00A051FC">
      <w:pPr>
        <w:jc w:val="center"/>
        <w:rPr>
          <w:sz w:val="24"/>
          <w:szCs w:val="24"/>
        </w:rPr>
      </w:pPr>
    </w:p>
    <w:tbl>
      <w:tblPr>
        <w:tblpPr w:leftFromText="180" w:rightFromText="180" w:vertAnchor="text"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963"/>
        <w:gridCol w:w="7537"/>
        <w:gridCol w:w="3401"/>
      </w:tblGrid>
      <w:tr w:rsidR="00A051FC" w:rsidRPr="009E4EE1" w:rsidTr="00A80D3E">
        <w:trPr>
          <w:trHeight w:val="542"/>
        </w:trPr>
        <w:tc>
          <w:tcPr>
            <w:tcW w:w="558" w:type="dxa"/>
            <w:shd w:val="clear" w:color="auto" w:fill="auto"/>
          </w:tcPr>
          <w:p w:rsidR="00A051FC" w:rsidRPr="009E4EE1" w:rsidRDefault="00A051FC" w:rsidP="00C7263F">
            <w:pPr>
              <w:pStyle w:val="2"/>
              <w:tabs>
                <w:tab w:val="left" w:pos="5940"/>
              </w:tabs>
              <w:ind w:firstLine="0"/>
              <w:jc w:val="center"/>
              <w:rPr>
                <w:b/>
                <w:sz w:val="24"/>
                <w:szCs w:val="24"/>
              </w:rPr>
            </w:pPr>
            <w:r w:rsidRPr="009E4EE1">
              <w:rPr>
                <w:b/>
                <w:sz w:val="24"/>
                <w:szCs w:val="24"/>
              </w:rPr>
              <w:t>Nr. d/o</w:t>
            </w:r>
          </w:p>
        </w:tc>
        <w:tc>
          <w:tcPr>
            <w:tcW w:w="2963" w:type="dxa"/>
            <w:shd w:val="clear" w:color="auto" w:fill="auto"/>
          </w:tcPr>
          <w:p w:rsidR="00A051FC" w:rsidRPr="009E4EE1" w:rsidRDefault="00A051FC" w:rsidP="00C7263F">
            <w:pPr>
              <w:pStyle w:val="2"/>
              <w:tabs>
                <w:tab w:val="left" w:pos="5940"/>
              </w:tabs>
              <w:ind w:firstLine="0"/>
              <w:jc w:val="center"/>
              <w:rPr>
                <w:b/>
                <w:sz w:val="24"/>
                <w:szCs w:val="24"/>
              </w:rPr>
            </w:pPr>
            <w:r w:rsidRPr="009E4EE1">
              <w:rPr>
                <w:b/>
                <w:sz w:val="24"/>
                <w:szCs w:val="24"/>
              </w:rPr>
              <w:t>Autoritatea care avizează</w:t>
            </w:r>
          </w:p>
        </w:tc>
        <w:tc>
          <w:tcPr>
            <w:tcW w:w="7537" w:type="dxa"/>
            <w:shd w:val="clear" w:color="auto" w:fill="auto"/>
          </w:tcPr>
          <w:p w:rsidR="00A051FC" w:rsidRPr="009E4EE1" w:rsidRDefault="00A051FC" w:rsidP="00C7263F">
            <w:pPr>
              <w:pStyle w:val="2"/>
              <w:tabs>
                <w:tab w:val="left" w:pos="5940"/>
              </w:tabs>
              <w:ind w:firstLine="0"/>
              <w:jc w:val="center"/>
              <w:rPr>
                <w:b/>
                <w:sz w:val="24"/>
                <w:szCs w:val="24"/>
              </w:rPr>
            </w:pPr>
            <w:r w:rsidRPr="009E4EE1">
              <w:rPr>
                <w:b/>
                <w:sz w:val="24"/>
                <w:szCs w:val="24"/>
              </w:rPr>
              <w:t>Propuneri şi obiecţii</w:t>
            </w:r>
          </w:p>
        </w:tc>
        <w:tc>
          <w:tcPr>
            <w:tcW w:w="3401" w:type="dxa"/>
            <w:shd w:val="clear" w:color="auto" w:fill="auto"/>
          </w:tcPr>
          <w:p w:rsidR="00A051FC" w:rsidRPr="009E4EE1" w:rsidRDefault="00A051FC" w:rsidP="00C7263F">
            <w:pPr>
              <w:pStyle w:val="2"/>
              <w:tabs>
                <w:tab w:val="left" w:pos="5940"/>
              </w:tabs>
              <w:ind w:firstLine="0"/>
              <w:rPr>
                <w:b/>
                <w:sz w:val="24"/>
                <w:szCs w:val="24"/>
              </w:rPr>
            </w:pPr>
            <w:r w:rsidRPr="009E4EE1">
              <w:rPr>
                <w:b/>
                <w:sz w:val="24"/>
                <w:szCs w:val="24"/>
              </w:rPr>
              <w:t>Poziţia faţă de propunerile şi obiecţiile înaintate</w:t>
            </w:r>
          </w:p>
        </w:tc>
      </w:tr>
      <w:tr w:rsidR="00A50782" w:rsidRPr="009E4EE1" w:rsidTr="00A80D3E">
        <w:trPr>
          <w:trHeight w:val="1099"/>
        </w:trPr>
        <w:tc>
          <w:tcPr>
            <w:tcW w:w="558" w:type="dxa"/>
            <w:vMerge w:val="restart"/>
            <w:shd w:val="clear" w:color="auto" w:fill="auto"/>
          </w:tcPr>
          <w:p w:rsidR="00A50782" w:rsidRPr="009E4EE1" w:rsidRDefault="00A50782" w:rsidP="00C7263F">
            <w:pPr>
              <w:pStyle w:val="2"/>
              <w:tabs>
                <w:tab w:val="left" w:pos="5940"/>
              </w:tabs>
              <w:ind w:firstLine="0"/>
              <w:jc w:val="center"/>
              <w:rPr>
                <w:b/>
                <w:sz w:val="24"/>
                <w:szCs w:val="24"/>
              </w:rPr>
            </w:pPr>
            <w:r>
              <w:rPr>
                <w:b/>
                <w:sz w:val="24"/>
                <w:szCs w:val="24"/>
              </w:rPr>
              <w:t>1</w:t>
            </w:r>
          </w:p>
        </w:tc>
        <w:tc>
          <w:tcPr>
            <w:tcW w:w="2963" w:type="dxa"/>
            <w:vMerge w:val="restart"/>
            <w:shd w:val="clear" w:color="auto" w:fill="auto"/>
          </w:tcPr>
          <w:p w:rsidR="00A50782" w:rsidRPr="009E4EE1" w:rsidRDefault="00A50782" w:rsidP="00C7263F">
            <w:pPr>
              <w:pStyle w:val="2"/>
              <w:tabs>
                <w:tab w:val="left" w:pos="5940"/>
              </w:tabs>
              <w:ind w:firstLine="0"/>
              <w:jc w:val="center"/>
              <w:rPr>
                <w:b/>
                <w:sz w:val="24"/>
                <w:szCs w:val="24"/>
              </w:rPr>
            </w:pPr>
            <w:r>
              <w:rPr>
                <w:b/>
                <w:sz w:val="24"/>
                <w:szCs w:val="24"/>
              </w:rPr>
              <w:t>Ministerul Economiei și Infrastructurii</w:t>
            </w:r>
          </w:p>
        </w:tc>
        <w:tc>
          <w:tcPr>
            <w:tcW w:w="7537" w:type="dxa"/>
            <w:shd w:val="clear" w:color="auto" w:fill="auto"/>
          </w:tcPr>
          <w:p w:rsidR="00A50782" w:rsidRPr="00056D1A" w:rsidRDefault="00A50782" w:rsidP="00A051FC">
            <w:pPr>
              <w:pStyle w:val="2"/>
              <w:tabs>
                <w:tab w:val="left" w:pos="5940"/>
              </w:tabs>
              <w:ind w:firstLine="0"/>
              <w:rPr>
                <w:b/>
                <w:sz w:val="24"/>
                <w:szCs w:val="24"/>
              </w:rPr>
            </w:pPr>
            <w:r w:rsidRPr="00056D1A">
              <w:rPr>
                <w:sz w:val="24"/>
                <w:szCs w:val="24"/>
              </w:rPr>
              <w:t>Ministerul Economiei și Infrastructurii a examinat proiectul hotărârii Guvernului cu privire</w:t>
            </w:r>
            <w:r w:rsidR="004130BB">
              <w:rPr>
                <w:sz w:val="24"/>
                <w:szCs w:val="24"/>
              </w:rPr>
              <w:t xml:space="preserve"> la aprobarea modificărilor ce se operează în unele hotărîri ale Guvernului și, în limita competenței funcționale, comunică următoarele propuneri și obiecții</w:t>
            </w:r>
            <w:r w:rsidRPr="00056D1A">
              <w:rPr>
                <w:sz w:val="24"/>
                <w:szCs w:val="24"/>
              </w:rPr>
              <w:t>.</w:t>
            </w:r>
          </w:p>
        </w:tc>
        <w:tc>
          <w:tcPr>
            <w:tcW w:w="3401" w:type="dxa"/>
            <w:shd w:val="clear" w:color="auto" w:fill="auto"/>
          </w:tcPr>
          <w:p w:rsidR="00A50782" w:rsidRPr="009E4EE1" w:rsidRDefault="00A50782" w:rsidP="00C7263F">
            <w:pPr>
              <w:pStyle w:val="2"/>
              <w:tabs>
                <w:tab w:val="left" w:pos="5940"/>
              </w:tabs>
              <w:ind w:firstLine="0"/>
              <w:rPr>
                <w:b/>
                <w:sz w:val="24"/>
                <w:szCs w:val="24"/>
              </w:rPr>
            </w:pPr>
          </w:p>
        </w:tc>
      </w:tr>
      <w:tr w:rsidR="00A50782" w:rsidRPr="009E4EE1" w:rsidTr="00A80D3E">
        <w:trPr>
          <w:trHeight w:val="3900"/>
        </w:trPr>
        <w:tc>
          <w:tcPr>
            <w:tcW w:w="558" w:type="dxa"/>
            <w:vMerge/>
            <w:shd w:val="clear" w:color="auto" w:fill="auto"/>
          </w:tcPr>
          <w:p w:rsidR="00A50782" w:rsidRDefault="00A50782" w:rsidP="00C7263F">
            <w:pPr>
              <w:pStyle w:val="2"/>
              <w:tabs>
                <w:tab w:val="left" w:pos="5940"/>
              </w:tabs>
              <w:ind w:firstLine="0"/>
              <w:jc w:val="center"/>
              <w:rPr>
                <w:b/>
                <w:sz w:val="24"/>
                <w:szCs w:val="24"/>
              </w:rPr>
            </w:pPr>
          </w:p>
        </w:tc>
        <w:tc>
          <w:tcPr>
            <w:tcW w:w="2963" w:type="dxa"/>
            <w:vMerge/>
            <w:shd w:val="clear" w:color="auto" w:fill="auto"/>
          </w:tcPr>
          <w:p w:rsidR="00A50782" w:rsidRDefault="00A50782" w:rsidP="00C7263F">
            <w:pPr>
              <w:pStyle w:val="2"/>
              <w:tabs>
                <w:tab w:val="left" w:pos="5940"/>
              </w:tabs>
              <w:ind w:firstLine="0"/>
              <w:jc w:val="center"/>
              <w:rPr>
                <w:b/>
                <w:sz w:val="24"/>
                <w:szCs w:val="24"/>
              </w:rPr>
            </w:pPr>
          </w:p>
        </w:tc>
        <w:tc>
          <w:tcPr>
            <w:tcW w:w="7537" w:type="dxa"/>
            <w:shd w:val="clear" w:color="auto" w:fill="auto"/>
          </w:tcPr>
          <w:p w:rsidR="00A50782" w:rsidRPr="00056D1A" w:rsidRDefault="004130BB" w:rsidP="004130BB">
            <w:pPr>
              <w:jc w:val="both"/>
              <w:rPr>
                <w:sz w:val="24"/>
                <w:szCs w:val="24"/>
              </w:rPr>
            </w:pPr>
            <w:r>
              <w:rPr>
                <w:sz w:val="24"/>
                <w:szCs w:val="24"/>
              </w:rPr>
              <w:t>Propunerile de modificare a Hotărîrii Guvernului nr. 570 din 11 septembrie 2009 „Cu privire la aprobarea unor acte normative în vederea implementării prevederilor Codului subsolurilor”</w:t>
            </w:r>
            <w:r w:rsidR="00EF6FEA">
              <w:rPr>
                <w:sz w:val="24"/>
                <w:szCs w:val="24"/>
              </w:rPr>
              <w:t>, expuse la pct. 51 din proiect, deja au fost aprobate prin Hotărîrea Guvernului nr. 1077 din 13 decembrie 2017 „Cu privire la modificarea anexelor nr. 1-3 la Hotărîrea Guvernului nr. 570 din 11 septembrie 2009”. Astfel, avînd în vedere faptul că a decăzut necesitatea modificării hotărîrii nominalizate, urmează de exclus pct. 51 din proiectul de hotărîre.</w:t>
            </w:r>
          </w:p>
        </w:tc>
        <w:tc>
          <w:tcPr>
            <w:tcW w:w="3401" w:type="dxa"/>
            <w:shd w:val="clear" w:color="auto" w:fill="auto"/>
          </w:tcPr>
          <w:p w:rsidR="00A50782" w:rsidRPr="00A051FC" w:rsidRDefault="00D6744A" w:rsidP="00A50782">
            <w:pPr>
              <w:pStyle w:val="2"/>
              <w:tabs>
                <w:tab w:val="left" w:pos="5940"/>
              </w:tabs>
              <w:ind w:firstLine="0"/>
              <w:rPr>
                <w:sz w:val="24"/>
                <w:szCs w:val="24"/>
              </w:rPr>
            </w:pPr>
            <w:r>
              <w:rPr>
                <w:sz w:val="24"/>
                <w:szCs w:val="24"/>
              </w:rPr>
              <w:t>Se acceptă</w:t>
            </w:r>
            <w:bookmarkStart w:id="0" w:name="_GoBack"/>
            <w:bookmarkEnd w:id="0"/>
          </w:p>
        </w:tc>
      </w:tr>
      <w:tr w:rsidR="00A50782" w:rsidRPr="009E4EE1" w:rsidTr="00A80D3E">
        <w:trPr>
          <w:trHeight w:val="2786"/>
        </w:trPr>
        <w:tc>
          <w:tcPr>
            <w:tcW w:w="558" w:type="dxa"/>
            <w:vMerge/>
            <w:shd w:val="clear" w:color="auto" w:fill="auto"/>
          </w:tcPr>
          <w:p w:rsidR="00A50782" w:rsidRDefault="00A50782" w:rsidP="00C7263F">
            <w:pPr>
              <w:pStyle w:val="2"/>
              <w:tabs>
                <w:tab w:val="left" w:pos="5940"/>
              </w:tabs>
              <w:ind w:firstLine="0"/>
              <w:jc w:val="center"/>
              <w:rPr>
                <w:b/>
                <w:sz w:val="24"/>
                <w:szCs w:val="24"/>
              </w:rPr>
            </w:pPr>
          </w:p>
        </w:tc>
        <w:tc>
          <w:tcPr>
            <w:tcW w:w="2963" w:type="dxa"/>
            <w:vMerge/>
            <w:shd w:val="clear" w:color="auto" w:fill="auto"/>
          </w:tcPr>
          <w:p w:rsidR="00A50782" w:rsidRDefault="00A50782" w:rsidP="00C7263F">
            <w:pPr>
              <w:pStyle w:val="2"/>
              <w:tabs>
                <w:tab w:val="left" w:pos="5940"/>
              </w:tabs>
              <w:ind w:firstLine="0"/>
              <w:jc w:val="center"/>
              <w:rPr>
                <w:b/>
                <w:sz w:val="24"/>
                <w:szCs w:val="24"/>
              </w:rPr>
            </w:pPr>
          </w:p>
        </w:tc>
        <w:tc>
          <w:tcPr>
            <w:tcW w:w="7537" w:type="dxa"/>
            <w:shd w:val="clear" w:color="auto" w:fill="auto"/>
          </w:tcPr>
          <w:p w:rsidR="00A50782" w:rsidRPr="00056D1A" w:rsidRDefault="00D6744A" w:rsidP="00A12B2E">
            <w:pPr>
              <w:pStyle w:val="2"/>
              <w:tabs>
                <w:tab w:val="left" w:pos="5940"/>
              </w:tabs>
              <w:ind w:firstLine="0"/>
              <w:rPr>
                <w:sz w:val="24"/>
                <w:szCs w:val="24"/>
              </w:rPr>
            </w:pPr>
            <w:r>
              <w:rPr>
                <w:sz w:val="24"/>
                <w:szCs w:val="24"/>
              </w:rPr>
              <w:t>Sintagma „Viceprim-ministru, ministrul economiei și infrastructurii”, expusă la pct. 144</w:t>
            </w:r>
            <w:r w:rsidR="00A12B2E">
              <w:rPr>
                <w:sz w:val="24"/>
                <w:szCs w:val="24"/>
              </w:rPr>
              <w:t xml:space="preserve"> (</w:t>
            </w:r>
            <w:r w:rsidR="00A12B2E" w:rsidRPr="00A12B2E">
              <w:rPr>
                <w:sz w:val="24"/>
                <w:szCs w:val="24"/>
              </w:rPr>
              <w:t>devenit 143</w:t>
            </w:r>
            <w:r w:rsidR="00A12B2E">
              <w:rPr>
                <w:sz w:val="24"/>
                <w:szCs w:val="24"/>
              </w:rPr>
              <w:t xml:space="preserve"> – </w:t>
            </w:r>
            <w:r w:rsidR="00A12B2E" w:rsidRPr="00A12B2E">
              <w:rPr>
                <w:i/>
                <w:sz w:val="24"/>
                <w:szCs w:val="24"/>
              </w:rPr>
              <w:t>n.a.</w:t>
            </w:r>
            <w:r w:rsidR="00A12B2E">
              <w:rPr>
                <w:sz w:val="24"/>
                <w:szCs w:val="24"/>
              </w:rPr>
              <w:t>)</w:t>
            </w:r>
            <w:r>
              <w:rPr>
                <w:sz w:val="24"/>
                <w:szCs w:val="24"/>
              </w:rPr>
              <w:t xml:space="preserve"> din proiect, necesită a fi substituită cu sintagma „ministrul economiei și infrastructurii”, conform prevederilor art. 1 din Hotărîrea Parlamentului nr. 1 din 20 ianuarie 2016 „Pentru aprobarea Programului de activitate al Guvernului și acordarea votului de încredere Guvernului”.</w:t>
            </w:r>
          </w:p>
        </w:tc>
        <w:tc>
          <w:tcPr>
            <w:tcW w:w="3401" w:type="dxa"/>
            <w:shd w:val="clear" w:color="auto" w:fill="auto"/>
          </w:tcPr>
          <w:p w:rsidR="00A50782" w:rsidRDefault="00D6744A" w:rsidP="00A12B2E">
            <w:pPr>
              <w:pStyle w:val="2"/>
              <w:tabs>
                <w:tab w:val="left" w:pos="5940"/>
              </w:tabs>
              <w:ind w:firstLine="0"/>
              <w:rPr>
                <w:sz w:val="24"/>
                <w:szCs w:val="24"/>
              </w:rPr>
            </w:pPr>
            <w:r>
              <w:rPr>
                <w:sz w:val="24"/>
                <w:szCs w:val="24"/>
              </w:rPr>
              <w:t>Se acceptă</w:t>
            </w:r>
            <w:r w:rsidR="00A12B2E">
              <w:rPr>
                <w:sz w:val="24"/>
                <w:szCs w:val="24"/>
              </w:rPr>
              <w:t xml:space="preserve">. </w:t>
            </w:r>
          </w:p>
        </w:tc>
      </w:tr>
      <w:tr w:rsidR="00D6744A" w:rsidRPr="009E4EE1" w:rsidTr="00D6744A">
        <w:trPr>
          <w:trHeight w:val="828"/>
        </w:trPr>
        <w:tc>
          <w:tcPr>
            <w:tcW w:w="558" w:type="dxa"/>
            <w:shd w:val="clear" w:color="auto" w:fill="auto"/>
          </w:tcPr>
          <w:p w:rsidR="00D6744A" w:rsidRDefault="00D6744A" w:rsidP="00C7263F">
            <w:pPr>
              <w:pStyle w:val="2"/>
              <w:tabs>
                <w:tab w:val="left" w:pos="5940"/>
              </w:tabs>
              <w:ind w:firstLine="0"/>
              <w:jc w:val="center"/>
              <w:rPr>
                <w:b/>
                <w:sz w:val="24"/>
                <w:szCs w:val="24"/>
              </w:rPr>
            </w:pPr>
            <w:r>
              <w:rPr>
                <w:b/>
                <w:sz w:val="24"/>
                <w:szCs w:val="24"/>
              </w:rPr>
              <w:t>2</w:t>
            </w:r>
          </w:p>
        </w:tc>
        <w:tc>
          <w:tcPr>
            <w:tcW w:w="2963" w:type="dxa"/>
            <w:shd w:val="clear" w:color="auto" w:fill="auto"/>
          </w:tcPr>
          <w:p w:rsidR="00D6744A" w:rsidRDefault="00D6744A" w:rsidP="00C7263F">
            <w:pPr>
              <w:pStyle w:val="2"/>
              <w:tabs>
                <w:tab w:val="left" w:pos="5940"/>
              </w:tabs>
              <w:ind w:firstLine="0"/>
              <w:jc w:val="center"/>
              <w:rPr>
                <w:b/>
                <w:sz w:val="24"/>
                <w:szCs w:val="24"/>
              </w:rPr>
            </w:pPr>
            <w:r>
              <w:rPr>
                <w:b/>
                <w:sz w:val="24"/>
                <w:szCs w:val="24"/>
              </w:rPr>
              <w:t>Ministerul Sănătății, Muncii și Protecției Sociale</w:t>
            </w:r>
          </w:p>
        </w:tc>
        <w:tc>
          <w:tcPr>
            <w:tcW w:w="7537" w:type="dxa"/>
            <w:shd w:val="clear" w:color="auto" w:fill="auto"/>
          </w:tcPr>
          <w:p w:rsidR="00D6744A" w:rsidRPr="00510A8B" w:rsidRDefault="00510A8B" w:rsidP="00510A8B">
            <w:pPr>
              <w:pStyle w:val="2"/>
              <w:tabs>
                <w:tab w:val="left" w:pos="5940"/>
              </w:tabs>
              <w:ind w:firstLine="0"/>
              <w:rPr>
                <w:sz w:val="24"/>
                <w:szCs w:val="24"/>
              </w:rPr>
            </w:pPr>
            <w:r w:rsidRPr="00510A8B">
              <w:rPr>
                <w:sz w:val="24"/>
                <w:szCs w:val="24"/>
              </w:rPr>
              <w:t>Ministerul Sănătății, Muncii și Protecției Sociale a examinat proiectul hotărîrii Guvernului cu privire la aprobarea modificărilor ce se operează în unele hotărîri ale Guvernului, remis spre examinare și avizare, și, în limitele competenței funcționale, comunică lipsa de obiecții și propuneri suplimentare.</w:t>
            </w:r>
          </w:p>
        </w:tc>
        <w:tc>
          <w:tcPr>
            <w:tcW w:w="3401" w:type="dxa"/>
            <w:shd w:val="clear" w:color="auto" w:fill="auto"/>
          </w:tcPr>
          <w:p w:rsidR="00D6744A" w:rsidRPr="00510A8B" w:rsidRDefault="00510A8B" w:rsidP="00510A8B">
            <w:pPr>
              <w:pStyle w:val="2"/>
              <w:tabs>
                <w:tab w:val="left" w:pos="5940"/>
              </w:tabs>
              <w:ind w:firstLine="0"/>
              <w:rPr>
                <w:sz w:val="24"/>
                <w:szCs w:val="24"/>
              </w:rPr>
            </w:pPr>
            <w:r w:rsidRPr="00510A8B">
              <w:rPr>
                <w:sz w:val="24"/>
                <w:szCs w:val="24"/>
              </w:rPr>
              <w:t>Se acceptă</w:t>
            </w:r>
          </w:p>
        </w:tc>
      </w:tr>
      <w:tr w:rsidR="00462456" w:rsidRPr="009E4EE1" w:rsidTr="00A80D3E">
        <w:trPr>
          <w:trHeight w:val="557"/>
        </w:trPr>
        <w:tc>
          <w:tcPr>
            <w:tcW w:w="558" w:type="dxa"/>
            <w:shd w:val="clear" w:color="auto" w:fill="auto"/>
          </w:tcPr>
          <w:p w:rsidR="00462456" w:rsidRDefault="00462456" w:rsidP="00C7263F">
            <w:pPr>
              <w:pStyle w:val="2"/>
              <w:tabs>
                <w:tab w:val="left" w:pos="5940"/>
              </w:tabs>
              <w:ind w:firstLine="0"/>
              <w:jc w:val="center"/>
              <w:rPr>
                <w:b/>
                <w:sz w:val="24"/>
                <w:szCs w:val="24"/>
              </w:rPr>
            </w:pPr>
            <w:r>
              <w:rPr>
                <w:b/>
                <w:sz w:val="24"/>
                <w:szCs w:val="24"/>
              </w:rPr>
              <w:lastRenderedPageBreak/>
              <w:t>3</w:t>
            </w:r>
          </w:p>
        </w:tc>
        <w:tc>
          <w:tcPr>
            <w:tcW w:w="2963" w:type="dxa"/>
            <w:shd w:val="clear" w:color="auto" w:fill="auto"/>
          </w:tcPr>
          <w:p w:rsidR="00462456" w:rsidRDefault="00462456" w:rsidP="00C7263F">
            <w:pPr>
              <w:pStyle w:val="2"/>
              <w:tabs>
                <w:tab w:val="left" w:pos="5940"/>
              </w:tabs>
              <w:ind w:firstLine="0"/>
              <w:jc w:val="center"/>
              <w:rPr>
                <w:b/>
                <w:sz w:val="24"/>
                <w:szCs w:val="24"/>
              </w:rPr>
            </w:pPr>
            <w:r>
              <w:rPr>
                <w:b/>
                <w:sz w:val="24"/>
                <w:szCs w:val="24"/>
              </w:rPr>
              <w:t>Ministerul Finanțelor</w:t>
            </w:r>
          </w:p>
        </w:tc>
        <w:tc>
          <w:tcPr>
            <w:tcW w:w="7537" w:type="dxa"/>
            <w:shd w:val="clear" w:color="auto" w:fill="auto"/>
          </w:tcPr>
          <w:p w:rsidR="00462456" w:rsidRDefault="00880E25" w:rsidP="00C04B03">
            <w:pPr>
              <w:pStyle w:val="2"/>
              <w:tabs>
                <w:tab w:val="left" w:pos="5940"/>
              </w:tabs>
              <w:ind w:firstLine="0"/>
              <w:rPr>
                <w:sz w:val="24"/>
                <w:szCs w:val="24"/>
              </w:rPr>
            </w:pPr>
            <w:r>
              <w:rPr>
                <w:sz w:val="24"/>
                <w:szCs w:val="24"/>
              </w:rPr>
              <w:t>Ministerul Finanțelor, la solicitarea nr. 01/01-1681 din 23 noiembrie 2017, a examinat proiectul hotărîrii Guvernului „Cu privire la aprobarea modificărilor ce se operează în unele hotărîri ale Guvernului” și, în limita competențelor funcționale, comunică lipsa de obiecții.</w:t>
            </w:r>
          </w:p>
          <w:p w:rsidR="00880E25" w:rsidRDefault="00880E25" w:rsidP="00C04B03">
            <w:pPr>
              <w:pStyle w:val="2"/>
              <w:tabs>
                <w:tab w:val="left" w:pos="5940"/>
              </w:tabs>
              <w:ind w:firstLine="0"/>
              <w:rPr>
                <w:sz w:val="24"/>
                <w:szCs w:val="24"/>
              </w:rPr>
            </w:pPr>
            <w:r>
              <w:rPr>
                <w:sz w:val="24"/>
                <w:szCs w:val="24"/>
              </w:rPr>
              <w:t>Concomitent, în ceea ce privește constituirea organelor de supraveghere a unor unități de implementare a proiectelor, considerăm oportun consultarea prealabilă a autorităților publice centrale, reprezentanții cărora vor fi delegați în componența acestora</w:t>
            </w:r>
            <w:r w:rsidR="00C146AC">
              <w:rPr>
                <w:sz w:val="24"/>
                <w:szCs w:val="24"/>
              </w:rPr>
              <w:t>.</w:t>
            </w:r>
          </w:p>
          <w:p w:rsidR="00C146AC" w:rsidRPr="00C04B03" w:rsidRDefault="00C146AC" w:rsidP="00C04B03">
            <w:pPr>
              <w:pStyle w:val="2"/>
              <w:tabs>
                <w:tab w:val="left" w:pos="5940"/>
              </w:tabs>
              <w:ind w:firstLine="0"/>
              <w:rPr>
                <w:sz w:val="24"/>
                <w:szCs w:val="24"/>
              </w:rPr>
            </w:pPr>
            <w:r>
              <w:rPr>
                <w:sz w:val="24"/>
                <w:szCs w:val="24"/>
              </w:rPr>
              <w:t>Totodată, în contextul reformei administrației publice centrale, înaintate de a promova modificările incluse în prezentul proiect de hotărîre, urmează a se consulta Centrul de Implementare a Reformelor, pentru concretizarea statutului ulterior al Agenției „Moldsilva”</w:t>
            </w:r>
            <w:r w:rsidR="008A5796">
              <w:rPr>
                <w:sz w:val="24"/>
                <w:szCs w:val="24"/>
              </w:rPr>
              <w:t>.</w:t>
            </w:r>
          </w:p>
        </w:tc>
        <w:tc>
          <w:tcPr>
            <w:tcW w:w="3401" w:type="dxa"/>
            <w:shd w:val="clear" w:color="auto" w:fill="auto"/>
          </w:tcPr>
          <w:p w:rsidR="00462456" w:rsidRDefault="0086582E" w:rsidP="00A50782">
            <w:pPr>
              <w:pStyle w:val="2"/>
              <w:tabs>
                <w:tab w:val="left" w:pos="5940"/>
              </w:tabs>
              <w:ind w:firstLine="0"/>
              <w:rPr>
                <w:sz w:val="24"/>
                <w:szCs w:val="24"/>
              </w:rPr>
            </w:pPr>
            <w:r>
              <w:rPr>
                <w:sz w:val="24"/>
                <w:szCs w:val="24"/>
              </w:rPr>
              <w:t>Se acceptă</w:t>
            </w:r>
          </w:p>
        </w:tc>
      </w:tr>
      <w:tr w:rsidR="00197616" w:rsidRPr="009E4EE1" w:rsidTr="00A80D3E">
        <w:trPr>
          <w:trHeight w:val="557"/>
        </w:trPr>
        <w:tc>
          <w:tcPr>
            <w:tcW w:w="558" w:type="dxa"/>
            <w:shd w:val="clear" w:color="auto" w:fill="auto"/>
          </w:tcPr>
          <w:p w:rsidR="00197616" w:rsidRDefault="00197616" w:rsidP="00C7263F">
            <w:pPr>
              <w:pStyle w:val="2"/>
              <w:tabs>
                <w:tab w:val="left" w:pos="5940"/>
              </w:tabs>
              <w:ind w:firstLine="0"/>
              <w:jc w:val="center"/>
              <w:rPr>
                <w:b/>
                <w:sz w:val="24"/>
                <w:szCs w:val="24"/>
              </w:rPr>
            </w:pPr>
            <w:r>
              <w:rPr>
                <w:b/>
                <w:sz w:val="24"/>
                <w:szCs w:val="24"/>
              </w:rPr>
              <w:t>4</w:t>
            </w:r>
          </w:p>
        </w:tc>
        <w:tc>
          <w:tcPr>
            <w:tcW w:w="2963" w:type="dxa"/>
            <w:shd w:val="clear" w:color="auto" w:fill="auto"/>
          </w:tcPr>
          <w:p w:rsidR="00197616" w:rsidRDefault="00197616" w:rsidP="00C7263F">
            <w:pPr>
              <w:pStyle w:val="2"/>
              <w:tabs>
                <w:tab w:val="left" w:pos="5940"/>
              </w:tabs>
              <w:ind w:firstLine="0"/>
              <w:jc w:val="center"/>
              <w:rPr>
                <w:b/>
                <w:sz w:val="24"/>
                <w:szCs w:val="24"/>
              </w:rPr>
            </w:pPr>
            <w:r>
              <w:rPr>
                <w:b/>
                <w:sz w:val="24"/>
                <w:szCs w:val="24"/>
              </w:rPr>
              <w:t xml:space="preserve">Ministerul </w:t>
            </w:r>
            <w:r w:rsidR="008A5796">
              <w:rPr>
                <w:b/>
                <w:sz w:val="24"/>
                <w:szCs w:val="24"/>
              </w:rPr>
              <w:t>Educației, Culturii și Cercetării</w:t>
            </w:r>
          </w:p>
        </w:tc>
        <w:tc>
          <w:tcPr>
            <w:tcW w:w="7537" w:type="dxa"/>
            <w:shd w:val="clear" w:color="auto" w:fill="auto"/>
          </w:tcPr>
          <w:p w:rsidR="00197616" w:rsidRDefault="0086582E" w:rsidP="00EF6614">
            <w:pPr>
              <w:pStyle w:val="2"/>
              <w:tabs>
                <w:tab w:val="left" w:pos="5940"/>
              </w:tabs>
              <w:ind w:firstLine="0"/>
              <w:rPr>
                <w:sz w:val="24"/>
                <w:szCs w:val="24"/>
              </w:rPr>
            </w:pPr>
            <w:r>
              <w:rPr>
                <w:sz w:val="24"/>
                <w:szCs w:val="24"/>
              </w:rPr>
              <w:t>Ministerul Educației, Culturii și Cercetării a examinat și susține, fără obiecții și propuneri, proiectul hotărîrii Guvernului cu privire la aprobarea modificărilor ce se operează în unele hotărîri ale Guvernului.</w:t>
            </w:r>
          </w:p>
        </w:tc>
        <w:tc>
          <w:tcPr>
            <w:tcW w:w="3401" w:type="dxa"/>
            <w:shd w:val="clear" w:color="auto" w:fill="auto"/>
          </w:tcPr>
          <w:p w:rsidR="00197616" w:rsidRDefault="0086582E" w:rsidP="00A50782">
            <w:pPr>
              <w:pStyle w:val="2"/>
              <w:tabs>
                <w:tab w:val="left" w:pos="5940"/>
              </w:tabs>
              <w:ind w:firstLine="0"/>
              <w:rPr>
                <w:sz w:val="24"/>
                <w:szCs w:val="24"/>
              </w:rPr>
            </w:pPr>
            <w:r>
              <w:rPr>
                <w:sz w:val="24"/>
                <w:szCs w:val="24"/>
              </w:rPr>
              <w:t>Se acceptă</w:t>
            </w:r>
          </w:p>
        </w:tc>
      </w:tr>
      <w:tr w:rsidR="008A1374" w:rsidRPr="009E4EE1" w:rsidTr="00C45EC6">
        <w:trPr>
          <w:trHeight w:val="557"/>
        </w:trPr>
        <w:tc>
          <w:tcPr>
            <w:tcW w:w="558" w:type="dxa"/>
            <w:tcBorders>
              <w:bottom w:val="single" w:sz="4" w:space="0" w:color="auto"/>
            </w:tcBorders>
            <w:shd w:val="clear" w:color="auto" w:fill="auto"/>
          </w:tcPr>
          <w:p w:rsidR="008A1374" w:rsidRDefault="00C45EC6" w:rsidP="00C7263F">
            <w:pPr>
              <w:pStyle w:val="2"/>
              <w:tabs>
                <w:tab w:val="left" w:pos="5940"/>
              </w:tabs>
              <w:ind w:firstLine="0"/>
              <w:jc w:val="center"/>
              <w:rPr>
                <w:b/>
                <w:sz w:val="24"/>
                <w:szCs w:val="24"/>
              </w:rPr>
            </w:pPr>
            <w:r>
              <w:rPr>
                <w:b/>
                <w:sz w:val="24"/>
                <w:szCs w:val="24"/>
              </w:rPr>
              <w:t>5</w:t>
            </w:r>
          </w:p>
        </w:tc>
        <w:tc>
          <w:tcPr>
            <w:tcW w:w="2963" w:type="dxa"/>
            <w:shd w:val="clear" w:color="auto" w:fill="auto"/>
          </w:tcPr>
          <w:p w:rsidR="008A1374" w:rsidRDefault="00C45EC6" w:rsidP="00C7263F">
            <w:pPr>
              <w:pStyle w:val="2"/>
              <w:tabs>
                <w:tab w:val="left" w:pos="5940"/>
              </w:tabs>
              <w:ind w:firstLine="0"/>
              <w:jc w:val="center"/>
              <w:rPr>
                <w:b/>
                <w:sz w:val="24"/>
                <w:szCs w:val="24"/>
              </w:rPr>
            </w:pPr>
            <w:r>
              <w:rPr>
                <w:b/>
                <w:sz w:val="24"/>
                <w:szCs w:val="24"/>
              </w:rPr>
              <w:t>Agenția Națională pentru Siguranța Alimentelor</w:t>
            </w:r>
          </w:p>
        </w:tc>
        <w:tc>
          <w:tcPr>
            <w:tcW w:w="7537" w:type="dxa"/>
            <w:shd w:val="clear" w:color="auto" w:fill="auto"/>
          </w:tcPr>
          <w:p w:rsidR="008A1374" w:rsidRDefault="0086582E" w:rsidP="00EF6614">
            <w:pPr>
              <w:pStyle w:val="2"/>
              <w:tabs>
                <w:tab w:val="left" w:pos="5940"/>
              </w:tabs>
              <w:ind w:firstLine="0"/>
              <w:rPr>
                <w:sz w:val="24"/>
                <w:szCs w:val="24"/>
              </w:rPr>
            </w:pPr>
            <w:r>
              <w:rPr>
                <w:sz w:val="24"/>
                <w:szCs w:val="24"/>
              </w:rPr>
              <w:t>Agenția Națională pentru Siguranța Alimentelor, la solicitarea nr. 01/01-1681 din  23 noiembrie 2017, a examinat proiectul hotărîrii Guvernului „Cu privire la aprobarea modificărilor ce se operează în unele hotărîri ale Guvernului” și în limita atribuțiilor funcționale, comunică lipsa de obiecții sau propuneri</w:t>
            </w:r>
          </w:p>
        </w:tc>
        <w:tc>
          <w:tcPr>
            <w:tcW w:w="3401" w:type="dxa"/>
            <w:shd w:val="clear" w:color="auto" w:fill="auto"/>
          </w:tcPr>
          <w:p w:rsidR="008A1374" w:rsidRDefault="0086582E" w:rsidP="00A50782">
            <w:pPr>
              <w:pStyle w:val="2"/>
              <w:tabs>
                <w:tab w:val="left" w:pos="5940"/>
              </w:tabs>
              <w:ind w:firstLine="0"/>
              <w:rPr>
                <w:sz w:val="24"/>
                <w:szCs w:val="24"/>
              </w:rPr>
            </w:pPr>
            <w:r>
              <w:rPr>
                <w:sz w:val="24"/>
                <w:szCs w:val="24"/>
              </w:rPr>
              <w:t>Se acceptă</w:t>
            </w:r>
          </w:p>
        </w:tc>
      </w:tr>
      <w:tr w:rsidR="0034401A" w:rsidRPr="009E4EE1" w:rsidTr="00A80D3E">
        <w:trPr>
          <w:trHeight w:val="557"/>
        </w:trPr>
        <w:tc>
          <w:tcPr>
            <w:tcW w:w="558" w:type="dxa"/>
            <w:vMerge w:val="restart"/>
            <w:shd w:val="clear" w:color="auto" w:fill="auto"/>
          </w:tcPr>
          <w:p w:rsidR="0034401A" w:rsidRDefault="0034401A" w:rsidP="00C7263F">
            <w:pPr>
              <w:pStyle w:val="2"/>
              <w:tabs>
                <w:tab w:val="left" w:pos="5940"/>
              </w:tabs>
              <w:ind w:firstLine="0"/>
              <w:jc w:val="center"/>
              <w:rPr>
                <w:b/>
                <w:sz w:val="24"/>
                <w:szCs w:val="24"/>
              </w:rPr>
            </w:pPr>
            <w:r>
              <w:rPr>
                <w:b/>
                <w:sz w:val="24"/>
                <w:szCs w:val="24"/>
              </w:rPr>
              <w:t>6</w:t>
            </w:r>
          </w:p>
        </w:tc>
        <w:tc>
          <w:tcPr>
            <w:tcW w:w="2963" w:type="dxa"/>
            <w:vMerge w:val="restart"/>
            <w:shd w:val="clear" w:color="auto" w:fill="auto"/>
          </w:tcPr>
          <w:p w:rsidR="0034401A" w:rsidRDefault="0034401A" w:rsidP="00C7263F">
            <w:pPr>
              <w:pStyle w:val="2"/>
              <w:tabs>
                <w:tab w:val="left" w:pos="5940"/>
              </w:tabs>
              <w:ind w:firstLine="0"/>
              <w:jc w:val="center"/>
              <w:rPr>
                <w:b/>
                <w:sz w:val="24"/>
                <w:szCs w:val="24"/>
              </w:rPr>
            </w:pPr>
            <w:r>
              <w:rPr>
                <w:b/>
                <w:sz w:val="24"/>
                <w:szCs w:val="24"/>
              </w:rPr>
              <w:t>Academia de Științe a Moldovei</w:t>
            </w:r>
          </w:p>
        </w:tc>
        <w:tc>
          <w:tcPr>
            <w:tcW w:w="7537" w:type="dxa"/>
            <w:shd w:val="clear" w:color="auto" w:fill="auto"/>
          </w:tcPr>
          <w:p w:rsidR="0034401A" w:rsidRDefault="0034401A" w:rsidP="00EF6614">
            <w:pPr>
              <w:pStyle w:val="2"/>
              <w:tabs>
                <w:tab w:val="left" w:pos="5940"/>
              </w:tabs>
              <w:ind w:firstLine="0"/>
              <w:rPr>
                <w:sz w:val="24"/>
                <w:szCs w:val="24"/>
              </w:rPr>
            </w:pPr>
            <w:r>
              <w:rPr>
                <w:sz w:val="24"/>
                <w:szCs w:val="24"/>
              </w:rPr>
              <w:t>Academia de științe a Moldovei a examinat proiectul de Hotărîre a Guvernului cu privire la aprobarea modificărilor ce se operează în unele hotărîri ale Guvernului și menționează următoarele.</w:t>
            </w:r>
          </w:p>
        </w:tc>
        <w:tc>
          <w:tcPr>
            <w:tcW w:w="3401" w:type="dxa"/>
            <w:shd w:val="clear" w:color="auto" w:fill="auto"/>
          </w:tcPr>
          <w:p w:rsidR="0034401A" w:rsidRDefault="0034401A" w:rsidP="00A50782">
            <w:pPr>
              <w:pStyle w:val="2"/>
              <w:tabs>
                <w:tab w:val="left" w:pos="5940"/>
              </w:tabs>
              <w:ind w:firstLine="0"/>
              <w:rPr>
                <w:sz w:val="24"/>
                <w:szCs w:val="24"/>
              </w:rPr>
            </w:pPr>
          </w:p>
        </w:tc>
      </w:tr>
      <w:tr w:rsidR="0034401A" w:rsidRPr="009E4EE1" w:rsidTr="00A80D3E">
        <w:trPr>
          <w:trHeight w:val="557"/>
        </w:trPr>
        <w:tc>
          <w:tcPr>
            <w:tcW w:w="558" w:type="dxa"/>
            <w:vMerge/>
            <w:shd w:val="clear" w:color="auto" w:fill="auto"/>
          </w:tcPr>
          <w:p w:rsidR="0034401A" w:rsidRDefault="0034401A" w:rsidP="00C7263F">
            <w:pPr>
              <w:pStyle w:val="2"/>
              <w:tabs>
                <w:tab w:val="left" w:pos="5940"/>
              </w:tabs>
              <w:ind w:firstLine="0"/>
              <w:jc w:val="center"/>
              <w:rPr>
                <w:b/>
                <w:sz w:val="24"/>
                <w:szCs w:val="24"/>
              </w:rPr>
            </w:pPr>
          </w:p>
        </w:tc>
        <w:tc>
          <w:tcPr>
            <w:tcW w:w="2963" w:type="dxa"/>
            <w:vMerge/>
            <w:shd w:val="clear" w:color="auto" w:fill="auto"/>
          </w:tcPr>
          <w:p w:rsidR="0034401A" w:rsidRDefault="0034401A" w:rsidP="00C7263F">
            <w:pPr>
              <w:pStyle w:val="2"/>
              <w:tabs>
                <w:tab w:val="left" w:pos="5940"/>
              </w:tabs>
              <w:ind w:firstLine="0"/>
              <w:jc w:val="center"/>
              <w:rPr>
                <w:b/>
                <w:sz w:val="24"/>
                <w:szCs w:val="24"/>
              </w:rPr>
            </w:pPr>
          </w:p>
        </w:tc>
        <w:tc>
          <w:tcPr>
            <w:tcW w:w="7537" w:type="dxa"/>
            <w:shd w:val="clear" w:color="auto" w:fill="auto"/>
          </w:tcPr>
          <w:p w:rsidR="0034401A" w:rsidRPr="0034401A" w:rsidRDefault="0034401A" w:rsidP="0034401A">
            <w:pPr>
              <w:pStyle w:val="2"/>
              <w:numPr>
                <w:ilvl w:val="0"/>
                <w:numId w:val="1"/>
              </w:numPr>
              <w:tabs>
                <w:tab w:val="left" w:pos="5940"/>
              </w:tabs>
              <w:rPr>
                <w:sz w:val="24"/>
                <w:szCs w:val="24"/>
              </w:rPr>
            </w:pPr>
            <w:r>
              <w:rPr>
                <w:sz w:val="24"/>
                <w:szCs w:val="24"/>
              </w:rPr>
              <w:t>În conformitate cu prevederile pct. 5 din Hotărîrea Guvernului nr. 594 din 26 iulie 2017 cu privire la restructurarea administrației publice centrale de specialitate, prin care s-a dispus modificarea denumirii Ministerului Dezvoltării Regionale și Construcțiilor și reorganizarea prin absorbție de către Ministerul Agriculturii, Dezvoltării Regionale și Mediului a Ministerului Agriculturii și Industriei Alimentare și Ministerul Mediului, se impune necesitatea modificării și completării actelor normative prin care acestor autorități le-au fost atribuite competențe în domeniul lor de reglementare.</w:t>
            </w:r>
          </w:p>
        </w:tc>
        <w:tc>
          <w:tcPr>
            <w:tcW w:w="3401" w:type="dxa"/>
            <w:shd w:val="clear" w:color="auto" w:fill="auto"/>
          </w:tcPr>
          <w:p w:rsidR="0034401A" w:rsidRDefault="0034401A" w:rsidP="00481B0B">
            <w:pPr>
              <w:pStyle w:val="2"/>
              <w:tabs>
                <w:tab w:val="left" w:pos="5940"/>
              </w:tabs>
              <w:ind w:firstLine="0"/>
              <w:jc w:val="center"/>
              <w:rPr>
                <w:sz w:val="24"/>
                <w:szCs w:val="24"/>
              </w:rPr>
            </w:pPr>
          </w:p>
        </w:tc>
      </w:tr>
      <w:tr w:rsidR="0034401A" w:rsidRPr="009E4EE1" w:rsidTr="00A80D3E">
        <w:trPr>
          <w:trHeight w:val="557"/>
        </w:trPr>
        <w:tc>
          <w:tcPr>
            <w:tcW w:w="558" w:type="dxa"/>
            <w:vMerge/>
            <w:shd w:val="clear" w:color="auto" w:fill="auto"/>
          </w:tcPr>
          <w:p w:rsidR="0034401A" w:rsidRDefault="0034401A" w:rsidP="00C7263F">
            <w:pPr>
              <w:pStyle w:val="2"/>
              <w:tabs>
                <w:tab w:val="left" w:pos="5940"/>
              </w:tabs>
              <w:ind w:firstLine="0"/>
              <w:jc w:val="center"/>
              <w:rPr>
                <w:b/>
                <w:sz w:val="24"/>
                <w:szCs w:val="24"/>
              </w:rPr>
            </w:pPr>
          </w:p>
        </w:tc>
        <w:tc>
          <w:tcPr>
            <w:tcW w:w="2963" w:type="dxa"/>
            <w:vMerge/>
            <w:shd w:val="clear" w:color="auto" w:fill="auto"/>
          </w:tcPr>
          <w:p w:rsidR="0034401A" w:rsidRDefault="0034401A" w:rsidP="00C7263F">
            <w:pPr>
              <w:pStyle w:val="2"/>
              <w:tabs>
                <w:tab w:val="left" w:pos="5940"/>
              </w:tabs>
              <w:ind w:firstLine="0"/>
              <w:jc w:val="center"/>
              <w:rPr>
                <w:b/>
                <w:sz w:val="24"/>
                <w:szCs w:val="24"/>
              </w:rPr>
            </w:pPr>
          </w:p>
        </w:tc>
        <w:tc>
          <w:tcPr>
            <w:tcW w:w="7537" w:type="dxa"/>
            <w:shd w:val="clear" w:color="auto" w:fill="auto"/>
          </w:tcPr>
          <w:p w:rsidR="0034401A" w:rsidRDefault="0034401A" w:rsidP="0034401A">
            <w:pPr>
              <w:pStyle w:val="2"/>
              <w:numPr>
                <w:ilvl w:val="0"/>
                <w:numId w:val="1"/>
              </w:numPr>
              <w:tabs>
                <w:tab w:val="left" w:pos="5940"/>
              </w:tabs>
              <w:rPr>
                <w:sz w:val="24"/>
                <w:szCs w:val="24"/>
              </w:rPr>
            </w:pPr>
            <w:r>
              <w:rPr>
                <w:sz w:val="24"/>
                <w:szCs w:val="24"/>
              </w:rPr>
              <w:t>La Anexa nr. 1 a Hotărîrii Guvernului nr. 796 din 07 iulie 2006 cu privire la instituirea Comisiei Naționale a Cărții Roșii (Monitorul Oficial al Republicii Moldova, 2006, nr. 112-115, art. 860) se propun următoarele candidaturi:</w:t>
            </w:r>
          </w:p>
          <w:p w:rsidR="0034401A" w:rsidRDefault="0034401A" w:rsidP="0034401A">
            <w:pPr>
              <w:pStyle w:val="2"/>
              <w:tabs>
                <w:tab w:val="left" w:pos="5940"/>
              </w:tabs>
              <w:ind w:left="360" w:firstLine="0"/>
              <w:rPr>
                <w:sz w:val="24"/>
                <w:szCs w:val="24"/>
              </w:rPr>
            </w:pPr>
            <w:r>
              <w:rPr>
                <w:sz w:val="24"/>
                <w:szCs w:val="24"/>
              </w:rPr>
              <w:t>a). La compartimentul ANIMALE</w:t>
            </w:r>
          </w:p>
          <w:p w:rsidR="0034401A" w:rsidRDefault="0034401A" w:rsidP="0034401A">
            <w:pPr>
              <w:pStyle w:val="2"/>
              <w:tabs>
                <w:tab w:val="left" w:pos="5940"/>
              </w:tabs>
              <w:ind w:firstLine="0"/>
              <w:rPr>
                <w:sz w:val="24"/>
                <w:szCs w:val="24"/>
              </w:rPr>
            </w:pPr>
            <w:r>
              <w:rPr>
                <w:sz w:val="24"/>
                <w:szCs w:val="24"/>
              </w:rPr>
              <w:lastRenderedPageBreak/>
              <w:t>TODERAȘ Ion – directorul Institutul de Zoologie al AȘM, academician, doctor habilitat în științe biologice, profesor universitar, vicepreședinte în exercițiu al Comisiei;</w:t>
            </w:r>
          </w:p>
          <w:p w:rsidR="0034401A" w:rsidRDefault="0034401A" w:rsidP="0034401A">
            <w:pPr>
              <w:pStyle w:val="2"/>
              <w:tabs>
                <w:tab w:val="left" w:pos="5940"/>
              </w:tabs>
              <w:ind w:firstLine="0"/>
              <w:rPr>
                <w:sz w:val="24"/>
                <w:szCs w:val="24"/>
              </w:rPr>
            </w:pPr>
            <w:r>
              <w:rPr>
                <w:sz w:val="24"/>
                <w:szCs w:val="24"/>
              </w:rPr>
              <w:t>DERJANSCHI Valeriu – cercetător științific principal, Institutul de Zoologie al Academiei de Științe a Moldovei, doctor habilitat în științe biologice, profesor cercetător;</w:t>
            </w:r>
          </w:p>
          <w:p w:rsidR="0034401A" w:rsidRDefault="0034401A" w:rsidP="0034401A">
            <w:pPr>
              <w:pStyle w:val="2"/>
              <w:tabs>
                <w:tab w:val="left" w:pos="5940"/>
              </w:tabs>
              <w:ind w:firstLine="0"/>
              <w:rPr>
                <w:sz w:val="24"/>
                <w:szCs w:val="24"/>
              </w:rPr>
            </w:pPr>
            <w:r>
              <w:rPr>
                <w:sz w:val="24"/>
                <w:szCs w:val="24"/>
              </w:rPr>
              <w:t>MUNTEANU Andrei – cercetător științific principal, Institutul de Zoologie al Academiei de Științe a Moldovei, doctor în științe biologice, profesor universitar;</w:t>
            </w:r>
          </w:p>
          <w:p w:rsidR="0034401A" w:rsidRDefault="0034401A" w:rsidP="0034401A">
            <w:pPr>
              <w:pStyle w:val="2"/>
              <w:tabs>
                <w:tab w:val="left" w:pos="5940"/>
              </w:tabs>
              <w:ind w:firstLine="0"/>
              <w:rPr>
                <w:sz w:val="24"/>
                <w:szCs w:val="24"/>
              </w:rPr>
            </w:pPr>
            <w:r>
              <w:rPr>
                <w:sz w:val="24"/>
                <w:szCs w:val="24"/>
              </w:rPr>
              <w:t>USATÎI Marin - șef de laborator, Institutul de Zoologie al Academiei de Științe a Moldovei, doctor habilitat în în științe biologice, profesor universitar;</w:t>
            </w:r>
          </w:p>
          <w:p w:rsidR="0034401A" w:rsidRDefault="0034401A" w:rsidP="0034401A">
            <w:pPr>
              <w:pStyle w:val="2"/>
              <w:tabs>
                <w:tab w:val="left" w:pos="5940"/>
              </w:tabs>
              <w:ind w:firstLine="0"/>
              <w:rPr>
                <w:sz w:val="24"/>
                <w:szCs w:val="24"/>
              </w:rPr>
            </w:pPr>
            <w:r>
              <w:rPr>
                <w:sz w:val="24"/>
                <w:szCs w:val="24"/>
              </w:rPr>
              <w:t>NISTREANU Victoria - șef de laborator, Institutul de Zoologie al Academiei de Științe a Moldovei, doctor în științe biologice, conferențiar cercetător;</w:t>
            </w:r>
          </w:p>
          <w:p w:rsidR="0034401A" w:rsidRDefault="0034401A" w:rsidP="0034401A">
            <w:pPr>
              <w:pStyle w:val="2"/>
              <w:tabs>
                <w:tab w:val="left" w:pos="5940"/>
              </w:tabs>
              <w:ind w:firstLine="0"/>
              <w:rPr>
                <w:sz w:val="24"/>
                <w:szCs w:val="24"/>
              </w:rPr>
            </w:pPr>
            <w:r>
              <w:rPr>
                <w:sz w:val="24"/>
                <w:szCs w:val="24"/>
              </w:rPr>
              <w:t>COZARI Tudor – cercetător științific coordonator, Institutul de Zoologie al Academiei de Științe a Moldovei, doctor habilitat în științe biologice, profesor universitar;</w:t>
            </w:r>
          </w:p>
          <w:p w:rsidR="0034401A" w:rsidRDefault="0034401A" w:rsidP="0034401A">
            <w:pPr>
              <w:pStyle w:val="2"/>
              <w:tabs>
                <w:tab w:val="left" w:pos="5940"/>
              </w:tabs>
              <w:ind w:firstLine="0"/>
              <w:rPr>
                <w:sz w:val="24"/>
                <w:szCs w:val="24"/>
              </w:rPr>
            </w:pPr>
            <w:r>
              <w:rPr>
                <w:sz w:val="24"/>
                <w:szCs w:val="24"/>
              </w:rPr>
              <w:t>b). La compartimentul PLANTE</w:t>
            </w:r>
          </w:p>
          <w:p w:rsidR="0034401A" w:rsidRDefault="0034401A" w:rsidP="0034401A">
            <w:pPr>
              <w:pStyle w:val="2"/>
              <w:tabs>
                <w:tab w:val="left" w:pos="5940"/>
              </w:tabs>
              <w:ind w:firstLine="0"/>
              <w:rPr>
                <w:sz w:val="24"/>
                <w:szCs w:val="24"/>
              </w:rPr>
            </w:pPr>
            <w:r>
              <w:rPr>
                <w:sz w:val="24"/>
                <w:szCs w:val="24"/>
              </w:rPr>
              <w:t>Teleuță Alexandru – directorul Grădinii Botanice (Institut) AȘM, doctor în științe agricole, conferențiar cercetător;</w:t>
            </w:r>
          </w:p>
          <w:p w:rsidR="0034401A" w:rsidRDefault="0034401A" w:rsidP="0034401A">
            <w:pPr>
              <w:pStyle w:val="2"/>
              <w:tabs>
                <w:tab w:val="left" w:pos="5940"/>
              </w:tabs>
              <w:ind w:firstLine="0"/>
              <w:rPr>
                <w:sz w:val="24"/>
                <w:szCs w:val="24"/>
              </w:rPr>
            </w:pPr>
            <w:r>
              <w:rPr>
                <w:sz w:val="24"/>
                <w:szCs w:val="24"/>
              </w:rPr>
              <w:t>Cutcovschi-Muștuc Alina – secretar științific, Grădina Botanica (Institut) AȘM, doctor în științe biologice, cercetător științific superior;</w:t>
            </w:r>
          </w:p>
          <w:p w:rsidR="0034401A" w:rsidRDefault="0034401A" w:rsidP="0034401A">
            <w:pPr>
              <w:pStyle w:val="2"/>
              <w:tabs>
                <w:tab w:val="left" w:pos="5940"/>
              </w:tabs>
              <w:ind w:firstLine="0"/>
              <w:rPr>
                <w:sz w:val="24"/>
                <w:szCs w:val="24"/>
              </w:rPr>
            </w:pPr>
            <w:r>
              <w:rPr>
                <w:sz w:val="24"/>
                <w:szCs w:val="24"/>
              </w:rPr>
              <w:t>Ghendov Veaceslav - șef de laborator, Grădina Botanică (Institut) AȘM, doctor în științe biologice, conferențiar cercetător;</w:t>
            </w:r>
          </w:p>
          <w:p w:rsidR="0034401A" w:rsidRDefault="0034401A" w:rsidP="0034401A">
            <w:pPr>
              <w:pStyle w:val="2"/>
              <w:tabs>
                <w:tab w:val="left" w:pos="5940"/>
              </w:tabs>
              <w:ind w:firstLine="0"/>
              <w:rPr>
                <w:sz w:val="24"/>
                <w:szCs w:val="24"/>
              </w:rPr>
            </w:pPr>
            <w:r>
              <w:rPr>
                <w:sz w:val="24"/>
                <w:szCs w:val="24"/>
              </w:rPr>
              <w:t>Postolache Gheorghe - șef de laborator, Grădina Botanică (Institut) AȘM, doctor habilitat în științe biologice, profesor universitar;</w:t>
            </w:r>
          </w:p>
          <w:p w:rsidR="0034401A" w:rsidRDefault="0034401A" w:rsidP="0034401A">
            <w:pPr>
              <w:pStyle w:val="2"/>
              <w:tabs>
                <w:tab w:val="left" w:pos="5940"/>
              </w:tabs>
              <w:ind w:firstLine="0"/>
              <w:rPr>
                <w:sz w:val="24"/>
                <w:szCs w:val="24"/>
              </w:rPr>
            </w:pPr>
            <w:r>
              <w:rPr>
                <w:sz w:val="24"/>
                <w:szCs w:val="24"/>
              </w:rPr>
              <w:t>Bucațel Vasile - șef de laborator, Grădina Botanică (Institut) AȘM, doctor în științe biologice, conferențiar cercetător;</w:t>
            </w:r>
          </w:p>
          <w:p w:rsidR="0034401A" w:rsidRDefault="0034401A" w:rsidP="0034401A">
            <w:pPr>
              <w:pStyle w:val="2"/>
              <w:tabs>
                <w:tab w:val="left" w:pos="5940"/>
              </w:tabs>
              <w:ind w:firstLine="0"/>
              <w:rPr>
                <w:sz w:val="24"/>
                <w:szCs w:val="24"/>
              </w:rPr>
            </w:pPr>
            <w:r>
              <w:rPr>
                <w:sz w:val="24"/>
                <w:szCs w:val="24"/>
              </w:rPr>
              <w:t>Sîrbu Tatiana -  șef de laborator, Grădina Botanică (Institut) AȘM, doctor în științe biologice, conferențiar cercetător.</w:t>
            </w:r>
          </w:p>
        </w:tc>
        <w:tc>
          <w:tcPr>
            <w:tcW w:w="3401" w:type="dxa"/>
            <w:shd w:val="clear" w:color="auto" w:fill="auto"/>
          </w:tcPr>
          <w:p w:rsidR="000944F0" w:rsidRDefault="0034401A" w:rsidP="000944F0">
            <w:pPr>
              <w:pStyle w:val="2"/>
              <w:tabs>
                <w:tab w:val="left" w:pos="5940"/>
              </w:tabs>
              <w:ind w:firstLine="0"/>
              <w:rPr>
                <w:sz w:val="24"/>
                <w:szCs w:val="24"/>
              </w:rPr>
            </w:pPr>
            <w:r w:rsidRPr="001C531C">
              <w:rPr>
                <w:sz w:val="24"/>
                <w:szCs w:val="24"/>
              </w:rPr>
              <w:lastRenderedPageBreak/>
              <w:t>Se acceptă parțial.</w:t>
            </w:r>
            <w:r w:rsidR="001C531C">
              <w:rPr>
                <w:sz w:val="24"/>
                <w:szCs w:val="24"/>
              </w:rPr>
              <w:t xml:space="preserve"> </w:t>
            </w:r>
            <w:r w:rsidR="000944F0">
              <w:rPr>
                <w:sz w:val="24"/>
                <w:szCs w:val="24"/>
              </w:rPr>
              <w:t xml:space="preserve">Punctul 26, care cuprindea intenția de modificare a Hotărîrii Guvernului nr. 796 din 7 iulie 2006 a fost exclus din proiect. </w:t>
            </w:r>
            <w:r w:rsidR="000944F0">
              <w:rPr>
                <w:sz w:val="24"/>
                <w:szCs w:val="24"/>
              </w:rPr>
              <w:lastRenderedPageBreak/>
              <w:t>Componența norminală a Comisiei Naționale a Cărții Roșii urmează a fi actualizată printr-un proiect de hotărîre separat.</w:t>
            </w:r>
          </w:p>
        </w:tc>
      </w:tr>
      <w:tr w:rsidR="0034401A" w:rsidRPr="009E4EE1" w:rsidTr="00A80D3E">
        <w:trPr>
          <w:trHeight w:val="557"/>
        </w:trPr>
        <w:tc>
          <w:tcPr>
            <w:tcW w:w="558" w:type="dxa"/>
            <w:vMerge/>
            <w:shd w:val="clear" w:color="auto" w:fill="auto"/>
          </w:tcPr>
          <w:p w:rsidR="0034401A" w:rsidRDefault="0034401A" w:rsidP="00C7263F">
            <w:pPr>
              <w:pStyle w:val="2"/>
              <w:tabs>
                <w:tab w:val="left" w:pos="5940"/>
              </w:tabs>
              <w:ind w:firstLine="0"/>
              <w:jc w:val="center"/>
              <w:rPr>
                <w:b/>
                <w:sz w:val="24"/>
                <w:szCs w:val="24"/>
              </w:rPr>
            </w:pPr>
          </w:p>
        </w:tc>
        <w:tc>
          <w:tcPr>
            <w:tcW w:w="2963" w:type="dxa"/>
            <w:vMerge/>
            <w:shd w:val="clear" w:color="auto" w:fill="auto"/>
          </w:tcPr>
          <w:p w:rsidR="0034401A" w:rsidRDefault="0034401A" w:rsidP="00C7263F">
            <w:pPr>
              <w:pStyle w:val="2"/>
              <w:tabs>
                <w:tab w:val="left" w:pos="5940"/>
              </w:tabs>
              <w:ind w:firstLine="0"/>
              <w:jc w:val="center"/>
              <w:rPr>
                <w:b/>
                <w:sz w:val="24"/>
                <w:szCs w:val="24"/>
              </w:rPr>
            </w:pPr>
          </w:p>
        </w:tc>
        <w:tc>
          <w:tcPr>
            <w:tcW w:w="7537" w:type="dxa"/>
            <w:shd w:val="clear" w:color="auto" w:fill="auto"/>
          </w:tcPr>
          <w:p w:rsidR="0034401A" w:rsidRDefault="0034401A" w:rsidP="0034401A">
            <w:pPr>
              <w:pStyle w:val="2"/>
              <w:tabs>
                <w:tab w:val="left" w:pos="5940"/>
              </w:tabs>
              <w:ind w:firstLine="0"/>
              <w:rPr>
                <w:sz w:val="24"/>
                <w:szCs w:val="24"/>
              </w:rPr>
            </w:pPr>
            <w:r>
              <w:rPr>
                <w:sz w:val="24"/>
                <w:szCs w:val="24"/>
              </w:rPr>
              <w:t>3. La Anexa nr. 1 a Hotărîrii Guvernului nr. 503 din 20 mai 2003 cu privire la Comisia Națională pentru Securitatea Biologică (Monitorul Oficial al Republicii Moldova, 2003, nr. 91-96, art. 641) cu modificările și completările ulterioare se propune:</w:t>
            </w:r>
          </w:p>
          <w:p w:rsidR="0034401A" w:rsidRDefault="0034401A" w:rsidP="0034401A">
            <w:pPr>
              <w:pStyle w:val="2"/>
              <w:tabs>
                <w:tab w:val="left" w:pos="5940"/>
              </w:tabs>
              <w:ind w:firstLine="0"/>
              <w:rPr>
                <w:sz w:val="24"/>
                <w:szCs w:val="24"/>
              </w:rPr>
            </w:pPr>
            <w:r>
              <w:rPr>
                <w:sz w:val="24"/>
                <w:szCs w:val="24"/>
              </w:rPr>
              <w:t>Din motive de sănătate membrul Comisiei dr. hab. Barbacar Nicolae de înlocuit cu dr. hab. Botnari Vasile, director al Institutului de Genetică, Fiziologie și Protecție a Plantelor al Academiei de Științe a Moldovei.</w:t>
            </w:r>
          </w:p>
        </w:tc>
        <w:tc>
          <w:tcPr>
            <w:tcW w:w="3401" w:type="dxa"/>
            <w:shd w:val="clear" w:color="auto" w:fill="auto"/>
          </w:tcPr>
          <w:p w:rsidR="0034401A" w:rsidRDefault="0034401A" w:rsidP="00481B0B">
            <w:pPr>
              <w:pStyle w:val="2"/>
              <w:tabs>
                <w:tab w:val="left" w:pos="5940"/>
              </w:tabs>
              <w:ind w:firstLine="0"/>
              <w:jc w:val="center"/>
              <w:rPr>
                <w:sz w:val="24"/>
                <w:szCs w:val="24"/>
              </w:rPr>
            </w:pPr>
            <w:r>
              <w:rPr>
                <w:sz w:val="24"/>
                <w:szCs w:val="24"/>
              </w:rPr>
              <w:t>Se acceptă.</w:t>
            </w:r>
          </w:p>
        </w:tc>
      </w:tr>
      <w:tr w:rsidR="0034401A" w:rsidRPr="009E4EE1" w:rsidTr="00A80D3E">
        <w:trPr>
          <w:trHeight w:val="557"/>
        </w:trPr>
        <w:tc>
          <w:tcPr>
            <w:tcW w:w="558" w:type="dxa"/>
            <w:vMerge/>
            <w:shd w:val="clear" w:color="auto" w:fill="auto"/>
          </w:tcPr>
          <w:p w:rsidR="0034401A" w:rsidRDefault="0034401A" w:rsidP="00C7263F">
            <w:pPr>
              <w:pStyle w:val="2"/>
              <w:tabs>
                <w:tab w:val="left" w:pos="5940"/>
              </w:tabs>
              <w:ind w:firstLine="0"/>
              <w:jc w:val="center"/>
              <w:rPr>
                <w:b/>
                <w:sz w:val="24"/>
                <w:szCs w:val="24"/>
              </w:rPr>
            </w:pPr>
          </w:p>
        </w:tc>
        <w:tc>
          <w:tcPr>
            <w:tcW w:w="2963" w:type="dxa"/>
            <w:vMerge/>
            <w:shd w:val="clear" w:color="auto" w:fill="auto"/>
          </w:tcPr>
          <w:p w:rsidR="0034401A" w:rsidRDefault="0034401A" w:rsidP="00C7263F">
            <w:pPr>
              <w:pStyle w:val="2"/>
              <w:tabs>
                <w:tab w:val="left" w:pos="5940"/>
              </w:tabs>
              <w:ind w:firstLine="0"/>
              <w:jc w:val="center"/>
              <w:rPr>
                <w:b/>
                <w:sz w:val="24"/>
                <w:szCs w:val="24"/>
              </w:rPr>
            </w:pPr>
          </w:p>
        </w:tc>
        <w:tc>
          <w:tcPr>
            <w:tcW w:w="7537" w:type="dxa"/>
            <w:shd w:val="clear" w:color="auto" w:fill="auto"/>
          </w:tcPr>
          <w:p w:rsidR="0034401A" w:rsidRDefault="0034401A" w:rsidP="0034401A">
            <w:pPr>
              <w:pStyle w:val="2"/>
              <w:tabs>
                <w:tab w:val="left" w:pos="5940"/>
              </w:tabs>
              <w:ind w:firstLine="0"/>
              <w:rPr>
                <w:sz w:val="24"/>
                <w:szCs w:val="24"/>
              </w:rPr>
            </w:pPr>
            <w:r>
              <w:rPr>
                <w:sz w:val="24"/>
                <w:szCs w:val="24"/>
              </w:rPr>
              <w:t xml:space="preserve">4. În contextul celor expuse, Academia de Științe a Moldovei, după operarea modificărilor și completărilor propuse, avizează pozitiv proiectul de Hotărîre a Guvernului cu privire la aprobarea modificărilor ce se operează în unele hotărîri ale Guvernului.   </w:t>
            </w:r>
          </w:p>
        </w:tc>
        <w:tc>
          <w:tcPr>
            <w:tcW w:w="3401" w:type="dxa"/>
            <w:shd w:val="clear" w:color="auto" w:fill="auto"/>
          </w:tcPr>
          <w:p w:rsidR="0034401A" w:rsidRDefault="0034401A" w:rsidP="00481B0B">
            <w:pPr>
              <w:pStyle w:val="2"/>
              <w:tabs>
                <w:tab w:val="left" w:pos="5940"/>
              </w:tabs>
              <w:ind w:firstLine="0"/>
              <w:jc w:val="center"/>
              <w:rPr>
                <w:sz w:val="24"/>
                <w:szCs w:val="24"/>
              </w:rPr>
            </w:pPr>
            <w:r>
              <w:rPr>
                <w:sz w:val="24"/>
                <w:szCs w:val="24"/>
              </w:rPr>
              <w:t>Se acceptă.</w:t>
            </w:r>
          </w:p>
        </w:tc>
      </w:tr>
      <w:tr w:rsidR="0039309A" w:rsidRPr="009E4EE1" w:rsidTr="00A80D3E">
        <w:trPr>
          <w:trHeight w:val="557"/>
        </w:trPr>
        <w:tc>
          <w:tcPr>
            <w:tcW w:w="558" w:type="dxa"/>
            <w:vMerge w:val="restart"/>
            <w:shd w:val="clear" w:color="auto" w:fill="auto"/>
          </w:tcPr>
          <w:p w:rsidR="0039309A" w:rsidRDefault="0039309A" w:rsidP="00C7263F">
            <w:pPr>
              <w:pStyle w:val="2"/>
              <w:tabs>
                <w:tab w:val="left" w:pos="5940"/>
              </w:tabs>
              <w:ind w:firstLine="0"/>
              <w:jc w:val="center"/>
              <w:rPr>
                <w:b/>
                <w:sz w:val="24"/>
                <w:szCs w:val="24"/>
              </w:rPr>
            </w:pPr>
            <w:r>
              <w:rPr>
                <w:b/>
                <w:sz w:val="24"/>
                <w:szCs w:val="24"/>
              </w:rPr>
              <w:t>7</w:t>
            </w:r>
          </w:p>
        </w:tc>
        <w:tc>
          <w:tcPr>
            <w:tcW w:w="2963" w:type="dxa"/>
            <w:vMerge w:val="restart"/>
            <w:shd w:val="clear" w:color="auto" w:fill="auto"/>
          </w:tcPr>
          <w:p w:rsidR="0039309A" w:rsidRDefault="0039309A" w:rsidP="00C7263F">
            <w:pPr>
              <w:pStyle w:val="2"/>
              <w:tabs>
                <w:tab w:val="left" w:pos="5940"/>
              </w:tabs>
              <w:ind w:firstLine="0"/>
              <w:jc w:val="center"/>
              <w:rPr>
                <w:b/>
                <w:sz w:val="24"/>
                <w:szCs w:val="24"/>
              </w:rPr>
            </w:pPr>
            <w:r>
              <w:rPr>
                <w:b/>
                <w:sz w:val="24"/>
                <w:szCs w:val="24"/>
              </w:rPr>
              <w:t>Centrul Național Anticorupție</w:t>
            </w:r>
          </w:p>
        </w:tc>
        <w:tc>
          <w:tcPr>
            <w:tcW w:w="7537" w:type="dxa"/>
            <w:shd w:val="clear" w:color="auto" w:fill="auto"/>
          </w:tcPr>
          <w:p w:rsidR="0039309A" w:rsidRDefault="0039309A" w:rsidP="0034401A">
            <w:pPr>
              <w:pStyle w:val="2"/>
              <w:tabs>
                <w:tab w:val="left" w:pos="5940"/>
              </w:tabs>
              <w:ind w:firstLine="0"/>
              <w:rPr>
                <w:sz w:val="24"/>
                <w:szCs w:val="24"/>
              </w:rPr>
            </w:pPr>
            <w:r w:rsidRPr="008B1D9F">
              <w:rPr>
                <w:sz w:val="24"/>
                <w:szCs w:val="24"/>
              </w:rPr>
              <w:t>Prezentul raport de expertiză anticorupţie a fost întocmit de Centrul Național Anticorupție al Republicii Moldova în baza Legii nr.317 din 18.07.2003 privind actele normative ale Guvernului și ale altor autorități ale administrației publice centrale și locale, a Legii nr.1104/2002 cu privire la Centrul Național Anticorupție, a Legii integrității nr.82/2017 și a Metodologiei de efectuare a expertizei anticorupţie a proiectelor de acte legislative și normative, aprobată prin Hotărârea Colegiului Centrului nr.6 din 20 octombrie 2017.</w:t>
            </w:r>
          </w:p>
        </w:tc>
        <w:tc>
          <w:tcPr>
            <w:tcW w:w="3401" w:type="dxa"/>
            <w:shd w:val="clear" w:color="auto" w:fill="auto"/>
          </w:tcPr>
          <w:p w:rsidR="0039309A" w:rsidRDefault="0039309A" w:rsidP="00481B0B">
            <w:pPr>
              <w:pStyle w:val="2"/>
              <w:tabs>
                <w:tab w:val="left" w:pos="5940"/>
              </w:tabs>
              <w:ind w:firstLine="0"/>
              <w:jc w:val="center"/>
              <w:rPr>
                <w:sz w:val="24"/>
                <w:szCs w:val="24"/>
              </w:rPr>
            </w:pPr>
            <w:r>
              <w:rPr>
                <w:sz w:val="24"/>
                <w:szCs w:val="24"/>
              </w:rPr>
              <w:t>Se acceptă</w:t>
            </w:r>
          </w:p>
        </w:tc>
      </w:tr>
      <w:tr w:rsidR="0039309A" w:rsidRPr="009E4EE1" w:rsidTr="00A80D3E">
        <w:trPr>
          <w:trHeight w:val="557"/>
        </w:trPr>
        <w:tc>
          <w:tcPr>
            <w:tcW w:w="558" w:type="dxa"/>
            <w:vMerge/>
            <w:shd w:val="clear" w:color="auto" w:fill="auto"/>
          </w:tcPr>
          <w:p w:rsidR="0039309A" w:rsidRDefault="0039309A" w:rsidP="00C7263F">
            <w:pPr>
              <w:pStyle w:val="2"/>
              <w:tabs>
                <w:tab w:val="left" w:pos="5940"/>
              </w:tabs>
              <w:ind w:firstLine="0"/>
              <w:jc w:val="center"/>
              <w:rPr>
                <w:b/>
                <w:sz w:val="24"/>
                <w:szCs w:val="24"/>
              </w:rPr>
            </w:pPr>
          </w:p>
        </w:tc>
        <w:tc>
          <w:tcPr>
            <w:tcW w:w="2963" w:type="dxa"/>
            <w:vMerge/>
            <w:shd w:val="clear" w:color="auto" w:fill="auto"/>
          </w:tcPr>
          <w:p w:rsidR="0039309A" w:rsidRDefault="0039309A" w:rsidP="00C7263F">
            <w:pPr>
              <w:pStyle w:val="2"/>
              <w:tabs>
                <w:tab w:val="left" w:pos="5940"/>
              </w:tabs>
              <w:ind w:firstLine="0"/>
              <w:jc w:val="center"/>
              <w:rPr>
                <w:b/>
                <w:sz w:val="24"/>
                <w:szCs w:val="24"/>
              </w:rPr>
            </w:pPr>
          </w:p>
        </w:tc>
        <w:tc>
          <w:tcPr>
            <w:tcW w:w="7537" w:type="dxa"/>
            <w:shd w:val="clear" w:color="auto" w:fill="auto"/>
          </w:tcPr>
          <w:p w:rsidR="0039309A" w:rsidRDefault="0039309A" w:rsidP="0034401A">
            <w:pPr>
              <w:pStyle w:val="2"/>
              <w:tabs>
                <w:tab w:val="left" w:pos="5940"/>
              </w:tabs>
              <w:ind w:firstLine="0"/>
              <w:rPr>
                <w:sz w:val="24"/>
                <w:szCs w:val="24"/>
              </w:rPr>
            </w:pPr>
            <w:r w:rsidRPr="008B1D9F">
              <w:rPr>
                <w:sz w:val="24"/>
                <w:szCs w:val="24"/>
              </w:rPr>
              <w:t>I. Analiza riscurilor de corupere a procesului de promovare a proiectului I.1. Pertinența autorului, categoriei propuse a actului și a procedurii de promovare a proiectului</w:t>
            </w:r>
          </w:p>
          <w:p w:rsidR="0039309A" w:rsidRPr="008B1D9F" w:rsidRDefault="0039309A" w:rsidP="0034401A">
            <w:pPr>
              <w:pStyle w:val="2"/>
              <w:tabs>
                <w:tab w:val="left" w:pos="5940"/>
              </w:tabs>
              <w:ind w:firstLine="0"/>
              <w:rPr>
                <w:sz w:val="24"/>
                <w:szCs w:val="24"/>
              </w:rPr>
            </w:pPr>
            <w:r w:rsidRPr="008B1D9F">
              <w:rPr>
                <w:sz w:val="24"/>
                <w:szCs w:val="24"/>
              </w:rPr>
              <w:t>Autor al proiectului de act normativ este Guvernul, iar autor nemijlocit este Ministerul Agriculturii, Dezvoltării Regionale și Mediului, ceea ce corespunde art.102 din Constituție, art.10 din Legea privind actele normative ale Guvernului și ale altor autorități ale administrației publice centrale și locale nr.317-XV din 18.07.2003. Categoria actului normativ propus este Hotărâre a Guvernului, ceea ce corespunde art.102 din Constituție, art.10 din Legea privind actele normative ale Guvernului și ale altor autorități ale administrației publice centrale și locale nr.317-XV din 18.07.2003.</w:t>
            </w:r>
          </w:p>
        </w:tc>
        <w:tc>
          <w:tcPr>
            <w:tcW w:w="3401" w:type="dxa"/>
            <w:shd w:val="clear" w:color="auto" w:fill="auto"/>
          </w:tcPr>
          <w:p w:rsidR="0039309A" w:rsidRDefault="0039309A" w:rsidP="00481B0B">
            <w:pPr>
              <w:pStyle w:val="2"/>
              <w:tabs>
                <w:tab w:val="left" w:pos="5940"/>
              </w:tabs>
              <w:ind w:firstLine="0"/>
              <w:jc w:val="center"/>
              <w:rPr>
                <w:sz w:val="24"/>
                <w:szCs w:val="24"/>
              </w:rPr>
            </w:pPr>
            <w:r>
              <w:rPr>
                <w:sz w:val="24"/>
                <w:szCs w:val="24"/>
              </w:rPr>
              <w:t>Se acceptă</w:t>
            </w:r>
          </w:p>
        </w:tc>
      </w:tr>
      <w:tr w:rsidR="0039309A" w:rsidRPr="009E4EE1" w:rsidTr="00A80D3E">
        <w:trPr>
          <w:trHeight w:val="557"/>
        </w:trPr>
        <w:tc>
          <w:tcPr>
            <w:tcW w:w="558" w:type="dxa"/>
            <w:vMerge/>
            <w:shd w:val="clear" w:color="auto" w:fill="auto"/>
          </w:tcPr>
          <w:p w:rsidR="0039309A" w:rsidRDefault="0039309A" w:rsidP="00C7263F">
            <w:pPr>
              <w:pStyle w:val="2"/>
              <w:tabs>
                <w:tab w:val="left" w:pos="5940"/>
              </w:tabs>
              <w:ind w:firstLine="0"/>
              <w:jc w:val="center"/>
              <w:rPr>
                <w:b/>
                <w:sz w:val="24"/>
                <w:szCs w:val="24"/>
              </w:rPr>
            </w:pPr>
          </w:p>
        </w:tc>
        <w:tc>
          <w:tcPr>
            <w:tcW w:w="2963" w:type="dxa"/>
            <w:vMerge/>
            <w:shd w:val="clear" w:color="auto" w:fill="auto"/>
          </w:tcPr>
          <w:p w:rsidR="0039309A" w:rsidRDefault="0039309A" w:rsidP="00C7263F">
            <w:pPr>
              <w:pStyle w:val="2"/>
              <w:tabs>
                <w:tab w:val="left" w:pos="5940"/>
              </w:tabs>
              <w:ind w:firstLine="0"/>
              <w:jc w:val="center"/>
              <w:rPr>
                <w:b/>
                <w:sz w:val="24"/>
                <w:szCs w:val="24"/>
              </w:rPr>
            </w:pPr>
          </w:p>
        </w:tc>
        <w:tc>
          <w:tcPr>
            <w:tcW w:w="7537" w:type="dxa"/>
            <w:shd w:val="clear" w:color="auto" w:fill="auto"/>
          </w:tcPr>
          <w:p w:rsidR="0039309A" w:rsidRDefault="0039309A" w:rsidP="0034401A">
            <w:pPr>
              <w:pStyle w:val="2"/>
              <w:tabs>
                <w:tab w:val="left" w:pos="5940"/>
              </w:tabs>
              <w:ind w:firstLine="0"/>
              <w:rPr>
                <w:sz w:val="24"/>
                <w:szCs w:val="24"/>
              </w:rPr>
            </w:pPr>
            <w:r w:rsidRPr="008B1D9F">
              <w:rPr>
                <w:sz w:val="24"/>
                <w:szCs w:val="24"/>
              </w:rPr>
              <w:t>I.2. Respectarea rigorilor de transparenţă în procesul decizional la promovarea proiectului</w:t>
            </w:r>
          </w:p>
          <w:p w:rsidR="0039309A" w:rsidRDefault="0039309A" w:rsidP="0034401A">
            <w:pPr>
              <w:pStyle w:val="2"/>
              <w:tabs>
                <w:tab w:val="left" w:pos="5940"/>
              </w:tabs>
              <w:ind w:firstLine="0"/>
              <w:rPr>
                <w:sz w:val="24"/>
                <w:szCs w:val="24"/>
              </w:rPr>
            </w:pPr>
            <w:r w:rsidRPr="008B1D9F">
              <w:rPr>
                <w:sz w:val="24"/>
                <w:szCs w:val="24"/>
              </w:rPr>
              <w:t>Potrivit art.8 al Legii nr.239/2008 privind transparenţa în procesul decizional „etapele asigurării transparenţei procesului de elaborare a deciziilor sunt:</w:t>
            </w:r>
          </w:p>
          <w:p w:rsidR="0039309A" w:rsidRDefault="0039309A" w:rsidP="0034401A">
            <w:pPr>
              <w:pStyle w:val="2"/>
              <w:tabs>
                <w:tab w:val="left" w:pos="5940"/>
              </w:tabs>
              <w:ind w:firstLine="0"/>
              <w:rPr>
                <w:sz w:val="24"/>
                <w:szCs w:val="24"/>
              </w:rPr>
            </w:pPr>
            <w:r w:rsidRPr="008B1D9F">
              <w:rPr>
                <w:sz w:val="24"/>
                <w:szCs w:val="24"/>
              </w:rPr>
              <w:t>a) informarea publicului referitor la iniţierea elaborării deciziei; b) punerea la dispoziţia părţilor interesate a proiectului de decizie şi a materialelor aferente acestuia; c) consultarea cetăţenilor, asociaţiilor constituite în corespundere cu legea, altor părţi interesate; d) examinarea recomandărilor cetăţenilor, asociaţiilor constituite în corespundere cu legea, altor părţi interesate în procesul de elaborare a proiectelor de decizii; e) informarea publicului referitor la deciziile adoptate.".</w:t>
            </w:r>
          </w:p>
          <w:p w:rsidR="0039309A" w:rsidRPr="008B1D9F" w:rsidRDefault="0039309A" w:rsidP="0034401A">
            <w:pPr>
              <w:pStyle w:val="2"/>
              <w:tabs>
                <w:tab w:val="left" w:pos="5940"/>
              </w:tabs>
              <w:ind w:firstLine="0"/>
              <w:rPr>
                <w:sz w:val="24"/>
                <w:szCs w:val="24"/>
              </w:rPr>
            </w:pPr>
            <w:r w:rsidRPr="008B1D9F">
              <w:rPr>
                <w:sz w:val="24"/>
                <w:szCs w:val="24"/>
              </w:rPr>
              <w:t xml:space="preserve">Totodată, art.10 din Legea nr.239/2008 stabileşte expres că „(1) Autoritatea publică asigură accesul la proiectele de decizii şi la materialele aferente </w:t>
            </w:r>
            <w:r w:rsidRPr="008B1D9F">
              <w:rPr>
                <w:sz w:val="24"/>
                <w:szCs w:val="24"/>
              </w:rPr>
              <w:lastRenderedPageBreak/>
              <w:t>acestora prin publicarea obligatorie a lor pe pagina web oficială a autorităţii publice, prin asigurarea accesului la sediul autorităţii, precum şi prin expediere prin poştă sau prin alte mijloace disponibile, la solicitarea persoanei interesate. (2) Proiectul de decizie şi materialele aferente acestuia se plasează pe pagina web oficială a autorităţii publice responsabile cel puţin pentru perioada recepţionării şi examinării recomandărilor.". Textul proiectului supus expertizei anticorupţie şi nota informativă aferentă acestuia au fost plasate pe pagina oficială web a Ministerului Agriculturii, Dezvoltării Regionale şi Mediului (www.madrm.gov.md) şi pe site-ul: www.particip.gov.md, la data de 24.11.2017, fiind respectat termenul minim de 10 zile lucrătoare pentru prezentarea recomandărilor pe marginea proiectului, de către părţile interesate. Astfel, având în vedere că proiectul a fost plasat pe paginile oficiale web indicate supra, precum şi apreciind termenele pentru consultări publice, transparenţa în procesul decizional a fost asigurată.</w:t>
            </w:r>
          </w:p>
        </w:tc>
        <w:tc>
          <w:tcPr>
            <w:tcW w:w="3401" w:type="dxa"/>
            <w:shd w:val="clear" w:color="auto" w:fill="auto"/>
          </w:tcPr>
          <w:p w:rsidR="0039309A" w:rsidRDefault="0039309A" w:rsidP="00481B0B">
            <w:pPr>
              <w:pStyle w:val="2"/>
              <w:tabs>
                <w:tab w:val="left" w:pos="5940"/>
              </w:tabs>
              <w:ind w:firstLine="0"/>
              <w:jc w:val="center"/>
              <w:rPr>
                <w:sz w:val="24"/>
                <w:szCs w:val="24"/>
              </w:rPr>
            </w:pPr>
            <w:r>
              <w:rPr>
                <w:sz w:val="24"/>
                <w:szCs w:val="24"/>
              </w:rPr>
              <w:lastRenderedPageBreak/>
              <w:t>Se acceptă</w:t>
            </w:r>
          </w:p>
        </w:tc>
      </w:tr>
      <w:tr w:rsidR="0039309A" w:rsidRPr="009E4EE1" w:rsidTr="00A80D3E">
        <w:trPr>
          <w:trHeight w:val="557"/>
        </w:trPr>
        <w:tc>
          <w:tcPr>
            <w:tcW w:w="558" w:type="dxa"/>
            <w:vMerge/>
            <w:shd w:val="clear" w:color="auto" w:fill="auto"/>
          </w:tcPr>
          <w:p w:rsidR="0039309A" w:rsidRDefault="0039309A" w:rsidP="00C7263F">
            <w:pPr>
              <w:pStyle w:val="2"/>
              <w:tabs>
                <w:tab w:val="left" w:pos="5940"/>
              </w:tabs>
              <w:ind w:firstLine="0"/>
              <w:jc w:val="center"/>
              <w:rPr>
                <w:b/>
                <w:sz w:val="24"/>
                <w:szCs w:val="24"/>
              </w:rPr>
            </w:pPr>
          </w:p>
        </w:tc>
        <w:tc>
          <w:tcPr>
            <w:tcW w:w="2963" w:type="dxa"/>
            <w:vMerge/>
            <w:shd w:val="clear" w:color="auto" w:fill="auto"/>
          </w:tcPr>
          <w:p w:rsidR="0039309A" w:rsidRDefault="0039309A" w:rsidP="00C7263F">
            <w:pPr>
              <w:pStyle w:val="2"/>
              <w:tabs>
                <w:tab w:val="left" w:pos="5940"/>
              </w:tabs>
              <w:ind w:firstLine="0"/>
              <w:jc w:val="center"/>
              <w:rPr>
                <w:b/>
                <w:sz w:val="24"/>
                <w:szCs w:val="24"/>
              </w:rPr>
            </w:pPr>
          </w:p>
        </w:tc>
        <w:tc>
          <w:tcPr>
            <w:tcW w:w="7537" w:type="dxa"/>
            <w:shd w:val="clear" w:color="auto" w:fill="auto"/>
          </w:tcPr>
          <w:p w:rsidR="0039309A" w:rsidRDefault="0039309A" w:rsidP="0034401A">
            <w:pPr>
              <w:pStyle w:val="2"/>
              <w:tabs>
                <w:tab w:val="left" w:pos="5940"/>
              </w:tabs>
              <w:ind w:firstLine="0"/>
              <w:rPr>
                <w:sz w:val="24"/>
                <w:szCs w:val="24"/>
              </w:rPr>
            </w:pPr>
            <w:r w:rsidRPr="008B1D9F">
              <w:rPr>
                <w:sz w:val="24"/>
                <w:szCs w:val="24"/>
              </w:rPr>
              <w:t>I.3. Scopul anunţat și scopul real al proiectului</w:t>
            </w:r>
          </w:p>
          <w:p w:rsidR="0039309A" w:rsidRDefault="0039309A" w:rsidP="0034401A">
            <w:pPr>
              <w:pStyle w:val="2"/>
              <w:tabs>
                <w:tab w:val="left" w:pos="5940"/>
              </w:tabs>
              <w:ind w:firstLine="0"/>
              <w:rPr>
                <w:sz w:val="24"/>
                <w:szCs w:val="24"/>
              </w:rPr>
            </w:pPr>
            <w:r w:rsidRPr="008B1D9F">
              <w:rPr>
                <w:sz w:val="24"/>
                <w:szCs w:val="24"/>
              </w:rPr>
              <w:t xml:space="preserve">Potrivit preambulului din proiect, scopul proiectului constă în executarea articolului 3 din Hotărârea Parlamentului nr.189 din 21.07.2017 cu privire la aprobarea listei Ministerelor. În nota informativă a proiectului, autorul susţine că: „Potrivit articolului 10 alineatul (7) din Legea nr. 98/2012 privind administraţia publică centrală de specialitate, absorbţia are ca efect încetarea existenţei ministerului şi transferul competenţelor integral al competenţelor acestuia la autoritatea absorbantă. Astfel, prin prisma acestei norme şi având în vedere prevederile punctului 5 din Hotărârea Guvernului nr.594 din 26 iulie 2017 cu privire la restructurarea administraţiei publice centrale de specialitate, prin care s-a dispus modificarea denumirii Ministerului Dezvoltării Regionale şi Construcţiilor şi reorganizarea prin absorbţie de către Ministerul Agriculturii, Dezvoltării Regionale şi Mediului a Ministerul Agriculturii şi Industriei Alimentare şi Ministerul Mediului, se impune necesitatea modificării şi completării actelor prin care acestor autorităţi le-au fost atribuite competenţe în domeniul lor de reglementare." Analizând normele proiectului s-a constatat că prin proiect se propune operarea modificărilor în 164 de hotărâri ale Guvernului. În acest context, se menţionează modificarea unor sintagme ce vizează denumirea ministerelor în contextul restructurării administraţiei publice centrale de specialitate, a responsabilităţi de control prin substituirea Ministerului Agriculturii şi Industriei Alimentare cu Agenţia Naţională pentru Siguranţa Alimentelor, precum şi modificarea mecanismului de </w:t>
            </w:r>
            <w:r w:rsidRPr="008B1D9F">
              <w:rPr>
                <w:sz w:val="24"/>
                <w:szCs w:val="24"/>
              </w:rPr>
              <w:lastRenderedPageBreak/>
              <w:t>selectare a reprezentanţilor în organele de supraveghere a unor unităţi de implementare a proiectelor</w:t>
            </w:r>
            <w:r>
              <w:rPr>
                <w:sz w:val="24"/>
                <w:szCs w:val="24"/>
              </w:rPr>
              <w:t>.</w:t>
            </w:r>
          </w:p>
          <w:p w:rsidR="0039309A" w:rsidRPr="008B1D9F" w:rsidRDefault="0039309A" w:rsidP="0034401A">
            <w:pPr>
              <w:pStyle w:val="2"/>
              <w:tabs>
                <w:tab w:val="left" w:pos="5940"/>
              </w:tabs>
              <w:ind w:firstLine="0"/>
              <w:rPr>
                <w:sz w:val="24"/>
                <w:szCs w:val="24"/>
              </w:rPr>
            </w:pPr>
            <w:r w:rsidRPr="008B1D9F">
              <w:rPr>
                <w:sz w:val="24"/>
                <w:szCs w:val="24"/>
              </w:rPr>
              <w:t>În urma expertizei efectuate se constată că prevederile proiectului servesc scopului declarat de către autor în nota informativă.</w:t>
            </w:r>
          </w:p>
        </w:tc>
        <w:tc>
          <w:tcPr>
            <w:tcW w:w="3401" w:type="dxa"/>
            <w:shd w:val="clear" w:color="auto" w:fill="auto"/>
          </w:tcPr>
          <w:p w:rsidR="0039309A" w:rsidRDefault="0039309A" w:rsidP="00481B0B">
            <w:pPr>
              <w:pStyle w:val="2"/>
              <w:tabs>
                <w:tab w:val="left" w:pos="5940"/>
              </w:tabs>
              <w:ind w:firstLine="0"/>
              <w:jc w:val="center"/>
              <w:rPr>
                <w:sz w:val="24"/>
                <w:szCs w:val="24"/>
              </w:rPr>
            </w:pPr>
            <w:r>
              <w:rPr>
                <w:sz w:val="24"/>
                <w:szCs w:val="24"/>
              </w:rPr>
              <w:lastRenderedPageBreak/>
              <w:t>Se acceptă</w:t>
            </w:r>
          </w:p>
        </w:tc>
      </w:tr>
      <w:tr w:rsidR="0039309A" w:rsidRPr="009E4EE1" w:rsidTr="00A80D3E">
        <w:trPr>
          <w:trHeight w:val="557"/>
        </w:trPr>
        <w:tc>
          <w:tcPr>
            <w:tcW w:w="558" w:type="dxa"/>
            <w:vMerge/>
            <w:shd w:val="clear" w:color="auto" w:fill="auto"/>
          </w:tcPr>
          <w:p w:rsidR="0039309A" w:rsidRDefault="0039309A" w:rsidP="00C7263F">
            <w:pPr>
              <w:pStyle w:val="2"/>
              <w:tabs>
                <w:tab w:val="left" w:pos="5940"/>
              </w:tabs>
              <w:ind w:firstLine="0"/>
              <w:jc w:val="center"/>
              <w:rPr>
                <w:b/>
                <w:sz w:val="24"/>
                <w:szCs w:val="24"/>
              </w:rPr>
            </w:pPr>
          </w:p>
        </w:tc>
        <w:tc>
          <w:tcPr>
            <w:tcW w:w="2963" w:type="dxa"/>
            <w:vMerge/>
            <w:shd w:val="clear" w:color="auto" w:fill="auto"/>
          </w:tcPr>
          <w:p w:rsidR="0039309A" w:rsidRDefault="0039309A" w:rsidP="00C7263F">
            <w:pPr>
              <w:pStyle w:val="2"/>
              <w:tabs>
                <w:tab w:val="left" w:pos="5940"/>
              </w:tabs>
              <w:ind w:firstLine="0"/>
              <w:jc w:val="center"/>
              <w:rPr>
                <w:b/>
                <w:sz w:val="24"/>
                <w:szCs w:val="24"/>
              </w:rPr>
            </w:pPr>
          </w:p>
        </w:tc>
        <w:tc>
          <w:tcPr>
            <w:tcW w:w="7537" w:type="dxa"/>
            <w:shd w:val="clear" w:color="auto" w:fill="auto"/>
          </w:tcPr>
          <w:p w:rsidR="0039309A" w:rsidRDefault="0039309A" w:rsidP="0034401A">
            <w:pPr>
              <w:pStyle w:val="2"/>
              <w:tabs>
                <w:tab w:val="left" w:pos="5940"/>
              </w:tabs>
              <w:ind w:firstLine="0"/>
              <w:rPr>
                <w:sz w:val="24"/>
                <w:szCs w:val="24"/>
              </w:rPr>
            </w:pPr>
            <w:r w:rsidRPr="008B1D9F">
              <w:rPr>
                <w:sz w:val="24"/>
                <w:szCs w:val="24"/>
              </w:rPr>
              <w:t>I.4. Interesul public şi interesele private promovate prin proiect</w:t>
            </w:r>
          </w:p>
          <w:p w:rsidR="0039309A" w:rsidRPr="008B1D9F" w:rsidRDefault="0039309A" w:rsidP="0034401A">
            <w:pPr>
              <w:pStyle w:val="2"/>
              <w:tabs>
                <w:tab w:val="left" w:pos="5940"/>
              </w:tabs>
              <w:ind w:firstLine="0"/>
              <w:rPr>
                <w:sz w:val="24"/>
                <w:szCs w:val="24"/>
              </w:rPr>
            </w:pPr>
            <w:r w:rsidRPr="008B1D9F">
              <w:rPr>
                <w:sz w:val="24"/>
                <w:szCs w:val="24"/>
              </w:rPr>
              <w:t>Prevederile proiectului promovează interese generale de a beneficia de un cadru normativ ajustat, coerent şi uniform, în rezultatul reformei administraţiei publice centrale de specialitate. Astfel, prevederile sunt conforme interesului public.</w:t>
            </w:r>
          </w:p>
        </w:tc>
        <w:tc>
          <w:tcPr>
            <w:tcW w:w="3401" w:type="dxa"/>
            <w:shd w:val="clear" w:color="auto" w:fill="auto"/>
          </w:tcPr>
          <w:p w:rsidR="0039309A" w:rsidRDefault="0039309A" w:rsidP="00481B0B">
            <w:pPr>
              <w:pStyle w:val="2"/>
              <w:tabs>
                <w:tab w:val="left" w:pos="5940"/>
              </w:tabs>
              <w:ind w:firstLine="0"/>
              <w:jc w:val="center"/>
              <w:rPr>
                <w:sz w:val="24"/>
                <w:szCs w:val="24"/>
              </w:rPr>
            </w:pPr>
            <w:r>
              <w:rPr>
                <w:sz w:val="24"/>
                <w:szCs w:val="24"/>
              </w:rPr>
              <w:t>Se acceptă</w:t>
            </w:r>
          </w:p>
        </w:tc>
      </w:tr>
      <w:tr w:rsidR="0039309A" w:rsidRPr="009E4EE1" w:rsidTr="00A80D3E">
        <w:trPr>
          <w:trHeight w:val="557"/>
        </w:trPr>
        <w:tc>
          <w:tcPr>
            <w:tcW w:w="558" w:type="dxa"/>
            <w:vMerge/>
            <w:shd w:val="clear" w:color="auto" w:fill="auto"/>
          </w:tcPr>
          <w:p w:rsidR="0039309A" w:rsidRDefault="0039309A" w:rsidP="00C7263F">
            <w:pPr>
              <w:pStyle w:val="2"/>
              <w:tabs>
                <w:tab w:val="left" w:pos="5940"/>
              </w:tabs>
              <w:ind w:firstLine="0"/>
              <w:jc w:val="center"/>
              <w:rPr>
                <w:b/>
                <w:sz w:val="24"/>
                <w:szCs w:val="24"/>
              </w:rPr>
            </w:pPr>
          </w:p>
        </w:tc>
        <w:tc>
          <w:tcPr>
            <w:tcW w:w="2963" w:type="dxa"/>
            <w:vMerge/>
            <w:shd w:val="clear" w:color="auto" w:fill="auto"/>
          </w:tcPr>
          <w:p w:rsidR="0039309A" w:rsidRDefault="0039309A" w:rsidP="00C7263F">
            <w:pPr>
              <w:pStyle w:val="2"/>
              <w:tabs>
                <w:tab w:val="left" w:pos="5940"/>
              </w:tabs>
              <w:ind w:firstLine="0"/>
              <w:jc w:val="center"/>
              <w:rPr>
                <w:b/>
                <w:sz w:val="24"/>
                <w:szCs w:val="24"/>
              </w:rPr>
            </w:pPr>
          </w:p>
        </w:tc>
        <w:tc>
          <w:tcPr>
            <w:tcW w:w="7537" w:type="dxa"/>
            <w:shd w:val="clear" w:color="auto" w:fill="auto"/>
          </w:tcPr>
          <w:p w:rsidR="0039309A" w:rsidRDefault="0039309A" w:rsidP="0034401A">
            <w:pPr>
              <w:pStyle w:val="2"/>
              <w:tabs>
                <w:tab w:val="left" w:pos="5940"/>
              </w:tabs>
              <w:ind w:firstLine="0"/>
              <w:rPr>
                <w:sz w:val="24"/>
                <w:szCs w:val="24"/>
              </w:rPr>
            </w:pPr>
            <w:r w:rsidRPr="008B1D9F">
              <w:rPr>
                <w:sz w:val="24"/>
                <w:szCs w:val="24"/>
              </w:rPr>
              <w:t>I.5. Justificarea soluțiilor proiectului</w:t>
            </w:r>
          </w:p>
          <w:p w:rsidR="0039309A" w:rsidRPr="008B1D9F" w:rsidRDefault="0039309A" w:rsidP="0034401A">
            <w:pPr>
              <w:pStyle w:val="2"/>
              <w:tabs>
                <w:tab w:val="left" w:pos="5940"/>
              </w:tabs>
              <w:ind w:firstLine="0"/>
              <w:rPr>
                <w:sz w:val="24"/>
                <w:szCs w:val="24"/>
              </w:rPr>
            </w:pPr>
            <w:r w:rsidRPr="008B1D9F">
              <w:rPr>
                <w:sz w:val="24"/>
                <w:szCs w:val="24"/>
              </w:rPr>
              <w:t>I.5.1. Suficienţa argumentării din nota informativă. În conformitate cu art.37 din Legea nr.317 din 18.07.2003 privind actele normative ale Guvernului şi ale altor autorităţi ale administraţiei publice centrale şi locale „ grupul de lucru întocmeşte o notă de argumentare (informativă), semnată de persoana responsabilă, care include: a) condiţiile ce au impus elaborarea proiectului, argumentele necesare, prognozele social-economice şi consecinţele realizării lor; b) principalele prevederi, locul actului în sistemul de acte normative, evidenţierea elementelor noi; c) argumentarea şi gradul compatibilităţii proiectului de act normativ cu reglementările legislaţiei comunitare; [...] f) materiale informative şi analitice [...]". În nota informativă autorul relevă condiţiile ce au impus elaborarea proiectului, evidenţiază elementele noi ale proiectului şi prezintă argumente corespunzătoare, în conformitate cu lit.a)-f) ale art.37 din Legea nr.317/2003 privind actele normative ale Guvernului şi ale altor autorităţi ale administraţiei publice centrale şi locale.</w:t>
            </w:r>
          </w:p>
        </w:tc>
        <w:tc>
          <w:tcPr>
            <w:tcW w:w="3401" w:type="dxa"/>
            <w:shd w:val="clear" w:color="auto" w:fill="auto"/>
          </w:tcPr>
          <w:p w:rsidR="0039309A" w:rsidRDefault="0039309A" w:rsidP="00481B0B">
            <w:pPr>
              <w:pStyle w:val="2"/>
              <w:tabs>
                <w:tab w:val="left" w:pos="5940"/>
              </w:tabs>
              <w:ind w:firstLine="0"/>
              <w:jc w:val="center"/>
              <w:rPr>
                <w:sz w:val="24"/>
                <w:szCs w:val="24"/>
              </w:rPr>
            </w:pPr>
            <w:r>
              <w:rPr>
                <w:sz w:val="24"/>
                <w:szCs w:val="24"/>
              </w:rPr>
              <w:t>Se acceptă</w:t>
            </w:r>
          </w:p>
        </w:tc>
      </w:tr>
      <w:tr w:rsidR="0039309A" w:rsidRPr="009E4EE1" w:rsidTr="00A80D3E">
        <w:trPr>
          <w:trHeight w:val="557"/>
        </w:trPr>
        <w:tc>
          <w:tcPr>
            <w:tcW w:w="558" w:type="dxa"/>
            <w:vMerge/>
            <w:shd w:val="clear" w:color="auto" w:fill="auto"/>
          </w:tcPr>
          <w:p w:rsidR="0039309A" w:rsidRDefault="0039309A" w:rsidP="00C7263F">
            <w:pPr>
              <w:pStyle w:val="2"/>
              <w:tabs>
                <w:tab w:val="left" w:pos="5940"/>
              </w:tabs>
              <w:ind w:firstLine="0"/>
              <w:jc w:val="center"/>
              <w:rPr>
                <w:b/>
                <w:sz w:val="24"/>
                <w:szCs w:val="24"/>
              </w:rPr>
            </w:pPr>
          </w:p>
        </w:tc>
        <w:tc>
          <w:tcPr>
            <w:tcW w:w="2963" w:type="dxa"/>
            <w:vMerge/>
            <w:shd w:val="clear" w:color="auto" w:fill="auto"/>
          </w:tcPr>
          <w:p w:rsidR="0039309A" w:rsidRDefault="0039309A" w:rsidP="00C7263F">
            <w:pPr>
              <w:pStyle w:val="2"/>
              <w:tabs>
                <w:tab w:val="left" w:pos="5940"/>
              </w:tabs>
              <w:ind w:firstLine="0"/>
              <w:jc w:val="center"/>
              <w:rPr>
                <w:b/>
                <w:sz w:val="24"/>
                <w:szCs w:val="24"/>
              </w:rPr>
            </w:pPr>
          </w:p>
        </w:tc>
        <w:tc>
          <w:tcPr>
            <w:tcW w:w="7537" w:type="dxa"/>
            <w:shd w:val="clear" w:color="auto" w:fill="auto"/>
          </w:tcPr>
          <w:p w:rsidR="0039309A" w:rsidRPr="008B1D9F" w:rsidRDefault="0039309A" w:rsidP="0034401A">
            <w:pPr>
              <w:pStyle w:val="2"/>
              <w:tabs>
                <w:tab w:val="left" w:pos="5940"/>
              </w:tabs>
              <w:ind w:firstLine="0"/>
              <w:rPr>
                <w:sz w:val="24"/>
                <w:szCs w:val="24"/>
              </w:rPr>
            </w:pPr>
            <w:r w:rsidRPr="008B1D9F">
              <w:rPr>
                <w:sz w:val="24"/>
                <w:szCs w:val="24"/>
              </w:rPr>
              <w:t>I.5.2. Argumentarea economică-financiară. Conform art.37 lit.e) al Legii nr.317/2003 privind actele normative ale Guvernului şi ale altor autorităţi ale administraţiei publice centrale şi locale, nota informativă trebuie să conţină „e) fundamentarea economico-financiară în cazul în care realizarea noilor reglementări necesită cheltuieli financiare şi de altă natură". Implementarea prevederilor proiectului nu necesită alocarea unor mijloace financiare sau de altă natură.</w:t>
            </w:r>
          </w:p>
        </w:tc>
        <w:tc>
          <w:tcPr>
            <w:tcW w:w="3401" w:type="dxa"/>
            <w:shd w:val="clear" w:color="auto" w:fill="auto"/>
          </w:tcPr>
          <w:p w:rsidR="0039309A" w:rsidRDefault="0039309A" w:rsidP="00481B0B">
            <w:pPr>
              <w:pStyle w:val="2"/>
              <w:tabs>
                <w:tab w:val="left" w:pos="5940"/>
              </w:tabs>
              <w:ind w:firstLine="0"/>
              <w:jc w:val="center"/>
              <w:rPr>
                <w:sz w:val="24"/>
                <w:szCs w:val="24"/>
              </w:rPr>
            </w:pPr>
            <w:r>
              <w:rPr>
                <w:sz w:val="24"/>
                <w:szCs w:val="24"/>
              </w:rPr>
              <w:t>Se acceptă</w:t>
            </w:r>
          </w:p>
        </w:tc>
      </w:tr>
      <w:tr w:rsidR="0039309A" w:rsidRPr="009E4EE1" w:rsidTr="00A80D3E">
        <w:trPr>
          <w:trHeight w:val="557"/>
        </w:trPr>
        <w:tc>
          <w:tcPr>
            <w:tcW w:w="558" w:type="dxa"/>
            <w:vMerge/>
            <w:shd w:val="clear" w:color="auto" w:fill="auto"/>
          </w:tcPr>
          <w:p w:rsidR="0039309A" w:rsidRDefault="0039309A" w:rsidP="00C7263F">
            <w:pPr>
              <w:pStyle w:val="2"/>
              <w:tabs>
                <w:tab w:val="left" w:pos="5940"/>
              </w:tabs>
              <w:ind w:firstLine="0"/>
              <w:jc w:val="center"/>
              <w:rPr>
                <w:b/>
                <w:sz w:val="24"/>
                <w:szCs w:val="24"/>
              </w:rPr>
            </w:pPr>
          </w:p>
        </w:tc>
        <w:tc>
          <w:tcPr>
            <w:tcW w:w="2963" w:type="dxa"/>
            <w:vMerge/>
            <w:shd w:val="clear" w:color="auto" w:fill="auto"/>
          </w:tcPr>
          <w:p w:rsidR="0039309A" w:rsidRDefault="0039309A" w:rsidP="00C7263F">
            <w:pPr>
              <w:pStyle w:val="2"/>
              <w:tabs>
                <w:tab w:val="left" w:pos="5940"/>
              </w:tabs>
              <w:ind w:firstLine="0"/>
              <w:jc w:val="center"/>
              <w:rPr>
                <w:b/>
                <w:sz w:val="24"/>
                <w:szCs w:val="24"/>
              </w:rPr>
            </w:pPr>
          </w:p>
        </w:tc>
        <w:tc>
          <w:tcPr>
            <w:tcW w:w="7537" w:type="dxa"/>
            <w:shd w:val="clear" w:color="auto" w:fill="auto"/>
          </w:tcPr>
          <w:p w:rsidR="0039309A" w:rsidRPr="008B1D9F" w:rsidRDefault="0039309A" w:rsidP="0034401A">
            <w:pPr>
              <w:pStyle w:val="2"/>
              <w:tabs>
                <w:tab w:val="left" w:pos="5940"/>
              </w:tabs>
              <w:ind w:firstLine="0"/>
              <w:rPr>
                <w:sz w:val="24"/>
                <w:szCs w:val="24"/>
              </w:rPr>
            </w:pPr>
            <w:r w:rsidRPr="008B1D9F">
              <w:rPr>
                <w:sz w:val="24"/>
                <w:szCs w:val="24"/>
              </w:rPr>
              <w:t>II. Analiza generală a factorilor de risc ale proiectului</w:t>
            </w:r>
          </w:p>
          <w:p w:rsidR="0039309A" w:rsidRDefault="0039309A" w:rsidP="0034401A">
            <w:pPr>
              <w:pStyle w:val="2"/>
              <w:tabs>
                <w:tab w:val="left" w:pos="5940"/>
              </w:tabs>
              <w:ind w:firstLine="0"/>
              <w:rPr>
                <w:sz w:val="24"/>
                <w:szCs w:val="24"/>
              </w:rPr>
            </w:pPr>
            <w:r w:rsidRPr="008B1D9F">
              <w:rPr>
                <w:sz w:val="24"/>
                <w:szCs w:val="24"/>
              </w:rPr>
              <w:t>II.1. Limbajul proiectului</w:t>
            </w:r>
          </w:p>
          <w:p w:rsidR="0039309A" w:rsidRDefault="0039309A" w:rsidP="0034401A">
            <w:pPr>
              <w:pStyle w:val="2"/>
              <w:tabs>
                <w:tab w:val="left" w:pos="5940"/>
              </w:tabs>
              <w:ind w:firstLine="0"/>
              <w:rPr>
                <w:sz w:val="24"/>
                <w:szCs w:val="24"/>
              </w:rPr>
            </w:pPr>
            <w:r w:rsidRPr="008B1D9F">
              <w:rPr>
                <w:sz w:val="24"/>
                <w:szCs w:val="24"/>
              </w:rPr>
              <w:t xml:space="preserve">Potrivit art.46 al Legii nr.317/2003 privind actele normative ale Guvernului şi ale altor autorităţi ale administraţiei publice centrale şi locale „textul proiectului de act normativ se elaborează [...] cu respectarea următoarelor reguli: [...] (2) Se expune în limbă simplă, clară şi concisă; [...] 3 (3) Se </w:t>
            </w:r>
            <w:r w:rsidRPr="008B1D9F">
              <w:rPr>
                <w:sz w:val="24"/>
                <w:szCs w:val="24"/>
              </w:rPr>
              <w:lastRenderedPageBreak/>
              <w:t>interzice folosirea neologismelor dacă există sinonime de largă răspândire; [...] (4) Se utilizează, pe cât este posibil, noţiuni monosemantice, [...] (5) Termenii de specialitate pot fi utilizaţi numai dacă sunt consacraţi în domeniul de activitate la care se referă reglementarea; [...] (6) În limbajul normativ aceleaşi noţiuni se exprimă numai prin aceiaşi termeni." (7) Dacă o noţiune sau un termen nu este consacrat sau poate avea înţelesuri diferite, semnificaţia acestuia în context se stabileşte prin actul normativ ce le instituie; [...]".</w:t>
            </w:r>
          </w:p>
          <w:p w:rsidR="0039309A" w:rsidRPr="008B1D9F" w:rsidRDefault="0039309A" w:rsidP="0034401A">
            <w:pPr>
              <w:pStyle w:val="2"/>
              <w:tabs>
                <w:tab w:val="left" w:pos="5940"/>
              </w:tabs>
              <w:ind w:firstLine="0"/>
              <w:rPr>
                <w:sz w:val="24"/>
                <w:szCs w:val="24"/>
              </w:rPr>
            </w:pPr>
            <w:r w:rsidRPr="008B1D9F">
              <w:rPr>
                <w:sz w:val="24"/>
                <w:szCs w:val="24"/>
              </w:rPr>
              <w:t xml:space="preserve">Deşi conţinutul proiectului este expus în limbă simplă, clară şi concisă, cu respectarea regulilor gramaticale şi de ortografie, întrunind cerinţele prevăzute de art.46 din Legea nr.317-XV din 18 iulie 2003 privind actele normative ale Guvernului şi ale altor autorităţi ale administraţiei publice centrale şi locale, propunem autorului să revizuiască </w:t>
            </w:r>
            <w:r w:rsidRPr="000944F0">
              <w:rPr>
                <w:sz w:val="24"/>
                <w:szCs w:val="24"/>
              </w:rPr>
              <w:t>pct.27, 52 şi 96 din proiect, fiind comise unele erori tehnice</w:t>
            </w:r>
            <w:r w:rsidR="000944F0">
              <w:rPr>
                <w:sz w:val="24"/>
                <w:szCs w:val="24"/>
              </w:rPr>
              <w:t>.</w:t>
            </w:r>
          </w:p>
        </w:tc>
        <w:tc>
          <w:tcPr>
            <w:tcW w:w="3401" w:type="dxa"/>
            <w:shd w:val="clear" w:color="auto" w:fill="auto"/>
          </w:tcPr>
          <w:p w:rsidR="000944F0" w:rsidRDefault="0039309A" w:rsidP="000944F0">
            <w:pPr>
              <w:pStyle w:val="2"/>
              <w:tabs>
                <w:tab w:val="left" w:pos="5940"/>
              </w:tabs>
              <w:ind w:firstLine="0"/>
              <w:jc w:val="left"/>
              <w:rPr>
                <w:sz w:val="24"/>
                <w:szCs w:val="24"/>
              </w:rPr>
            </w:pPr>
            <w:r>
              <w:rPr>
                <w:sz w:val="24"/>
                <w:szCs w:val="24"/>
              </w:rPr>
              <w:lastRenderedPageBreak/>
              <w:t>Se acceptă</w:t>
            </w:r>
            <w:r w:rsidR="000944F0">
              <w:rPr>
                <w:sz w:val="24"/>
                <w:szCs w:val="24"/>
              </w:rPr>
              <w:t xml:space="preserve">. Punctul 27 a fost exclus. La punctul 52, devenit 51, sintagma „Ministerul Sănătății” a fost completată în final cu textul „Muncii și Protecției Sociale”, iar la punctul </w:t>
            </w:r>
            <w:r w:rsidR="000944F0">
              <w:rPr>
                <w:sz w:val="24"/>
                <w:szCs w:val="24"/>
              </w:rPr>
              <w:lastRenderedPageBreak/>
              <w:t>96, devenit 95 intenția de modificare a fost completată cu textul: „ sintagma „Ministerul Agriculturii și Industriei Alimentare”se substituie cu sintagma „Agenția Națională pentru Siguranța Alimentelor””</w:t>
            </w:r>
          </w:p>
        </w:tc>
      </w:tr>
      <w:tr w:rsidR="0039309A" w:rsidRPr="009E4EE1" w:rsidTr="00A80D3E">
        <w:trPr>
          <w:trHeight w:val="557"/>
        </w:trPr>
        <w:tc>
          <w:tcPr>
            <w:tcW w:w="558" w:type="dxa"/>
            <w:vMerge/>
            <w:shd w:val="clear" w:color="auto" w:fill="auto"/>
          </w:tcPr>
          <w:p w:rsidR="0039309A" w:rsidRDefault="0039309A" w:rsidP="00C7263F">
            <w:pPr>
              <w:pStyle w:val="2"/>
              <w:tabs>
                <w:tab w:val="left" w:pos="5940"/>
              </w:tabs>
              <w:ind w:firstLine="0"/>
              <w:jc w:val="center"/>
              <w:rPr>
                <w:b/>
                <w:sz w:val="24"/>
                <w:szCs w:val="24"/>
              </w:rPr>
            </w:pPr>
          </w:p>
        </w:tc>
        <w:tc>
          <w:tcPr>
            <w:tcW w:w="2963" w:type="dxa"/>
            <w:vMerge/>
            <w:shd w:val="clear" w:color="auto" w:fill="auto"/>
          </w:tcPr>
          <w:p w:rsidR="0039309A" w:rsidRDefault="0039309A" w:rsidP="00C7263F">
            <w:pPr>
              <w:pStyle w:val="2"/>
              <w:tabs>
                <w:tab w:val="left" w:pos="5940"/>
              </w:tabs>
              <w:ind w:firstLine="0"/>
              <w:jc w:val="center"/>
              <w:rPr>
                <w:b/>
                <w:sz w:val="24"/>
                <w:szCs w:val="24"/>
              </w:rPr>
            </w:pPr>
          </w:p>
        </w:tc>
        <w:tc>
          <w:tcPr>
            <w:tcW w:w="7537" w:type="dxa"/>
            <w:shd w:val="clear" w:color="auto" w:fill="auto"/>
          </w:tcPr>
          <w:p w:rsidR="0039309A" w:rsidRPr="008B1D9F" w:rsidRDefault="0039309A" w:rsidP="0034401A">
            <w:pPr>
              <w:pStyle w:val="2"/>
              <w:tabs>
                <w:tab w:val="left" w:pos="5940"/>
              </w:tabs>
              <w:ind w:firstLine="0"/>
              <w:rPr>
                <w:sz w:val="24"/>
                <w:szCs w:val="24"/>
              </w:rPr>
            </w:pPr>
            <w:r w:rsidRPr="008B1D9F">
              <w:rPr>
                <w:sz w:val="24"/>
                <w:szCs w:val="24"/>
              </w:rPr>
              <w:t>II.2. Coerența legislativă a proiectului În textul proiectului nu au fost identificate norme contradictorii sau conflicte dintre prevederile acestuia cu reglementările altor acte legislative sau normative în vigoare.</w:t>
            </w:r>
          </w:p>
        </w:tc>
        <w:tc>
          <w:tcPr>
            <w:tcW w:w="3401" w:type="dxa"/>
            <w:shd w:val="clear" w:color="auto" w:fill="auto"/>
          </w:tcPr>
          <w:p w:rsidR="0039309A" w:rsidRDefault="0039309A" w:rsidP="00481B0B">
            <w:pPr>
              <w:pStyle w:val="2"/>
              <w:tabs>
                <w:tab w:val="left" w:pos="5940"/>
              </w:tabs>
              <w:ind w:firstLine="0"/>
              <w:jc w:val="center"/>
              <w:rPr>
                <w:sz w:val="24"/>
                <w:szCs w:val="24"/>
              </w:rPr>
            </w:pPr>
            <w:r>
              <w:rPr>
                <w:sz w:val="24"/>
                <w:szCs w:val="24"/>
              </w:rPr>
              <w:t>Se acceptă</w:t>
            </w:r>
          </w:p>
        </w:tc>
      </w:tr>
      <w:tr w:rsidR="0039309A" w:rsidRPr="009E4EE1" w:rsidTr="00A80D3E">
        <w:trPr>
          <w:trHeight w:val="557"/>
        </w:trPr>
        <w:tc>
          <w:tcPr>
            <w:tcW w:w="558" w:type="dxa"/>
            <w:vMerge/>
            <w:shd w:val="clear" w:color="auto" w:fill="auto"/>
          </w:tcPr>
          <w:p w:rsidR="0039309A" w:rsidRDefault="0039309A" w:rsidP="00C7263F">
            <w:pPr>
              <w:pStyle w:val="2"/>
              <w:tabs>
                <w:tab w:val="left" w:pos="5940"/>
              </w:tabs>
              <w:ind w:firstLine="0"/>
              <w:jc w:val="center"/>
              <w:rPr>
                <w:b/>
                <w:sz w:val="24"/>
                <w:szCs w:val="24"/>
              </w:rPr>
            </w:pPr>
          </w:p>
        </w:tc>
        <w:tc>
          <w:tcPr>
            <w:tcW w:w="2963" w:type="dxa"/>
            <w:vMerge/>
            <w:shd w:val="clear" w:color="auto" w:fill="auto"/>
          </w:tcPr>
          <w:p w:rsidR="0039309A" w:rsidRDefault="0039309A" w:rsidP="00C7263F">
            <w:pPr>
              <w:pStyle w:val="2"/>
              <w:tabs>
                <w:tab w:val="left" w:pos="5940"/>
              </w:tabs>
              <w:ind w:firstLine="0"/>
              <w:jc w:val="center"/>
              <w:rPr>
                <w:b/>
                <w:sz w:val="24"/>
                <w:szCs w:val="24"/>
              </w:rPr>
            </w:pPr>
          </w:p>
        </w:tc>
        <w:tc>
          <w:tcPr>
            <w:tcW w:w="7537" w:type="dxa"/>
            <w:shd w:val="clear" w:color="auto" w:fill="auto"/>
          </w:tcPr>
          <w:p w:rsidR="0039309A" w:rsidRPr="008B1D9F" w:rsidRDefault="0039309A" w:rsidP="0034401A">
            <w:pPr>
              <w:pStyle w:val="2"/>
              <w:tabs>
                <w:tab w:val="left" w:pos="5940"/>
              </w:tabs>
              <w:ind w:firstLine="0"/>
              <w:rPr>
                <w:sz w:val="24"/>
                <w:szCs w:val="24"/>
              </w:rPr>
            </w:pPr>
            <w:r w:rsidRPr="008B1D9F">
              <w:rPr>
                <w:sz w:val="24"/>
                <w:szCs w:val="24"/>
              </w:rPr>
              <w:t>II.3. Activitatea agenţilor publici şi a entităților publice reglementată în proiect Proiectul reglementează activitatea autorităţilor administraţiei publice centrale de specialitate restructurate în rezultatul reformei implementate în administraţia publică centrală.</w:t>
            </w:r>
          </w:p>
        </w:tc>
        <w:tc>
          <w:tcPr>
            <w:tcW w:w="3401" w:type="dxa"/>
            <w:shd w:val="clear" w:color="auto" w:fill="auto"/>
          </w:tcPr>
          <w:p w:rsidR="0039309A" w:rsidRDefault="0039309A" w:rsidP="00481B0B">
            <w:pPr>
              <w:pStyle w:val="2"/>
              <w:tabs>
                <w:tab w:val="left" w:pos="5940"/>
              </w:tabs>
              <w:ind w:firstLine="0"/>
              <w:jc w:val="center"/>
              <w:rPr>
                <w:sz w:val="24"/>
                <w:szCs w:val="24"/>
              </w:rPr>
            </w:pPr>
            <w:r>
              <w:rPr>
                <w:sz w:val="24"/>
                <w:szCs w:val="24"/>
              </w:rPr>
              <w:t>Se acceptă</w:t>
            </w:r>
          </w:p>
        </w:tc>
      </w:tr>
      <w:tr w:rsidR="0039309A" w:rsidRPr="009E4EE1" w:rsidTr="00A80D3E">
        <w:trPr>
          <w:trHeight w:val="557"/>
        </w:trPr>
        <w:tc>
          <w:tcPr>
            <w:tcW w:w="558" w:type="dxa"/>
            <w:vMerge/>
            <w:shd w:val="clear" w:color="auto" w:fill="auto"/>
          </w:tcPr>
          <w:p w:rsidR="0039309A" w:rsidRDefault="0039309A" w:rsidP="00C7263F">
            <w:pPr>
              <w:pStyle w:val="2"/>
              <w:tabs>
                <w:tab w:val="left" w:pos="5940"/>
              </w:tabs>
              <w:ind w:firstLine="0"/>
              <w:jc w:val="center"/>
              <w:rPr>
                <w:b/>
                <w:sz w:val="24"/>
                <w:szCs w:val="24"/>
              </w:rPr>
            </w:pPr>
          </w:p>
        </w:tc>
        <w:tc>
          <w:tcPr>
            <w:tcW w:w="2963" w:type="dxa"/>
            <w:vMerge/>
            <w:shd w:val="clear" w:color="auto" w:fill="auto"/>
          </w:tcPr>
          <w:p w:rsidR="0039309A" w:rsidRDefault="0039309A" w:rsidP="00C7263F">
            <w:pPr>
              <w:pStyle w:val="2"/>
              <w:tabs>
                <w:tab w:val="left" w:pos="5940"/>
              </w:tabs>
              <w:ind w:firstLine="0"/>
              <w:jc w:val="center"/>
              <w:rPr>
                <w:b/>
                <w:sz w:val="24"/>
                <w:szCs w:val="24"/>
              </w:rPr>
            </w:pPr>
          </w:p>
        </w:tc>
        <w:tc>
          <w:tcPr>
            <w:tcW w:w="7537" w:type="dxa"/>
            <w:shd w:val="clear" w:color="auto" w:fill="auto"/>
          </w:tcPr>
          <w:p w:rsidR="0039309A" w:rsidRDefault="0039309A" w:rsidP="0034401A">
            <w:pPr>
              <w:pStyle w:val="2"/>
              <w:tabs>
                <w:tab w:val="left" w:pos="5940"/>
              </w:tabs>
              <w:ind w:firstLine="0"/>
              <w:rPr>
                <w:sz w:val="24"/>
                <w:szCs w:val="24"/>
              </w:rPr>
            </w:pPr>
            <w:r w:rsidRPr="008B1D9F">
              <w:rPr>
                <w:sz w:val="24"/>
                <w:szCs w:val="24"/>
              </w:rPr>
              <w:t xml:space="preserve">II.4. Atingeri ale drepturilor omului care pot fi cauzate la aplicarea proiectului </w:t>
            </w:r>
          </w:p>
          <w:p w:rsidR="0039309A" w:rsidRPr="008B1D9F" w:rsidRDefault="0039309A" w:rsidP="0034401A">
            <w:pPr>
              <w:pStyle w:val="2"/>
              <w:tabs>
                <w:tab w:val="left" w:pos="5940"/>
              </w:tabs>
              <w:ind w:firstLine="0"/>
              <w:rPr>
                <w:sz w:val="24"/>
                <w:szCs w:val="24"/>
              </w:rPr>
            </w:pPr>
            <w:r w:rsidRPr="008B1D9F">
              <w:rPr>
                <w:sz w:val="24"/>
                <w:szCs w:val="24"/>
              </w:rPr>
              <w:t>Prevederile proiectului nu aduc atingere drepturilor fundamentale ale omului consacrate de Constituţia Republicii Moldova, Declaraţia Universală a Drepturilor Omului şi Convenţia Europeană a Drepturilor Omului.</w:t>
            </w:r>
          </w:p>
        </w:tc>
        <w:tc>
          <w:tcPr>
            <w:tcW w:w="3401" w:type="dxa"/>
            <w:shd w:val="clear" w:color="auto" w:fill="auto"/>
          </w:tcPr>
          <w:p w:rsidR="0039309A" w:rsidRDefault="0039309A" w:rsidP="00481B0B">
            <w:pPr>
              <w:pStyle w:val="2"/>
              <w:tabs>
                <w:tab w:val="left" w:pos="5940"/>
              </w:tabs>
              <w:ind w:firstLine="0"/>
              <w:jc w:val="center"/>
              <w:rPr>
                <w:sz w:val="24"/>
                <w:szCs w:val="24"/>
              </w:rPr>
            </w:pPr>
            <w:r>
              <w:rPr>
                <w:sz w:val="24"/>
                <w:szCs w:val="24"/>
              </w:rPr>
              <w:t>Se acceptă</w:t>
            </w:r>
          </w:p>
        </w:tc>
      </w:tr>
      <w:tr w:rsidR="0039309A" w:rsidRPr="009E4EE1" w:rsidTr="00A80D3E">
        <w:trPr>
          <w:trHeight w:val="557"/>
        </w:trPr>
        <w:tc>
          <w:tcPr>
            <w:tcW w:w="558" w:type="dxa"/>
            <w:vMerge/>
            <w:shd w:val="clear" w:color="auto" w:fill="auto"/>
          </w:tcPr>
          <w:p w:rsidR="0039309A" w:rsidRDefault="0039309A" w:rsidP="00C7263F">
            <w:pPr>
              <w:pStyle w:val="2"/>
              <w:tabs>
                <w:tab w:val="left" w:pos="5940"/>
              </w:tabs>
              <w:ind w:firstLine="0"/>
              <w:jc w:val="center"/>
              <w:rPr>
                <w:b/>
                <w:sz w:val="24"/>
                <w:szCs w:val="24"/>
              </w:rPr>
            </w:pPr>
          </w:p>
        </w:tc>
        <w:tc>
          <w:tcPr>
            <w:tcW w:w="2963" w:type="dxa"/>
            <w:vMerge/>
            <w:shd w:val="clear" w:color="auto" w:fill="auto"/>
          </w:tcPr>
          <w:p w:rsidR="0039309A" w:rsidRDefault="0039309A" w:rsidP="00C7263F">
            <w:pPr>
              <w:pStyle w:val="2"/>
              <w:tabs>
                <w:tab w:val="left" w:pos="5940"/>
              </w:tabs>
              <w:ind w:firstLine="0"/>
              <w:jc w:val="center"/>
              <w:rPr>
                <w:b/>
                <w:sz w:val="24"/>
                <w:szCs w:val="24"/>
              </w:rPr>
            </w:pPr>
          </w:p>
        </w:tc>
        <w:tc>
          <w:tcPr>
            <w:tcW w:w="7537" w:type="dxa"/>
            <w:shd w:val="clear" w:color="auto" w:fill="auto"/>
          </w:tcPr>
          <w:p w:rsidR="0039309A" w:rsidRDefault="0039309A" w:rsidP="0034401A">
            <w:pPr>
              <w:pStyle w:val="2"/>
              <w:tabs>
                <w:tab w:val="left" w:pos="5940"/>
              </w:tabs>
              <w:ind w:firstLine="0"/>
              <w:rPr>
                <w:sz w:val="24"/>
                <w:szCs w:val="24"/>
              </w:rPr>
            </w:pPr>
            <w:r w:rsidRPr="0039309A">
              <w:rPr>
                <w:sz w:val="24"/>
                <w:szCs w:val="24"/>
              </w:rPr>
              <w:t>III. Concluzia expertizei</w:t>
            </w:r>
          </w:p>
          <w:p w:rsidR="0039309A" w:rsidRDefault="0039309A" w:rsidP="0034401A">
            <w:pPr>
              <w:pStyle w:val="2"/>
              <w:tabs>
                <w:tab w:val="left" w:pos="5940"/>
              </w:tabs>
              <w:ind w:firstLine="0"/>
              <w:rPr>
                <w:sz w:val="24"/>
                <w:szCs w:val="24"/>
              </w:rPr>
            </w:pPr>
            <w:r w:rsidRPr="0039309A">
              <w:rPr>
                <w:sz w:val="24"/>
                <w:szCs w:val="24"/>
              </w:rPr>
              <w:t xml:space="preserve">Proiectului supus expertizei anticorupţie are drept scop ajustarea cadrului normativ din domeniul agriculturii, dezvoltării regionale şi mediului cu prevederile legislaţiei în vigoare. Prin urmare, se propune operarea modificărilor în 164 de hotărâri ale Guvernului, precum modificarea denumirii ministerelor restructurate, responsabilităţilor de control prin substituirea Ministerului Agriculturii şi Industriei Alimentare cu Agenţia Naţională pentru Siguranţa Alimentelor şi modificarea mecanismului de selectare a reprezentanţilor în organele de supraveghere a unor unităţi de implementare a proiectelor. </w:t>
            </w:r>
          </w:p>
          <w:p w:rsidR="0039309A" w:rsidRDefault="0039309A" w:rsidP="0034401A">
            <w:pPr>
              <w:pStyle w:val="2"/>
              <w:tabs>
                <w:tab w:val="left" w:pos="5940"/>
              </w:tabs>
              <w:ind w:firstLine="0"/>
              <w:rPr>
                <w:sz w:val="24"/>
                <w:szCs w:val="24"/>
              </w:rPr>
            </w:pPr>
            <w:r w:rsidRPr="0039309A">
              <w:rPr>
                <w:sz w:val="24"/>
                <w:szCs w:val="24"/>
              </w:rPr>
              <w:t xml:space="preserve">În cadrul procesului de elaborare au fost asigurate rigorile de transparenţă </w:t>
            </w:r>
            <w:r w:rsidRPr="0039309A">
              <w:rPr>
                <w:sz w:val="24"/>
                <w:szCs w:val="24"/>
              </w:rPr>
              <w:lastRenderedPageBreak/>
              <w:t xml:space="preserve">decizională. Nota informativă stabileşte argumente valabile pentru promovarea proiectului. Interesele promovate sunt conforme interesului public. </w:t>
            </w:r>
          </w:p>
          <w:p w:rsidR="0039309A" w:rsidRPr="008B1D9F" w:rsidRDefault="0039309A" w:rsidP="0034401A">
            <w:pPr>
              <w:pStyle w:val="2"/>
              <w:tabs>
                <w:tab w:val="left" w:pos="5940"/>
              </w:tabs>
              <w:ind w:firstLine="0"/>
              <w:rPr>
                <w:sz w:val="24"/>
                <w:szCs w:val="24"/>
              </w:rPr>
            </w:pPr>
            <w:r w:rsidRPr="0039309A">
              <w:rPr>
                <w:sz w:val="24"/>
                <w:szCs w:val="24"/>
              </w:rPr>
              <w:t>Factori de risc şi riscuri de corupţie nu a u fost identificaţi.</w:t>
            </w:r>
          </w:p>
        </w:tc>
        <w:tc>
          <w:tcPr>
            <w:tcW w:w="3401" w:type="dxa"/>
            <w:shd w:val="clear" w:color="auto" w:fill="auto"/>
          </w:tcPr>
          <w:p w:rsidR="0039309A" w:rsidRDefault="0039309A" w:rsidP="00481B0B">
            <w:pPr>
              <w:pStyle w:val="2"/>
              <w:tabs>
                <w:tab w:val="left" w:pos="5940"/>
              </w:tabs>
              <w:ind w:firstLine="0"/>
              <w:jc w:val="center"/>
              <w:rPr>
                <w:sz w:val="24"/>
                <w:szCs w:val="24"/>
              </w:rPr>
            </w:pPr>
            <w:r>
              <w:rPr>
                <w:sz w:val="24"/>
                <w:szCs w:val="24"/>
              </w:rPr>
              <w:lastRenderedPageBreak/>
              <w:t>Se acceptă</w:t>
            </w:r>
          </w:p>
        </w:tc>
      </w:tr>
    </w:tbl>
    <w:p w:rsidR="00A80D3E" w:rsidRDefault="00A80D3E" w:rsidP="00C45EC6"/>
    <w:p w:rsidR="008A5796" w:rsidRDefault="008A5796"/>
    <w:p w:rsidR="008A5796" w:rsidRDefault="008A5796"/>
    <w:p w:rsidR="0027265F" w:rsidRDefault="001C531C" w:rsidP="0027265F">
      <w:pPr>
        <w:tabs>
          <w:tab w:val="left" w:pos="9923"/>
        </w:tabs>
        <w:rPr>
          <w:b/>
        </w:rPr>
      </w:pPr>
      <w:r>
        <w:rPr>
          <w:b/>
        </w:rPr>
        <w:t xml:space="preserve">Ministru </w:t>
      </w:r>
      <w:r>
        <w:rPr>
          <w:b/>
        </w:rPr>
        <w:tab/>
        <w:t xml:space="preserve">Liviu VOLCONOVICI </w:t>
      </w:r>
    </w:p>
    <w:p w:rsidR="001C531C" w:rsidRDefault="001C531C" w:rsidP="0085026A">
      <w:pPr>
        <w:rPr>
          <w:sz w:val="16"/>
          <w:szCs w:val="16"/>
        </w:rPr>
      </w:pPr>
    </w:p>
    <w:p w:rsidR="001C531C" w:rsidRDefault="001C531C" w:rsidP="0085026A">
      <w:pPr>
        <w:rPr>
          <w:sz w:val="16"/>
          <w:szCs w:val="16"/>
        </w:rPr>
      </w:pPr>
    </w:p>
    <w:p w:rsidR="000944F0" w:rsidRDefault="000944F0" w:rsidP="0085026A">
      <w:pPr>
        <w:rPr>
          <w:sz w:val="16"/>
          <w:szCs w:val="16"/>
        </w:rPr>
      </w:pPr>
    </w:p>
    <w:p w:rsidR="000944F0" w:rsidRDefault="000944F0" w:rsidP="0085026A">
      <w:pPr>
        <w:rPr>
          <w:sz w:val="16"/>
          <w:szCs w:val="16"/>
        </w:rPr>
      </w:pPr>
    </w:p>
    <w:p w:rsidR="000944F0" w:rsidRDefault="000944F0" w:rsidP="0085026A">
      <w:pPr>
        <w:rPr>
          <w:sz w:val="16"/>
          <w:szCs w:val="16"/>
        </w:rPr>
      </w:pPr>
    </w:p>
    <w:p w:rsidR="001C531C" w:rsidRDefault="001C531C" w:rsidP="0085026A">
      <w:pPr>
        <w:rPr>
          <w:sz w:val="16"/>
          <w:szCs w:val="16"/>
        </w:rPr>
      </w:pPr>
    </w:p>
    <w:p w:rsidR="001C531C" w:rsidRDefault="001C531C" w:rsidP="0085026A">
      <w:pPr>
        <w:rPr>
          <w:sz w:val="16"/>
          <w:szCs w:val="16"/>
        </w:rPr>
      </w:pPr>
    </w:p>
    <w:p w:rsidR="001C531C" w:rsidRDefault="001C531C" w:rsidP="0085026A">
      <w:pPr>
        <w:rPr>
          <w:sz w:val="16"/>
          <w:szCs w:val="16"/>
        </w:rPr>
      </w:pPr>
    </w:p>
    <w:p w:rsidR="0027265F" w:rsidRPr="0085026A" w:rsidRDefault="0027265F" w:rsidP="0085026A">
      <w:pPr>
        <w:rPr>
          <w:sz w:val="16"/>
          <w:szCs w:val="16"/>
        </w:rPr>
      </w:pPr>
      <w:r w:rsidRPr="0085026A">
        <w:rPr>
          <w:sz w:val="16"/>
          <w:szCs w:val="16"/>
        </w:rPr>
        <w:t>Ex.: DogotariVasilii</w:t>
      </w:r>
    </w:p>
    <w:p w:rsidR="0027265F" w:rsidRPr="0027265F" w:rsidRDefault="0027265F" w:rsidP="004C5C6B">
      <w:pPr>
        <w:rPr>
          <w:b/>
        </w:rPr>
      </w:pPr>
      <w:r w:rsidRPr="0085026A">
        <w:rPr>
          <w:sz w:val="16"/>
          <w:szCs w:val="16"/>
        </w:rPr>
        <w:t>Tel.: 0(22) 204578</w:t>
      </w:r>
    </w:p>
    <w:sectPr w:rsidR="0027265F" w:rsidRPr="0027265F" w:rsidSect="00C40D5B">
      <w:pgSz w:w="16840" w:h="11907" w:orient="landscape" w:code="9"/>
      <w:pgMar w:top="709" w:right="1440" w:bottom="567" w:left="1440"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0D94"/>
    <w:multiLevelType w:val="hybridMultilevel"/>
    <w:tmpl w:val="0A98E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744602"/>
    <w:multiLevelType w:val="hybridMultilevel"/>
    <w:tmpl w:val="0A98E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C61EFD"/>
    <w:multiLevelType w:val="hybridMultilevel"/>
    <w:tmpl w:val="1004E0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A051FC"/>
    <w:rsid w:val="0004226E"/>
    <w:rsid w:val="00056D1A"/>
    <w:rsid w:val="000944F0"/>
    <w:rsid w:val="000C071D"/>
    <w:rsid w:val="000C3F4F"/>
    <w:rsid w:val="00197616"/>
    <w:rsid w:val="001C531C"/>
    <w:rsid w:val="00204139"/>
    <w:rsid w:val="0027265F"/>
    <w:rsid w:val="00291245"/>
    <w:rsid w:val="00294655"/>
    <w:rsid w:val="0034401A"/>
    <w:rsid w:val="003705A3"/>
    <w:rsid w:val="0039309A"/>
    <w:rsid w:val="004130BB"/>
    <w:rsid w:val="00462456"/>
    <w:rsid w:val="00481B0B"/>
    <w:rsid w:val="004C4589"/>
    <w:rsid w:val="004C5C6B"/>
    <w:rsid w:val="004D2D87"/>
    <w:rsid w:val="00510A8B"/>
    <w:rsid w:val="005F680A"/>
    <w:rsid w:val="00615D0B"/>
    <w:rsid w:val="00667F61"/>
    <w:rsid w:val="00707903"/>
    <w:rsid w:val="00721297"/>
    <w:rsid w:val="007D0DA1"/>
    <w:rsid w:val="0086582E"/>
    <w:rsid w:val="00877BF5"/>
    <w:rsid w:val="00880E25"/>
    <w:rsid w:val="008A1374"/>
    <w:rsid w:val="008A5796"/>
    <w:rsid w:val="008A792F"/>
    <w:rsid w:val="008B1D9F"/>
    <w:rsid w:val="008F254F"/>
    <w:rsid w:val="00A051FC"/>
    <w:rsid w:val="00A12B2E"/>
    <w:rsid w:val="00A50782"/>
    <w:rsid w:val="00A80D3E"/>
    <w:rsid w:val="00A95204"/>
    <w:rsid w:val="00AA7B7E"/>
    <w:rsid w:val="00AA7D78"/>
    <w:rsid w:val="00C04B03"/>
    <w:rsid w:val="00C146AC"/>
    <w:rsid w:val="00C40D5B"/>
    <w:rsid w:val="00C45EC6"/>
    <w:rsid w:val="00C631DB"/>
    <w:rsid w:val="00C727B0"/>
    <w:rsid w:val="00CF5965"/>
    <w:rsid w:val="00D6744A"/>
    <w:rsid w:val="00DA5CF0"/>
    <w:rsid w:val="00DC3689"/>
    <w:rsid w:val="00EF6614"/>
    <w:rsid w:val="00EF6FEA"/>
    <w:rsid w:val="00F836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1FC"/>
    <w:pPr>
      <w:jc w:val="left"/>
    </w:pPr>
    <w:rPr>
      <w:rFonts w:eastAsia="MS Mincho" w:cs="Times New Roman"/>
      <w:sz w:val="28"/>
      <w:szCs w:val="28"/>
      <w:lang w:val="ro-RO"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051FC"/>
    <w:pPr>
      <w:ind w:firstLine="720"/>
      <w:jc w:val="both"/>
    </w:pPr>
    <w:rPr>
      <w:rFonts w:eastAsia="Times New Roman"/>
      <w:szCs w:val="20"/>
      <w:lang w:eastAsia="ru-RU"/>
    </w:rPr>
  </w:style>
  <w:style w:type="character" w:customStyle="1" w:styleId="20">
    <w:name w:val="Основной текст с отступом 2 Знак"/>
    <w:basedOn w:val="a0"/>
    <w:link w:val="2"/>
    <w:rsid w:val="00A051FC"/>
    <w:rPr>
      <w:rFonts w:eastAsia="Times New Roman" w:cs="Times New Roman"/>
      <w:sz w:val="28"/>
      <w:szCs w:val="20"/>
      <w:lang w:val="ro-RO" w:eastAsia="ru-RU"/>
    </w:rPr>
  </w:style>
  <w:style w:type="paragraph" w:styleId="a3">
    <w:name w:val="Normal (Web)"/>
    <w:basedOn w:val="a"/>
    <w:uiPriority w:val="99"/>
    <w:semiHidden/>
    <w:unhideWhenUsed/>
    <w:rsid w:val="00A051FC"/>
    <w:pPr>
      <w:ind w:firstLine="567"/>
      <w:jc w:val="both"/>
    </w:pPr>
    <w:rPr>
      <w:rFonts w:eastAsia="Times New Roman"/>
      <w:sz w:val="24"/>
      <w:szCs w:val="24"/>
      <w:lang w:val="en-GB" w:eastAsia="en-GB"/>
    </w:rPr>
  </w:style>
  <w:style w:type="paragraph" w:styleId="a4">
    <w:name w:val="Balloon Text"/>
    <w:basedOn w:val="a"/>
    <w:link w:val="a5"/>
    <w:uiPriority w:val="99"/>
    <w:semiHidden/>
    <w:unhideWhenUsed/>
    <w:rsid w:val="0027265F"/>
    <w:rPr>
      <w:rFonts w:ascii="Tahoma" w:hAnsi="Tahoma" w:cs="Tahoma"/>
      <w:sz w:val="16"/>
      <w:szCs w:val="16"/>
    </w:rPr>
  </w:style>
  <w:style w:type="character" w:customStyle="1" w:styleId="a5">
    <w:name w:val="Текст выноски Знак"/>
    <w:basedOn w:val="a0"/>
    <w:link w:val="a4"/>
    <w:uiPriority w:val="99"/>
    <w:semiHidden/>
    <w:rsid w:val="0027265F"/>
    <w:rPr>
      <w:rFonts w:ascii="Tahoma" w:eastAsia="MS Mincho" w:hAnsi="Tahoma" w:cs="Tahoma"/>
      <w:sz w:val="16"/>
      <w:szCs w:val="16"/>
      <w:lang w:val="ro-RO"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BB47-D6A0-4757-9CDC-E014EE23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8</Pages>
  <Words>2692</Words>
  <Characters>15348</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Vasilii Dogotari</dc:creator>
  <cp:lastModifiedBy>Vasilii Dogotari</cp:lastModifiedBy>
  <cp:revision>20</cp:revision>
  <cp:lastPrinted>2018-02-28T07:43:00Z</cp:lastPrinted>
  <dcterms:created xsi:type="dcterms:W3CDTF">2017-12-22T13:13:00Z</dcterms:created>
  <dcterms:modified xsi:type="dcterms:W3CDTF">2018-03-01T07:29:00Z</dcterms:modified>
</cp:coreProperties>
</file>