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951" w:rsidRPr="00153951" w:rsidRDefault="00153951" w:rsidP="00F9041A">
      <w:pPr>
        <w:pStyle w:val="Bodytext20"/>
        <w:spacing w:before="0" w:after="0"/>
        <w:jc w:val="center"/>
        <w:rPr>
          <w:b/>
          <w:bCs/>
        </w:rPr>
      </w:pPr>
      <w:r w:rsidRPr="00153951">
        <w:rPr>
          <w:b/>
          <w:bCs/>
        </w:rPr>
        <w:t>NOTĂ INFORMATIVĂ</w:t>
      </w:r>
    </w:p>
    <w:p w:rsidR="00153951" w:rsidRDefault="00153951" w:rsidP="00F9041A">
      <w:pPr>
        <w:pStyle w:val="Bodytext20"/>
        <w:shd w:val="clear" w:color="auto" w:fill="auto"/>
        <w:spacing w:before="0" w:after="0"/>
        <w:jc w:val="center"/>
        <w:rPr>
          <w:b/>
          <w:bCs/>
        </w:rPr>
      </w:pPr>
      <w:r>
        <w:rPr>
          <w:b/>
          <w:bCs/>
        </w:rPr>
        <w:t>l</w:t>
      </w:r>
      <w:r w:rsidRPr="00153951">
        <w:rPr>
          <w:b/>
          <w:bCs/>
        </w:rPr>
        <w:t>a proiectul Hotărîrii Guvernului cu privire la aprobarea completărilor ce se operează în Hotărîrea Guvernului nr. 1003 din 10 decembrie 2014 pentru aprobarea regulamentelor privind cerinţele de etichetare energetică a unor produse cu impact energetic</w:t>
      </w:r>
    </w:p>
    <w:p w:rsidR="00351382" w:rsidRDefault="002E3E3C" w:rsidP="00F9041A">
      <w:pPr>
        <w:pStyle w:val="Bodytext20"/>
        <w:shd w:val="clear" w:color="auto" w:fill="auto"/>
        <w:spacing w:before="120" w:after="0"/>
      </w:pPr>
      <w:r>
        <w:t>Consumul de energie</w:t>
      </w:r>
      <w:r w:rsidR="009C5BA3">
        <w:t>, în toate sectoarele economiei naționale</w:t>
      </w:r>
      <w:r w:rsidR="00811EE3">
        <w:t>,</w:t>
      </w:r>
      <w:r>
        <w:t xml:space="preserve"> înregistrează un trend ascendent, iar </w:t>
      </w:r>
      <w:r w:rsidR="009C5BA3">
        <w:t>performanțele</w:t>
      </w:r>
      <w:r>
        <w:t xml:space="preserve"> energetice</w:t>
      </w:r>
      <w:r w:rsidR="00811EE3">
        <w:t xml:space="preserve"> ale utilaj</w:t>
      </w:r>
      <w:r w:rsidR="0082122E">
        <w:t>ului și echipamentului utilizat</w:t>
      </w:r>
      <w:r>
        <w:t xml:space="preserve"> sunt sub nivelul acceptabil în condiţiile progreselor tehnologice şi a ofertei crescînde pe piaţă.</w:t>
      </w:r>
    </w:p>
    <w:p w:rsidR="00351382" w:rsidRDefault="002E3E3C" w:rsidP="00F9041A">
      <w:pPr>
        <w:pStyle w:val="Bodytext20"/>
        <w:shd w:val="clear" w:color="auto" w:fill="auto"/>
        <w:spacing w:before="120" w:after="0" w:line="312" w:lineRule="exact"/>
      </w:pPr>
      <w:r>
        <w:t xml:space="preserve">Dependenţa Republicii </w:t>
      </w:r>
      <w:r w:rsidR="00153951">
        <w:t>Moldova de resursele externe (83</w:t>
      </w:r>
      <w:r w:rsidR="0082122E">
        <w:t>%</w:t>
      </w:r>
      <w:r w:rsidR="009C5BA3">
        <w:t xml:space="preserve"> în anul 2015</w:t>
      </w:r>
      <w:r w:rsidR="0082122E">
        <w:t>)</w:t>
      </w:r>
      <w:r>
        <w:t>, inte</w:t>
      </w:r>
      <w:r w:rsidR="00153951">
        <w:t>nsitatea energetică sporită (</w:t>
      </w:r>
      <w:r w:rsidR="009C5BA3">
        <w:t xml:space="preserve">de peste </w:t>
      </w:r>
      <w:r w:rsidR="00153951">
        <w:t>3</w:t>
      </w:r>
      <w:r>
        <w:t xml:space="preserve"> ori faţă de statele UE</w:t>
      </w:r>
      <w:r w:rsidR="000D4F58">
        <w:t>-28</w:t>
      </w:r>
      <w:bookmarkStart w:id="0" w:name="_GoBack"/>
      <w:bookmarkEnd w:id="0"/>
      <w:r>
        <w:t xml:space="preserve">) şi generarea </w:t>
      </w:r>
      <w:r w:rsidR="00CA0298">
        <w:t xml:space="preserve">relativ </w:t>
      </w:r>
      <w:r>
        <w:t>ineficientă (randament cumulativ</w:t>
      </w:r>
      <w:r w:rsidR="0082122E">
        <w:t xml:space="preserve"> estimat la 68%) reprezintă provocări</w:t>
      </w:r>
      <w:r>
        <w:t xml:space="preserve"> sectoriale bine-cunoscute, care se inten</w:t>
      </w:r>
      <w:r w:rsidR="00153951">
        <w:t>sifică pe fundalul pierderilor</w:t>
      </w:r>
      <w:r>
        <w:t xml:space="preserve"> </w:t>
      </w:r>
      <w:r w:rsidR="00E92641">
        <w:t>la transportare și distribuție</w:t>
      </w:r>
      <w:r w:rsidR="00866835">
        <w:t xml:space="preserve">, precum și pe cel al </w:t>
      </w:r>
      <w:r>
        <w:t xml:space="preserve">consumului ineficient la nivelul </w:t>
      </w:r>
      <w:r w:rsidR="001D75B7">
        <w:t>consumatorului final</w:t>
      </w:r>
      <w:r>
        <w:t>.</w:t>
      </w:r>
    </w:p>
    <w:p w:rsidR="00351382" w:rsidRDefault="00CA0298" w:rsidP="00F9041A">
      <w:pPr>
        <w:pStyle w:val="Bodytext20"/>
        <w:shd w:val="clear" w:color="auto" w:fill="auto"/>
        <w:spacing w:before="120" w:after="0" w:line="312" w:lineRule="exact"/>
      </w:pPr>
      <w:r>
        <w:t xml:space="preserve">În acest caz, dotarea </w:t>
      </w:r>
      <w:r w:rsidR="002E3E3C">
        <w:t>gospodăriilor casnice cu produse cu impact energetic</w:t>
      </w:r>
      <w:r w:rsidR="00E92641">
        <w:t xml:space="preserve"> major/ sporit</w:t>
      </w:r>
      <w:r w:rsidR="002E3E3C">
        <w:t xml:space="preserve">, duce la </w:t>
      </w:r>
      <w:r w:rsidR="00E92641">
        <w:t>creșterea</w:t>
      </w:r>
      <w:r w:rsidR="002E3E3C">
        <w:t xml:space="preserve"> facturii pentru energie</w:t>
      </w:r>
      <w:r w:rsidR="00E92641">
        <w:t>,</w:t>
      </w:r>
      <w:r w:rsidR="00866835">
        <w:t xml:space="preserve"> cît şi</w:t>
      </w:r>
      <w:r w:rsidR="002E3E3C">
        <w:t xml:space="preserve"> creşte dependenţa de importurile de </w:t>
      </w:r>
      <w:r w:rsidR="0020262C">
        <w:t>aceste surse</w:t>
      </w:r>
      <w:r w:rsidR="002E3E3C">
        <w:t xml:space="preserve">. Cumulativ, către anul 2020, aparatele casnice vor atinge un consum </w:t>
      </w:r>
      <w:r w:rsidR="00C456D6">
        <w:t xml:space="preserve">estimat la </w:t>
      </w:r>
      <w:r w:rsidR="002E3E3C">
        <w:t>6,36 PJ faţă de la 2,76 PJ în 2009. Aceasta presupune o creşterea a emisiilor C</w:t>
      </w:r>
      <w:r w:rsidR="001D75B7">
        <w:t>O</w:t>
      </w:r>
      <w:r w:rsidR="002E3E3C">
        <w:rPr>
          <w:vertAlign w:val="subscript"/>
        </w:rPr>
        <w:t xml:space="preserve">2 </w:t>
      </w:r>
      <w:r w:rsidR="002E3E3C">
        <w:t>de la 513,36 mii tone în 2009 pînă la 1182,96 mii tone CCL în 2020.</w:t>
      </w:r>
    </w:p>
    <w:p w:rsidR="00351382" w:rsidRDefault="002E3E3C" w:rsidP="00F9041A">
      <w:pPr>
        <w:pStyle w:val="Bodytext20"/>
        <w:shd w:val="clear" w:color="auto" w:fill="auto"/>
        <w:spacing w:before="120" w:after="0"/>
      </w:pPr>
      <w:r>
        <w:t>De menţionat că</w:t>
      </w:r>
      <w:r w:rsidR="00C456D6">
        <w:t>, Uniunea Europeană, spre exemplu,</w:t>
      </w:r>
      <w:r>
        <w:t xml:space="preserve"> renunţat la produsele cu consum excesiv de energie, neadmiţînd clase energetice sub A şi B pe piaţă, iar unele produse au fost chiar excluse de pe piaţă. Motivul este firesc, în special în cazul în care luăm în considerare că prin utilizarea electrocasnicelor de clasa A+++ în</w:t>
      </w:r>
      <w:r w:rsidR="00C456D6">
        <w:t xml:space="preserve"> locul celor cu clasa A se pot</w:t>
      </w:r>
      <w:r>
        <w:t xml:space="preserve"> realiza economii în mărime de pînă la 60% de energie în cazul frigiderelor, congelatoarelor şi a combinelor frigorifice; pînă la 32% de energie în cazul maşinilor de spălat rufe de uz casnic; pînă la 30% de energie în cazul maşinilor de spălat vase.</w:t>
      </w:r>
    </w:p>
    <w:p w:rsidR="006A24C0" w:rsidRDefault="0020262C" w:rsidP="00F9041A">
      <w:pPr>
        <w:pStyle w:val="Bodytext20"/>
        <w:spacing w:before="120" w:after="0"/>
      </w:pPr>
      <w:r>
        <w:t>Î</w:t>
      </w:r>
      <w:r w:rsidR="002E3E3C">
        <w:t>n scopul informării consumătorilor de a face procurări în cunoştinţă de cauză, Republica Moldova a aprobat Legea nr. 44 din 27 martie 2014 privind etichetarea energetică (Monitorul Oficial al Republicii Moldova nr. 99-102/249 din 25.04.2014) care propune plasarea produselor pe piaţă doar împreună cu o etichetă care indică consumul de energie a fiecărui produs. Legea în cauză transpune i</w:t>
      </w:r>
      <w:r w:rsidR="00F74B41">
        <w:t>n</w:t>
      </w:r>
      <w:r>
        <w:t xml:space="preserve">tegral </w:t>
      </w:r>
      <w:r w:rsidRPr="009A2757">
        <w:rPr>
          <w:i/>
        </w:rPr>
        <w:t>Directiva</w:t>
      </w:r>
      <w:r w:rsidR="002E3E3C" w:rsidRPr="009A2757">
        <w:rPr>
          <w:i/>
        </w:rPr>
        <w:t xml:space="preserve"> </w:t>
      </w:r>
      <w:r w:rsidR="002E3E3C" w:rsidRPr="009A2757">
        <w:rPr>
          <w:rStyle w:val="Bodytext21"/>
          <w:i/>
        </w:rPr>
        <w:t>2010/30/UE</w:t>
      </w:r>
      <w:r w:rsidR="002E3E3C" w:rsidRPr="009A2757">
        <w:rPr>
          <w:i/>
        </w:rPr>
        <w:t xml:space="preserve"> a Parlamentului European şi a Consiliului din 19 mai 2010 privind indicarea, prin etichetare şi informaţii standard despre produs, a consumului de energie şi de alte resurse al p</w:t>
      </w:r>
      <w:r w:rsidRPr="009A2757">
        <w:rPr>
          <w:i/>
        </w:rPr>
        <w:t>roduselor cu impact energetic.</w:t>
      </w:r>
      <w:r>
        <w:t xml:space="preserve"> </w:t>
      </w:r>
    </w:p>
    <w:p w:rsidR="005609BC" w:rsidRDefault="0020262C" w:rsidP="00F9041A">
      <w:pPr>
        <w:pStyle w:val="Bodytext20"/>
        <w:spacing w:before="120" w:after="0"/>
      </w:pPr>
      <w:r>
        <w:t>Î</w:t>
      </w:r>
      <w:r w:rsidR="002E3E3C">
        <w:t>n conformitate cu art. 4, pct.l al Legii nominalizate</w:t>
      </w:r>
      <w:r w:rsidR="009A2757">
        <w:t>,</w:t>
      </w:r>
      <w:r w:rsidR="002E3E3C">
        <w:t xml:space="preserve"> Capitolului 14 „Cooperarea în domeniul energetic" din Acordul de Asociere dintre Uniunea Europeană şi Comunitatea Europeană a Energiei Atomice şi statele sale membre, pe de o parte, şi Republica Moldova, pe de</w:t>
      </w:r>
      <w:r w:rsidR="00057C02">
        <w:t xml:space="preserve"> altă parte, inclusiv şi Anexa </w:t>
      </w:r>
      <w:r w:rsidR="002E3E3C">
        <w:t>VIII la Acord</w:t>
      </w:r>
      <w:r w:rsidR="00057C02">
        <w:t xml:space="preserve">, în conformitate cu </w:t>
      </w:r>
      <w:r w:rsidR="00BF0A88">
        <w:t>angajamentele asumate</w:t>
      </w:r>
      <w:r w:rsidR="00AC3D72">
        <w:t xml:space="preserve"> în cadrul Tratatului de constituire a Comunității Energetice (Lege</w:t>
      </w:r>
      <w:r w:rsidR="00057C02">
        <w:t>a</w:t>
      </w:r>
      <w:r w:rsidR="006A24C0">
        <w:t xml:space="preserve"> Nr. 117 din</w:t>
      </w:r>
      <w:r w:rsidR="00AC3D72">
        <w:t xml:space="preserve"> 23.12.2009</w:t>
      </w:r>
      <w:r w:rsidR="006A24C0">
        <w:t>)</w:t>
      </w:r>
      <w:r w:rsidR="002E3E3C">
        <w:t xml:space="preserve">, a fost elaborat proiectul Hotărîrii Guvernului </w:t>
      </w:r>
      <w:r w:rsidR="00667DC4" w:rsidRPr="00667DC4">
        <w:t>cu privire la aprobarea completărilor ce se operează în Hotărîrea Guvernului nr. 1003 din 10 decembrie 2014 pentru aprobarea regulamentelor privind cerinţele de etichetare energetică a unor produse cu impact energetic</w:t>
      </w:r>
      <w:r w:rsidR="005609BC">
        <w:t xml:space="preserve">. </w:t>
      </w:r>
    </w:p>
    <w:p w:rsidR="00351382" w:rsidRDefault="005609BC" w:rsidP="00F9041A">
      <w:pPr>
        <w:pStyle w:val="Bodytext20"/>
        <w:spacing w:before="120" w:after="0"/>
      </w:pPr>
      <w:r>
        <w:t>Ace</w:t>
      </w:r>
      <w:r w:rsidR="00307F4A">
        <w:t>a</w:t>
      </w:r>
      <w:r>
        <w:t xml:space="preserve">sta </w:t>
      </w:r>
      <w:r w:rsidR="002E3E3C">
        <w:t xml:space="preserve">stabileşte </w:t>
      </w:r>
      <w:r w:rsidR="00667DC4">
        <w:t xml:space="preserve">cerințe </w:t>
      </w:r>
      <w:r w:rsidR="002E3E3C">
        <w:t xml:space="preserve">de performanţă energetică </w:t>
      </w:r>
      <w:r w:rsidR="00667DC4">
        <w:t>pentru</w:t>
      </w:r>
      <w:r w:rsidR="00057C02">
        <w:t xml:space="preserve"> un număr adițional</w:t>
      </w:r>
      <w:r w:rsidR="00667DC4">
        <w:t xml:space="preserve"> trei clase de </w:t>
      </w:r>
      <w:r w:rsidR="002E3E3C">
        <w:t>produse distincte:</w:t>
      </w:r>
    </w:p>
    <w:p w:rsidR="00351382" w:rsidRDefault="004E2E2D" w:rsidP="00F9041A">
      <w:pPr>
        <w:pStyle w:val="Bodytext20"/>
        <w:numPr>
          <w:ilvl w:val="0"/>
          <w:numId w:val="1"/>
        </w:numPr>
        <w:shd w:val="clear" w:color="auto" w:fill="auto"/>
        <w:tabs>
          <w:tab w:val="left" w:pos="1404"/>
        </w:tabs>
        <w:spacing w:before="120" w:after="0" w:line="331" w:lineRule="exact"/>
        <w:ind w:left="1060"/>
      </w:pPr>
      <w:r>
        <w:lastRenderedPageBreak/>
        <w:t>aspiratoare (anexa 9</w:t>
      </w:r>
      <w:r w:rsidR="002E3E3C">
        <w:t>);</w:t>
      </w:r>
    </w:p>
    <w:p w:rsidR="00351382" w:rsidRDefault="00EF3060" w:rsidP="00F9041A">
      <w:pPr>
        <w:pStyle w:val="Bodytext20"/>
        <w:numPr>
          <w:ilvl w:val="0"/>
          <w:numId w:val="1"/>
        </w:numPr>
        <w:shd w:val="clear" w:color="auto" w:fill="auto"/>
        <w:tabs>
          <w:tab w:val="left" w:pos="1404"/>
        </w:tabs>
        <w:spacing w:before="120" w:after="0" w:line="331" w:lineRule="exact"/>
        <w:ind w:left="1060"/>
      </w:pPr>
      <w:r>
        <w:t>instalații</w:t>
      </w:r>
      <w:r w:rsidRPr="00EF3060">
        <w:t xml:space="preserve"> pentru  încălzirea  incintelor,  a  instalații</w:t>
      </w:r>
      <w:r>
        <w:t xml:space="preserve"> de încălzire </w:t>
      </w:r>
      <w:r w:rsidRPr="00EF3060">
        <w:t xml:space="preserve">cu funcție dublă, </w:t>
      </w:r>
      <w:r>
        <w:t>pachete</w:t>
      </w:r>
      <w:r w:rsidRPr="00EF3060">
        <w:t xml:space="preserve"> de</w:t>
      </w:r>
      <w:r>
        <w:t xml:space="preserve"> instalație pentru  încălzirea incintelor, regulator </w:t>
      </w:r>
      <w:r w:rsidRPr="00EF3060">
        <w:t>de tem</w:t>
      </w:r>
      <w:r>
        <w:t>peratură  și dispozitiv solar și pachete de instalație de</w:t>
      </w:r>
      <w:r w:rsidRPr="00EF3060">
        <w:t xml:space="preserve"> încălzire funcție dublă, regulator de temperatură și dispozitiv solar </w:t>
      </w:r>
      <w:r w:rsidR="002E3E3C">
        <w:t xml:space="preserve">(anexa </w:t>
      </w:r>
      <w:r>
        <w:t>10</w:t>
      </w:r>
      <w:r w:rsidR="002E3E3C">
        <w:t>);</w:t>
      </w:r>
    </w:p>
    <w:p w:rsidR="00351382" w:rsidRDefault="005609BC" w:rsidP="00F9041A">
      <w:pPr>
        <w:pStyle w:val="Bodytext20"/>
        <w:numPr>
          <w:ilvl w:val="0"/>
          <w:numId w:val="1"/>
        </w:numPr>
        <w:shd w:val="clear" w:color="auto" w:fill="auto"/>
        <w:tabs>
          <w:tab w:val="left" w:pos="1404"/>
        </w:tabs>
        <w:spacing w:before="120" w:after="0" w:line="331" w:lineRule="exact"/>
        <w:ind w:left="1060"/>
      </w:pPr>
      <w:r>
        <w:t>instalații</w:t>
      </w:r>
      <w:r w:rsidR="00BD358A" w:rsidRPr="00BD358A">
        <w:t xml:space="preserve"> pentru încălzirea apei, a rezervoare</w:t>
      </w:r>
      <w:r>
        <w:t xml:space="preserve"> pentru apă caldă și pachete</w:t>
      </w:r>
      <w:r w:rsidR="00BD358A" w:rsidRPr="00BD358A">
        <w:t xml:space="preserve"> de instalație pentru încălzirea apei și dispozitiv solar</w:t>
      </w:r>
      <w:r w:rsidR="00BD358A">
        <w:t xml:space="preserve"> (anexa 11</w:t>
      </w:r>
      <w:r w:rsidR="002E3E3C">
        <w:t>);</w:t>
      </w:r>
    </w:p>
    <w:p w:rsidR="00351382" w:rsidRDefault="002E3E3C" w:rsidP="00F9041A">
      <w:pPr>
        <w:pStyle w:val="Bodytext20"/>
        <w:shd w:val="clear" w:color="auto" w:fill="auto"/>
        <w:spacing w:before="120" w:after="0" w:line="312" w:lineRule="exact"/>
      </w:pPr>
      <w:r>
        <w:rPr>
          <w:rStyle w:val="Bodytext2Bold"/>
        </w:rPr>
        <w:t xml:space="preserve">Aspectul juridic. </w:t>
      </w:r>
      <w:r>
        <w:t xml:space="preserve">Hotărîrea Guvernului </w:t>
      </w:r>
      <w:r w:rsidR="00226708">
        <w:t xml:space="preserve">completează </w:t>
      </w:r>
      <w:r w:rsidR="00226708" w:rsidRPr="00226708">
        <w:t>Hotărîrea Guvernului nr. 1003 din 10 decembrie 2014 pentru aprobarea regulamentelor privind cerinţele de etichetare energetică a unor produse cu impact energetic</w:t>
      </w:r>
      <w:r w:rsidR="00226708">
        <w:t xml:space="preserve"> care </w:t>
      </w:r>
      <w:r>
        <w:t>reprezintă un cadru de implementare a Legii nr. 44 din 27 martie 2014 privind etichetarea energetică (Monitorul Oficial al Republicii Moldova nr. 99-102/249 din 25.04.2014) şi implicit, a Directivei 2009/125/CE a Parlamentului European şi a Consiliului din 21 octombrie 2009, de instituire a unui cadru pentru stabilirea cerinţelor în materie de proiectare ecologică aplicabile produselor cu impact energetic.</w:t>
      </w:r>
    </w:p>
    <w:p w:rsidR="00351382" w:rsidRDefault="002E3E3C" w:rsidP="00F9041A">
      <w:pPr>
        <w:pStyle w:val="Bodytext20"/>
        <w:shd w:val="clear" w:color="auto" w:fill="auto"/>
        <w:spacing w:before="120" w:after="0"/>
      </w:pPr>
      <w:r>
        <w:rPr>
          <w:rStyle w:val="Bodytext2Bold"/>
        </w:rPr>
        <w:t xml:space="preserve">Aspectul economic. </w:t>
      </w:r>
      <w:r>
        <w:t>Cerinţele faţă de etichetarea produselor va duce la ridicarea calităţii produselor, reducerea consumului de en</w:t>
      </w:r>
      <w:r w:rsidR="004E0A25">
        <w:t>ergie, şi reducerii emisiilor CO</w:t>
      </w:r>
      <w:r>
        <w:t xml:space="preserve">2. Utilizarea aparatelor de clase inferioare, de regulă, implică o plată mică din start şi </w:t>
      </w:r>
      <w:r>
        <w:rPr>
          <w:rStyle w:val="Bodytext2Italic"/>
        </w:rPr>
        <w:t>o factură mare pe durata vieţii acestora</w:t>
      </w:r>
      <w:r>
        <w:rPr>
          <w:rStyle w:val="Bodytext2Italic0"/>
        </w:rPr>
        <w:t>.</w:t>
      </w:r>
      <w:r>
        <w:rPr>
          <w:rStyle w:val="Bodytext24pt"/>
        </w:rPr>
        <w:t xml:space="preserve"> </w:t>
      </w:r>
      <w:r>
        <w:t>Totodată, respectarea cerinţelor de informare prin etichetă a consum</w:t>
      </w:r>
      <w:r w:rsidR="00AD2906">
        <w:t>a</w:t>
      </w:r>
      <w:r>
        <w:t xml:space="preserve">torilor despre consumul de energie a aparatelor expuse spre comercializare sau chirie, va repune producătorii, importatorii şi distribuitorii de produse calitative în cadrul unei </w:t>
      </w:r>
      <w:r>
        <w:rPr>
          <w:rStyle w:val="Bodytext2Italic0"/>
        </w:rPr>
        <w:t>concurenţe loiale. Un preţ redus mereu este preferabil, iar raportul preţ-calitate este neglijat, la moment, mai ales în lipsa etichetelor</w:t>
      </w:r>
      <w:r w:rsidR="00866745">
        <w:rPr>
          <w:rStyle w:val="Bodytext2Italic0"/>
        </w:rPr>
        <w:t>,</w:t>
      </w:r>
      <w:r w:rsidR="00A63974">
        <w:rPr>
          <w:rStyle w:val="Bodytext2Italic0"/>
        </w:rPr>
        <w:t xml:space="preserve"> în calitatea acestora de </w:t>
      </w:r>
      <w:r>
        <w:rPr>
          <w:rStyle w:val="Bodytext24pt"/>
        </w:rPr>
        <w:t xml:space="preserve"> - </w:t>
      </w:r>
      <w:r>
        <w:rPr>
          <w:rStyle w:val="Bodytext2Italic0"/>
        </w:rPr>
        <w:t>instrument de informare.</w:t>
      </w:r>
    </w:p>
    <w:p w:rsidR="0044212B" w:rsidRDefault="002E3E3C" w:rsidP="00F9041A">
      <w:pPr>
        <w:pStyle w:val="Bodytext20"/>
        <w:shd w:val="clear" w:color="auto" w:fill="auto"/>
        <w:spacing w:before="120" w:after="0"/>
      </w:pPr>
      <w:r>
        <w:rPr>
          <w:rStyle w:val="Bodytext2Bold"/>
        </w:rPr>
        <w:t xml:space="preserve">Aspectul financiar. </w:t>
      </w:r>
      <w:r>
        <w:t xml:space="preserve">Prezenta Hotărîre a Guvernului nu necesită cheltuieli suplimentare din bugetul de stat, dat fiind faptul că etichetarea şi informaţiile standard despre produs a consumului de energie şi de alte resurse la aparate de uz casnic şi alte produse cu impact energetic vor fi o cerinţă obligatorie pentru producătorii, importatori şi furnizori. </w:t>
      </w:r>
      <w:r w:rsidR="00420317">
        <w:t>Astfel</w:t>
      </w:r>
      <w:r>
        <w:t xml:space="preserve">, cheltuielile de producere a etichetelor şi fişelor </w:t>
      </w:r>
      <w:r w:rsidR="0044212B">
        <w:t>urmează a fi suportate de către producător.</w:t>
      </w:r>
    </w:p>
    <w:p w:rsidR="0044212B" w:rsidRDefault="0044212B" w:rsidP="00F9041A">
      <w:pPr>
        <w:pStyle w:val="Bodytext20"/>
        <w:shd w:val="clear" w:color="auto" w:fill="auto"/>
        <w:spacing w:before="120" w:after="0"/>
      </w:pPr>
      <w:r>
        <w:t xml:space="preserve">Cu toate acestea, ținînd cont de faptul că Republica Moldova </w:t>
      </w:r>
      <w:r w:rsidR="005400E7">
        <w:t>este un stat net – importator de astfel de echipamente, care sunt orientate către piața comunitară și/sau europeană, acestea din urmă sunt deja însoțite de eticheta corespunzătoare.</w:t>
      </w:r>
    </w:p>
    <w:p w:rsidR="00351382" w:rsidRDefault="002E3E3C" w:rsidP="00F9041A">
      <w:pPr>
        <w:pStyle w:val="Bodytext20"/>
        <w:shd w:val="clear" w:color="auto" w:fill="auto"/>
        <w:spacing w:before="120" w:after="0" w:line="302" w:lineRule="exact"/>
      </w:pPr>
      <w:r>
        <w:rPr>
          <w:rStyle w:val="Bodytext2Bold"/>
        </w:rPr>
        <w:t xml:space="preserve">Aspectul organizatoric. </w:t>
      </w:r>
      <w:r>
        <w:t>Hotărîrea Guvernului nu necesită crearea sau modificarea unor instituţii de stat. Atît Agenţia pentru Eficienţă Energetică, cît şi Agenţia pentru Protecţia Consumatorilor sunt instituţii existente cu funcţii în domeniu. Acestea vor asigura informarea participanţilor pieţii, cît şi supravegherea respectării cerinţelor de etichetare.</w:t>
      </w:r>
    </w:p>
    <w:p w:rsidR="00351382" w:rsidRDefault="002E3E3C" w:rsidP="00F9041A">
      <w:pPr>
        <w:pStyle w:val="Bodytext20"/>
        <w:shd w:val="clear" w:color="auto" w:fill="auto"/>
        <w:spacing w:before="120" w:after="0" w:line="302" w:lineRule="exact"/>
      </w:pPr>
      <w:r>
        <w:t>Reieşind din cele expuse, considerăm oportun susţinerea Hotăr</w:t>
      </w:r>
      <w:r w:rsidR="00E92641">
        <w:t>î</w:t>
      </w:r>
      <w:r>
        <w:t>rii Guvernului cu privire la aprobarea Regulamentelor privind cerinţele de etichetare energetică a produselor cu impact energetic.</w:t>
      </w:r>
    </w:p>
    <w:p w:rsidR="00F9041A" w:rsidRDefault="00F9041A" w:rsidP="00F9041A">
      <w:pPr>
        <w:pStyle w:val="Bodytext20"/>
        <w:shd w:val="clear" w:color="auto" w:fill="auto"/>
        <w:spacing w:before="120" w:after="0" w:line="302" w:lineRule="exact"/>
      </w:pPr>
    </w:p>
    <w:p w:rsidR="009C6304" w:rsidRDefault="00736FEE" w:rsidP="00F9041A">
      <w:pPr>
        <w:pStyle w:val="Bodytext20"/>
        <w:shd w:val="clear" w:color="auto" w:fill="auto"/>
        <w:spacing w:before="120" w:after="0" w:line="302" w:lineRule="exact"/>
      </w:pPr>
      <w:r>
        <w:t xml:space="preserve"> </w:t>
      </w:r>
    </w:p>
    <w:p w:rsidR="00351382" w:rsidRDefault="00676FA0" w:rsidP="00F9041A">
      <w:pPr>
        <w:pStyle w:val="Heading120"/>
        <w:keepNext/>
        <w:keepLines/>
        <w:shd w:val="clear" w:color="auto" w:fill="auto"/>
        <w:spacing w:before="0" w:line="280" w:lineRule="exact"/>
      </w:pPr>
      <w:r>
        <w:rPr>
          <w:noProof/>
          <w:lang w:val="en-US" w:eastAsia="en-US" w:bidi="ar-SA"/>
        </w:rPr>
        <mc:AlternateContent>
          <mc:Choice Requires="wps">
            <w:drawing>
              <wp:anchor distT="0" distB="0" distL="63500" distR="63500" simplePos="0" relativeHeight="251657728" behindDoc="1" locked="0" layoutInCell="1" allowOverlap="1">
                <wp:simplePos x="0" y="0"/>
                <wp:positionH relativeFrom="margin">
                  <wp:posOffset>24130</wp:posOffset>
                </wp:positionH>
                <wp:positionV relativeFrom="paragraph">
                  <wp:posOffset>-64770</wp:posOffset>
                </wp:positionV>
                <wp:extent cx="990600" cy="165100"/>
                <wp:effectExtent l="0" t="2540" r="3175" b="3810"/>
                <wp:wrapSquare wrapText="r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382" w:rsidRDefault="002E3E3C">
                            <w:pPr>
                              <w:pStyle w:val="Bodytext30"/>
                              <w:shd w:val="clear" w:color="auto" w:fill="auto"/>
                              <w:spacing w:before="0" w:after="0" w:line="260" w:lineRule="exact"/>
                              <w:jc w:val="left"/>
                            </w:pPr>
                            <w:r>
                              <w:rPr>
                                <w:rStyle w:val="Bodytext3Exact"/>
                                <w:b/>
                                <w:bCs/>
                              </w:rPr>
                              <w:t>Viceministru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5.1pt;width:78pt;height:13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" filled="f" stroked="f">
                <v:textbox style="mso-fit-shape-to-text:t" inset="0,0,0,0">
                  <w:txbxContent>
                    <w:p w:rsidR="00351382" w:rsidRDefault="002E3E3C">
                      <w:pPr>
                        <w:pStyle w:val="Bodytext30"/>
                        <w:shd w:val="clear" w:color="auto" w:fill="auto"/>
                        <w:spacing w:before="0" w:after="0" w:line="260" w:lineRule="exact"/>
                        <w:jc w:val="left"/>
                      </w:pPr>
                      <w:proofErr w:type="spellStart"/>
                      <w:r>
                        <w:rPr>
                          <w:rStyle w:val="Bodytext3Exact"/>
                          <w:b/>
                          <w:bCs/>
                        </w:rPr>
                        <w:t>Viceministru</w:t>
                      </w:r>
                      <w:proofErr w:type="spellEnd"/>
                    </w:p>
                  </w:txbxContent>
                </v:textbox>
                <w10:wrap type="square" side="right" anchorx="margin"/>
              </v:shape>
            </w:pict>
          </mc:Fallback>
        </mc:AlternateContent>
      </w:r>
      <w:bookmarkStart w:id="1" w:name="bookmark1"/>
      <w:r w:rsidR="002E3E3C">
        <w:t>V</w:t>
      </w:r>
      <w:bookmarkEnd w:id="1"/>
      <w:r w:rsidR="005C1C0B">
        <w:t>italie IURCU</w:t>
      </w:r>
    </w:p>
    <w:sectPr w:rsidR="00351382" w:rsidSect="001B6AB6">
      <w:headerReference w:type="even" r:id="rId8"/>
      <w:headerReference w:type="default" r:id="rId9"/>
      <w:footerReference w:type="even" r:id="rId10"/>
      <w:footerReference w:type="default" r:id="rId11"/>
      <w:headerReference w:type="first" r:id="rId12"/>
      <w:footerReference w:type="first" r:id="rId13"/>
      <w:pgSz w:w="11900" w:h="16840"/>
      <w:pgMar w:top="851" w:right="871" w:bottom="1453" w:left="171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23B" w:rsidRDefault="0031723B">
      <w:r>
        <w:separator/>
      </w:r>
    </w:p>
  </w:endnote>
  <w:endnote w:type="continuationSeparator" w:id="0">
    <w:p w:rsidR="0031723B" w:rsidRDefault="0031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FEE" w:rsidRDefault="00736F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FEE" w:rsidRDefault="00736F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FEE" w:rsidRDefault="00736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23B" w:rsidRDefault="0031723B"/>
  </w:footnote>
  <w:footnote w:type="continuationSeparator" w:id="0">
    <w:p w:rsidR="0031723B" w:rsidRDefault="003172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FEE" w:rsidRDefault="00736F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FEE" w:rsidRDefault="00736F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FEE" w:rsidRDefault="00736F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E56D0"/>
    <w:multiLevelType w:val="multilevel"/>
    <w:tmpl w:val="78C6D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82"/>
    <w:rsid w:val="00057C02"/>
    <w:rsid w:val="00096099"/>
    <w:rsid w:val="000D4F58"/>
    <w:rsid w:val="00153951"/>
    <w:rsid w:val="001B6AB6"/>
    <w:rsid w:val="001D75B7"/>
    <w:rsid w:val="0020262C"/>
    <w:rsid w:val="00226708"/>
    <w:rsid w:val="002B5ACE"/>
    <w:rsid w:val="002E3E3C"/>
    <w:rsid w:val="00307F4A"/>
    <w:rsid w:val="0031723B"/>
    <w:rsid w:val="00351382"/>
    <w:rsid w:val="00420317"/>
    <w:rsid w:val="0044212B"/>
    <w:rsid w:val="004E0A25"/>
    <w:rsid w:val="004E2E2D"/>
    <w:rsid w:val="005400E7"/>
    <w:rsid w:val="0054390B"/>
    <w:rsid w:val="005609BC"/>
    <w:rsid w:val="005C1C0B"/>
    <w:rsid w:val="00667DC4"/>
    <w:rsid w:val="00676FA0"/>
    <w:rsid w:val="006A24C0"/>
    <w:rsid w:val="006D5606"/>
    <w:rsid w:val="00736FEE"/>
    <w:rsid w:val="007D7351"/>
    <w:rsid w:val="00811EE3"/>
    <w:rsid w:val="0082122E"/>
    <w:rsid w:val="00866745"/>
    <w:rsid w:val="00866835"/>
    <w:rsid w:val="00997FFE"/>
    <w:rsid w:val="009A2757"/>
    <w:rsid w:val="009C5BA3"/>
    <w:rsid w:val="009C6304"/>
    <w:rsid w:val="009F579B"/>
    <w:rsid w:val="00A63974"/>
    <w:rsid w:val="00AC3D72"/>
    <w:rsid w:val="00AD2906"/>
    <w:rsid w:val="00AD3E79"/>
    <w:rsid w:val="00BD358A"/>
    <w:rsid w:val="00BE1F81"/>
    <w:rsid w:val="00BF0A88"/>
    <w:rsid w:val="00C456D6"/>
    <w:rsid w:val="00CA0298"/>
    <w:rsid w:val="00CE5FB2"/>
    <w:rsid w:val="00E018C9"/>
    <w:rsid w:val="00E31F60"/>
    <w:rsid w:val="00E92641"/>
    <w:rsid w:val="00EF3060"/>
    <w:rsid w:val="00F74B41"/>
    <w:rsid w:val="00F9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69348-97A3-45F9-BCB6-017042E1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single"/>
      <w:lang w:val="ro-RO" w:eastAsia="ro-RO" w:bidi="ro-RO"/>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4pt">
    <w:name w:val="Body text (2) + 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ro-RO" w:eastAsia="ro-RO" w:bidi="ro-RO"/>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sz w:val="28"/>
      <w:szCs w:val="28"/>
      <w:u w:val="none"/>
    </w:rPr>
  </w:style>
  <w:style w:type="paragraph" w:customStyle="1" w:styleId="Bodytext30">
    <w:name w:val="Body text (3)"/>
    <w:basedOn w:val="Normal"/>
    <w:link w:val="Bodytext3"/>
    <w:pPr>
      <w:shd w:val="clear" w:color="auto" w:fill="FFFFFF"/>
      <w:spacing w:before="60" w:after="240" w:line="312" w:lineRule="exact"/>
      <w:jc w:val="center"/>
    </w:pPr>
    <w:rPr>
      <w:rFonts w:ascii="Times New Roman" w:eastAsia="Times New Roman" w:hAnsi="Times New Roman" w:cs="Times New Roman"/>
      <w:b/>
      <w:bCs/>
      <w:sz w:val="26"/>
      <w:szCs w:val="26"/>
    </w:rPr>
  </w:style>
  <w:style w:type="paragraph" w:customStyle="1" w:styleId="Heading10">
    <w:name w:val="Heading #1"/>
    <w:basedOn w:val="Normal"/>
    <w:link w:val="Heading1"/>
    <w:pPr>
      <w:shd w:val="clear" w:color="auto" w:fill="FFFFFF"/>
      <w:spacing w:after="60" w:line="0" w:lineRule="atLeast"/>
      <w:jc w:val="center"/>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spacing w:before="240" w:after="240" w:line="307" w:lineRule="exact"/>
      <w:jc w:val="both"/>
    </w:pPr>
    <w:rPr>
      <w:rFonts w:ascii="Times New Roman" w:eastAsia="Times New Roman" w:hAnsi="Times New Roman" w:cs="Times New Roman"/>
      <w:sz w:val="26"/>
      <w:szCs w:val="26"/>
    </w:rPr>
  </w:style>
  <w:style w:type="paragraph" w:customStyle="1" w:styleId="Heading120">
    <w:name w:val="Heading #1 (2)"/>
    <w:basedOn w:val="Normal"/>
    <w:link w:val="Heading12"/>
    <w:pPr>
      <w:shd w:val="clear" w:color="auto" w:fill="FFFFFF"/>
      <w:spacing w:before="600" w:line="0" w:lineRule="atLeast"/>
      <w:jc w:val="right"/>
      <w:outlineLvl w:val="0"/>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1B6A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AB6"/>
    <w:rPr>
      <w:rFonts w:ascii="Segoe UI" w:hAnsi="Segoe UI" w:cs="Segoe UI"/>
      <w:color w:val="000000"/>
      <w:sz w:val="18"/>
      <w:szCs w:val="18"/>
    </w:rPr>
  </w:style>
  <w:style w:type="paragraph" w:styleId="Header">
    <w:name w:val="header"/>
    <w:basedOn w:val="Normal"/>
    <w:link w:val="HeaderChar"/>
    <w:uiPriority w:val="99"/>
    <w:unhideWhenUsed/>
    <w:rsid w:val="00736FEE"/>
    <w:pPr>
      <w:tabs>
        <w:tab w:val="center" w:pos="4844"/>
        <w:tab w:val="right" w:pos="9689"/>
      </w:tabs>
    </w:pPr>
  </w:style>
  <w:style w:type="character" w:customStyle="1" w:styleId="HeaderChar">
    <w:name w:val="Header Char"/>
    <w:basedOn w:val="DefaultParagraphFont"/>
    <w:link w:val="Header"/>
    <w:uiPriority w:val="99"/>
    <w:rsid w:val="00736FEE"/>
    <w:rPr>
      <w:color w:val="000000"/>
    </w:rPr>
  </w:style>
  <w:style w:type="paragraph" w:styleId="Footer">
    <w:name w:val="footer"/>
    <w:basedOn w:val="Normal"/>
    <w:link w:val="FooterChar"/>
    <w:uiPriority w:val="99"/>
    <w:unhideWhenUsed/>
    <w:rsid w:val="00736FEE"/>
    <w:pPr>
      <w:tabs>
        <w:tab w:val="center" w:pos="4844"/>
        <w:tab w:val="right" w:pos="9689"/>
      </w:tabs>
    </w:pPr>
  </w:style>
  <w:style w:type="character" w:customStyle="1" w:styleId="FooterChar">
    <w:name w:val="Footer Char"/>
    <w:basedOn w:val="DefaultParagraphFont"/>
    <w:link w:val="Footer"/>
    <w:uiPriority w:val="99"/>
    <w:rsid w:val="00736FE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C35E2-67DD-4477-A9BA-D8B23155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Nicolae</cp:lastModifiedBy>
  <cp:revision>10</cp:revision>
  <cp:lastPrinted>2017-11-06T06:46:00Z</cp:lastPrinted>
  <dcterms:created xsi:type="dcterms:W3CDTF">2017-10-30T15:09:00Z</dcterms:created>
  <dcterms:modified xsi:type="dcterms:W3CDTF">2017-11-29T06:50:00Z</dcterms:modified>
</cp:coreProperties>
</file>