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FD" w:rsidRDefault="009D39FD" w:rsidP="009D39FD">
      <w:pPr>
        <w:jc w:val="both"/>
        <w:rPr>
          <w:b/>
          <w:bCs/>
        </w:rPr>
      </w:pPr>
      <w:r>
        <w:rPr>
          <w:b/>
          <w:bCs/>
        </w:rPr>
        <w:t xml:space="preserve">                                                                                                                                        Proiect</w:t>
      </w:r>
    </w:p>
    <w:p w:rsidR="009D39FD" w:rsidRDefault="009D39FD" w:rsidP="009D39FD">
      <w:pPr>
        <w:jc w:val="both"/>
        <w:rPr>
          <w:b/>
          <w:bCs/>
        </w:rPr>
      </w:pPr>
      <w:r>
        <w:rPr>
          <w:b/>
          <w:bCs/>
        </w:rPr>
        <w:t xml:space="preserve">                                                       </w:t>
      </w:r>
    </w:p>
    <w:p w:rsidR="009D39FD" w:rsidRPr="001B3134" w:rsidRDefault="009D39FD" w:rsidP="009D39FD">
      <w:pPr>
        <w:jc w:val="center"/>
        <w:rPr>
          <w:b/>
          <w:bCs/>
        </w:rPr>
      </w:pPr>
      <w:r w:rsidRPr="001B3134">
        <w:rPr>
          <w:b/>
          <w:bCs/>
        </w:rPr>
        <w:t>H O T Ă R Î R E</w:t>
      </w:r>
    </w:p>
    <w:p w:rsidR="009D39FD" w:rsidRPr="001B3134" w:rsidRDefault="009D39FD" w:rsidP="009D39FD">
      <w:pPr>
        <w:jc w:val="center"/>
      </w:pPr>
      <w:r w:rsidRPr="001B3134">
        <w:rPr>
          <w:b/>
          <w:bCs/>
        </w:rPr>
        <w:t xml:space="preserve">cu privire la instituirea </w:t>
      </w:r>
      <w:r w:rsidRPr="00F652B5">
        <w:rPr>
          <w:b/>
          <w:bCs/>
        </w:rPr>
        <w:t xml:space="preserve">Consiliului naţional pentru problemele </w:t>
      </w:r>
      <w:r>
        <w:rPr>
          <w:b/>
          <w:bCs/>
        </w:rPr>
        <w:t xml:space="preserve">veteranilor de război, </w:t>
      </w:r>
      <w:r w:rsidRPr="00F652B5">
        <w:rPr>
          <w:b/>
          <w:bCs/>
        </w:rPr>
        <w:t xml:space="preserve">participanţilor la conflicte armate </w:t>
      </w:r>
      <w:r>
        <w:rPr>
          <w:b/>
          <w:bCs/>
        </w:rPr>
        <w:t>şi  aprobarea Regulamentului</w:t>
      </w:r>
      <w:r w:rsidRPr="001B3134">
        <w:rPr>
          <w:b/>
          <w:bCs/>
        </w:rPr>
        <w:t xml:space="preserve"> de activi</w:t>
      </w:r>
      <w:r>
        <w:rPr>
          <w:b/>
          <w:bCs/>
        </w:rPr>
        <w:t>tate a acestuia</w:t>
      </w:r>
    </w:p>
    <w:p w:rsidR="009D39FD" w:rsidRPr="001B3134" w:rsidRDefault="009D39FD" w:rsidP="009D39FD">
      <w:pPr>
        <w:jc w:val="both"/>
      </w:pPr>
      <w:r>
        <w:t> </w:t>
      </w:r>
    </w:p>
    <w:p w:rsidR="009D39FD" w:rsidRDefault="009D39FD" w:rsidP="009D39FD">
      <w:pPr>
        <w:jc w:val="both"/>
      </w:pPr>
    </w:p>
    <w:p w:rsidR="009D39FD" w:rsidRDefault="009D39FD" w:rsidP="009D39FD">
      <w:pPr>
        <w:jc w:val="both"/>
      </w:pPr>
      <w:r w:rsidRPr="001B3134">
        <w:t>În scopul asigurării eficiente a protecţiei sociale</w:t>
      </w:r>
      <w:r>
        <w:t xml:space="preserve"> a veteranilor de război, </w:t>
      </w:r>
      <w:r w:rsidRPr="001B3134">
        <w:t>participanţilor la conflic</w:t>
      </w:r>
      <w:r>
        <w:t>te armate</w:t>
      </w:r>
      <w:r w:rsidRPr="001B3134">
        <w:t>,</w:t>
      </w:r>
      <w:r>
        <w:t xml:space="preserve"> stabilite în Legea cu privire la veterani nr.190 din 08.05.2003, </w:t>
      </w:r>
      <w:r w:rsidRPr="001B3134">
        <w:t xml:space="preserve"> Guvernul  </w:t>
      </w:r>
    </w:p>
    <w:p w:rsidR="009D39FD" w:rsidRPr="001B3134" w:rsidRDefault="009D39FD" w:rsidP="009D39FD">
      <w:pPr>
        <w:jc w:val="both"/>
      </w:pPr>
    </w:p>
    <w:p w:rsidR="009D39FD" w:rsidRPr="001B3134" w:rsidRDefault="009D39FD" w:rsidP="009D39FD">
      <w:pPr>
        <w:jc w:val="both"/>
        <w:rPr>
          <w:b/>
          <w:bCs/>
        </w:rPr>
      </w:pPr>
      <w:r>
        <w:rPr>
          <w:b/>
          <w:bCs/>
        </w:rPr>
        <w:t xml:space="preserve">                                                               </w:t>
      </w:r>
      <w:r w:rsidRPr="001B3134">
        <w:rPr>
          <w:b/>
          <w:bCs/>
        </w:rPr>
        <w:t xml:space="preserve">HOTĂRĂŞTE: </w:t>
      </w:r>
    </w:p>
    <w:p w:rsidR="009D39FD" w:rsidRPr="001B3134" w:rsidRDefault="009D39FD" w:rsidP="009D39FD">
      <w:pPr>
        <w:jc w:val="both"/>
      </w:pPr>
      <w:r w:rsidRPr="001B3134">
        <w:rPr>
          <w:b/>
          <w:bCs/>
        </w:rPr>
        <w:t>1.</w:t>
      </w:r>
      <w:r w:rsidRPr="001B3134">
        <w:t xml:space="preserve"> Se instituie: </w:t>
      </w:r>
    </w:p>
    <w:p w:rsidR="009D39FD" w:rsidRDefault="009D39FD" w:rsidP="009D39FD">
      <w:pPr>
        <w:jc w:val="both"/>
      </w:pPr>
      <w:r w:rsidRPr="001B3134">
        <w:t xml:space="preserve">Consiliul naţional pentru problemele </w:t>
      </w:r>
      <w:r>
        <w:t xml:space="preserve">veteranilor de război, </w:t>
      </w:r>
      <w:r w:rsidRPr="001B3134">
        <w:t>participanţilor la conflicte armate</w:t>
      </w:r>
      <w:r>
        <w:t>.</w:t>
      </w:r>
    </w:p>
    <w:p w:rsidR="009D39FD" w:rsidRDefault="009D39FD" w:rsidP="009D39FD">
      <w:pPr>
        <w:jc w:val="both"/>
      </w:pPr>
      <w:r w:rsidRPr="00C21EDB">
        <w:rPr>
          <w:b/>
        </w:rPr>
        <w:t>2.</w:t>
      </w:r>
      <w:r>
        <w:t xml:space="preserve"> S</w:t>
      </w:r>
      <w:r w:rsidRPr="001B3134">
        <w:t>e aprobă</w:t>
      </w:r>
      <w:r>
        <w:t>:</w:t>
      </w:r>
    </w:p>
    <w:p w:rsidR="009D39FD" w:rsidRDefault="009D39FD" w:rsidP="009D39FD">
      <w:pPr>
        <w:jc w:val="both"/>
      </w:pPr>
      <w:r>
        <w:t xml:space="preserve">Componenţa  nominală a </w:t>
      </w:r>
      <w:r w:rsidRPr="00947115">
        <w:t>Consiliul naţional pentru problemele veteranilor de război, participanţilor la conflicte armate</w:t>
      </w:r>
      <w:r>
        <w:t>, conform anexei nr.1</w:t>
      </w:r>
      <w:r w:rsidRPr="001B3134">
        <w:t>;  </w:t>
      </w:r>
    </w:p>
    <w:p w:rsidR="009D39FD" w:rsidRDefault="009D39FD" w:rsidP="009D39FD">
      <w:pPr>
        <w:jc w:val="both"/>
      </w:pPr>
      <w:r w:rsidRPr="00947115">
        <w:t xml:space="preserve">Regulamentul de activitate a Consiliului naţional pentru problemele veteranilor de război, participanţilor la conflicte armate, conform anexei nr.2. </w:t>
      </w:r>
    </w:p>
    <w:p w:rsidR="009D39FD" w:rsidRDefault="009D39FD" w:rsidP="009D39FD">
      <w:pPr>
        <w:jc w:val="both"/>
      </w:pPr>
      <w:r>
        <w:rPr>
          <w:b/>
          <w:bCs/>
        </w:rPr>
        <w:t>3</w:t>
      </w:r>
      <w:r w:rsidRPr="001B3134">
        <w:rPr>
          <w:b/>
          <w:bCs/>
        </w:rPr>
        <w:t>.</w:t>
      </w:r>
      <w:r w:rsidRPr="001B3134">
        <w:t xml:space="preserve"> Se stabileşte că, în cazul eliberării din funcţie a </w:t>
      </w:r>
      <w:r>
        <w:t xml:space="preserve">membrilor </w:t>
      </w:r>
      <w:r w:rsidRPr="00947115">
        <w:t>Consiliul naţional pentru problemele veteranilor de război, participanţilor la conflicte armate,</w:t>
      </w:r>
      <w:r>
        <w:t xml:space="preserve"> atribuţiile lor în cadrul acestuia vor fi exercitate de persoanele nou-desenate în funcţiile respective, fără emiterea altei hotărâri de Guvern.</w:t>
      </w:r>
    </w:p>
    <w:p w:rsidR="009D39FD" w:rsidRPr="001B3134" w:rsidRDefault="009D39FD" w:rsidP="009D39FD">
      <w:pPr>
        <w:jc w:val="both"/>
      </w:pPr>
      <w:r w:rsidRPr="00C21EDB">
        <w:rPr>
          <w:b/>
        </w:rPr>
        <w:t>4.</w:t>
      </w:r>
      <w:r>
        <w:t xml:space="preserve"> Se abrogă unele hotărâri ale Guvernului, conform anexei nr.3.</w:t>
      </w:r>
    </w:p>
    <w:p w:rsidR="009D39FD" w:rsidRPr="001B3134" w:rsidRDefault="009D39FD" w:rsidP="009D39FD">
      <w:pPr>
        <w:jc w:val="both"/>
      </w:pPr>
    </w:p>
    <w:tbl>
      <w:tblPr>
        <w:tblW w:w="3898" w:type="pct"/>
        <w:tblInd w:w="567" w:type="dxa"/>
        <w:tblCellMar>
          <w:top w:w="15" w:type="dxa"/>
          <w:left w:w="15" w:type="dxa"/>
          <w:bottom w:w="15" w:type="dxa"/>
          <w:right w:w="15" w:type="dxa"/>
        </w:tblCellMar>
        <w:tblLook w:val="00A0" w:firstRow="1" w:lastRow="0" w:firstColumn="1" w:lastColumn="0" w:noHBand="0" w:noVBand="0"/>
      </w:tblPr>
      <w:tblGrid>
        <w:gridCol w:w="3989"/>
        <w:gridCol w:w="3304"/>
      </w:tblGrid>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 xml:space="preserve">PRIM-MINISTRU </w:t>
            </w:r>
          </w:p>
        </w:tc>
        <w:tc>
          <w:tcPr>
            <w:tcW w:w="226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 xml:space="preserve">Pavel FILIP </w:t>
            </w:r>
          </w:p>
        </w:tc>
      </w:tr>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br/>
              <w:t xml:space="preserve">Contrasemnează: </w:t>
            </w:r>
          </w:p>
        </w:tc>
        <w:tc>
          <w:tcPr>
            <w:tcW w:w="2265" w:type="pct"/>
            <w:vAlign w:val="center"/>
          </w:tcPr>
          <w:p w:rsidR="009D39FD" w:rsidRPr="003C696D" w:rsidRDefault="009D39FD" w:rsidP="00DC08FE">
            <w:pPr>
              <w:jc w:val="both"/>
            </w:pPr>
          </w:p>
        </w:tc>
      </w:tr>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Ministrul Afacerilor Interne</w:t>
            </w:r>
          </w:p>
        </w:tc>
        <w:tc>
          <w:tcPr>
            <w:tcW w:w="226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Alexandru Jizdan</w:t>
            </w:r>
          </w:p>
        </w:tc>
      </w:tr>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Ministrul Apărării</w:t>
            </w:r>
          </w:p>
        </w:tc>
        <w:tc>
          <w:tcPr>
            <w:tcW w:w="226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Eugen Sturza</w:t>
            </w:r>
          </w:p>
        </w:tc>
      </w:tr>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br/>
              <w:t xml:space="preserve">Chişinău, ___  noiembrie 2017. </w:t>
            </w:r>
          </w:p>
        </w:tc>
        <w:tc>
          <w:tcPr>
            <w:tcW w:w="2265" w:type="pct"/>
            <w:vAlign w:val="center"/>
          </w:tcPr>
          <w:p w:rsidR="009D39FD" w:rsidRPr="003C696D" w:rsidRDefault="009D39FD" w:rsidP="00DC08FE">
            <w:pPr>
              <w:jc w:val="both"/>
            </w:pPr>
          </w:p>
        </w:tc>
      </w:tr>
      <w:tr w:rsidR="009D39FD" w:rsidRPr="003C696D" w:rsidTr="00DC08FE">
        <w:tc>
          <w:tcPr>
            <w:tcW w:w="2735" w:type="pct"/>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bCs/>
              </w:rPr>
            </w:pPr>
            <w:r w:rsidRPr="003C696D">
              <w:rPr>
                <w:b/>
                <w:bCs/>
              </w:rPr>
              <w:t>Nr.____   .</w:t>
            </w:r>
          </w:p>
        </w:tc>
        <w:tc>
          <w:tcPr>
            <w:tcW w:w="2265" w:type="pct"/>
            <w:vAlign w:val="center"/>
          </w:tcPr>
          <w:p w:rsidR="009D39FD" w:rsidRPr="003C696D" w:rsidRDefault="009D39FD" w:rsidP="00DC08FE">
            <w:pPr>
              <w:jc w:val="both"/>
            </w:pPr>
          </w:p>
        </w:tc>
      </w:tr>
    </w:tbl>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Pr="001B3134" w:rsidRDefault="009D39FD" w:rsidP="009D39FD">
      <w:pPr>
        <w:jc w:val="both"/>
      </w:pPr>
    </w:p>
    <w:p w:rsidR="009D39FD" w:rsidRPr="001B3134" w:rsidRDefault="009D39FD" w:rsidP="009D39FD">
      <w:pPr>
        <w:jc w:val="both"/>
        <w:rPr>
          <w:b/>
          <w:bCs/>
        </w:rPr>
      </w:pPr>
      <w:r>
        <w:lastRenderedPageBreak/>
        <w:t xml:space="preserve">                                                                                                                                         </w:t>
      </w:r>
      <w:r w:rsidRPr="001B3134">
        <w:t xml:space="preserve">Anexa nr.1 </w:t>
      </w:r>
      <w:r w:rsidRPr="001B3134">
        <w:rPr>
          <w:b/>
          <w:bCs/>
        </w:rPr>
        <w:t> </w:t>
      </w:r>
    </w:p>
    <w:p w:rsidR="009D39FD" w:rsidRDefault="009D39FD" w:rsidP="009D39FD">
      <w:pPr>
        <w:jc w:val="both"/>
        <w:rPr>
          <w:b/>
          <w:bCs/>
        </w:rPr>
      </w:pPr>
    </w:p>
    <w:p w:rsidR="009D39FD" w:rsidRDefault="009D39FD" w:rsidP="009D39FD">
      <w:pPr>
        <w:jc w:val="center"/>
        <w:rPr>
          <w:b/>
          <w:bCs/>
        </w:rPr>
      </w:pPr>
      <w:r>
        <w:rPr>
          <w:b/>
          <w:bCs/>
        </w:rPr>
        <w:t>Componenţa Nominală</w:t>
      </w:r>
    </w:p>
    <w:p w:rsidR="009D39FD" w:rsidRDefault="009D39FD" w:rsidP="009D39FD">
      <w:pPr>
        <w:jc w:val="center"/>
      </w:pPr>
      <w:r w:rsidRPr="001B3134">
        <w:rPr>
          <w:b/>
          <w:bCs/>
        </w:rPr>
        <w:t xml:space="preserve">a Consiliului naţional pentru problemele </w:t>
      </w:r>
      <w:r>
        <w:rPr>
          <w:b/>
          <w:bCs/>
        </w:rPr>
        <w:t xml:space="preserve">veteranilor de război, </w:t>
      </w:r>
      <w:r w:rsidRPr="001B3134">
        <w:rPr>
          <w:b/>
          <w:bCs/>
        </w:rPr>
        <w:t>participanţilor la conflicte armate</w:t>
      </w:r>
    </w:p>
    <w:p w:rsidR="009D39FD" w:rsidRPr="00E16FC6" w:rsidRDefault="009D39FD" w:rsidP="009D39FD">
      <w:pPr>
        <w:jc w:val="both"/>
        <w:rPr>
          <w:b/>
          <w:bCs/>
        </w:rPr>
      </w:pPr>
    </w:p>
    <w:tbl>
      <w:tblPr>
        <w:tblW w:w="0" w:type="auto"/>
        <w:tblInd w:w="45" w:type="dxa"/>
        <w:tblCellMar>
          <w:top w:w="15" w:type="dxa"/>
          <w:left w:w="15" w:type="dxa"/>
          <w:bottom w:w="15" w:type="dxa"/>
          <w:right w:w="15" w:type="dxa"/>
        </w:tblCellMar>
        <w:tblLook w:val="00A0" w:firstRow="1" w:lastRow="0" w:firstColumn="1" w:lastColumn="0" w:noHBand="0" w:noVBand="0"/>
      </w:tblPr>
      <w:tblGrid>
        <w:gridCol w:w="2007"/>
        <w:gridCol w:w="7303"/>
      </w:tblGrid>
      <w:tr w:rsidR="009D39FD" w:rsidRPr="003C696D" w:rsidTr="00DC08FE">
        <w:trPr>
          <w:trHeight w:val="687"/>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Alexandru Jizdan</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ministru al afacerilor interne, preşedinte al Consiliului</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xml:space="preserve">Lilia Palii </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al guvernului, vicepreşedinte al Consiliului</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xml:space="preserve">Igor Cutie </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şef al Marelui Stat Major al Armatei Naţionale, comandant al Armatei Naţionale, vicepreşedinte al Consiliului, general de brigadă</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015BA1" w:rsidRDefault="009D39FD" w:rsidP="00DC08FE">
            <w:pPr>
              <w:jc w:val="both"/>
            </w:pPr>
            <w:r w:rsidRPr="00015BA1">
              <w:t>Cristina Lesnic</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rPr>
                <w:b/>
                <w:i/>
              </w:rPr>
            </w:pPr>
            <w:r w:rsidRPr="003C696D">
              <w:rPr>
                <w:b/>
                <w:i/>
              </w:rPr>
              <w:t xml:space="preserve">– </w:t>
            </w:r>
            <w:r w:rsidRPr="003C696D">
              <w:t>şef direcţia analiză, monitorizare şi evaluare a politicilor a ministerului afacerilor interne, secretar al Consiliului</w:t>
            </w:r>
            <w:r w:rsidRPr="003C696D">
              <w:rPr>
                <w:b/>
                <w:i/>
              </w:rPr>
              <w:t xml:space="preserve"> </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Costin Iulia</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economiei şi infrastructurii</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t>Ion Chicu</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finanţelor</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Munteanu Anatolie</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justiţiei</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t>Simion Carp</w:t>
            </w:r>
            <w:r w:rsidRPr="003C696D">
              <w:t xml:space="preserve"> </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afacerilor interne</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Burduja Radu</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apărării</w:t>
            </w:r>
          </w:p>
        </w:tc>
      </w:tr>
      <w:tr w:rsidR="009D39FD" w:rsidRPr="003C696D" w:rsidTr="00DC08FE">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Şarov Igor</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educaţiei, culturii şi cercetării</w:t>
            </w:r>
          </w:p>
        </w:tc>
      </w:tr>
      <w:tr w:rsidR="009D39FD" w:rsidRPr="003C696D" w:rsidTr="00DC08FE">
        <w:trPr>
          <w:trHeight w:val="660"/>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Gîlcă Boris</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secretar general de stat al ministerului sănătăţii, muncii şi protecţiei sociale</w:t>
            </w:r>
          </w:p>
        </w:tc>
      </w:tr>
      <w:tr w:rsidR="009D39FD" w:rsidRPr="003C696D" w:rsidTr="00DC08FE">
        <w:trPr>
          <w:trHeight w:val="660"/>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Grecu Laura</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preşedinte al Casei Naţionale de Asigurări Sociale</w:t>
            </w:r>
          </w:p>
        </w:tc>
      </w:tr>
      <w:tr w:rsidR="009D39FD" w:rsidRPr="003C696D" w:rsidTr="00DC08FE">
        <w:trPr>
          <w:trHeight w:val="660"/>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Parfentiev Dmitrii</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director general al Companiei Naţionale de Asigurări în Medicină</w:t>
            </w:r>
          </w:p>
        </w:tc>
      </w:tr>
      <w:tr w:rsidR="009D39FD" w:rsidRPr="003C696D" w:rsidTr="00DC08FE">
        <w:trPr>
          <w:trHeight w:val="660"/>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Dogaru Raisa</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t>-</w:t>
            </w:r>
            <w:r w:rsidRPr="003C696D">
              <w:t xml:space="preserve"> director Agenţia Naţională pentru Ocuparea Forţei de Muncă</w:t>
            </w:r>
          </w:p>
        </w:tc>
      </w:tr>
      <w:tr w:rsidR="009D39FD" w:rsidRPr="003C696D" w:rsidTr="00DC08FE">
        <w:trPr>
          <w:trHeight w:val="435"/>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Spataru Călin</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t>- reprezentant al S</w:t>
            </w:r>
            <w:r w:rsidRPr="003C696D">
              <w:t xml:space="preserve">erviciului de </w:t>
            </w:r>
            <w:r>
              <w:t>I</w:t>
            </w:r>
            <w:r w:rsidRPr="003C696D">
              <w:t xml:space="preserve">nformaţii şi </w:t>
            </w:r>
            <w:r>
              <w:t>S</w:t>
            </w:r>
            <w:r w:rsidRPr="003C696D">
              <w:t>ecuritate</w:t>
            </w:r>
          </w:p>
        </w:tc>
      </w:tr>
      <w:tr w:rsidR="009D39FD" w:rsidRPr="003C696D" w:rsidTr="00DC08FE">
        <w:trPr>
          <w:trHeight w:val="507"/>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Rusu Viorel</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w:t>
            </w:r>
            <w:r w:rsidRPr="00137455">
              <w:rPr>
                <w:sz w:val="28"/>
                <w:szCs w:val="28"/>
                <w:lang w:eastAsia="ro-RO"/>
              </w:rPr>
              <w:t xml:space="preserve"> </w:t>
            </w:r>
            <w:r w:rsidRPr="003C696D">
              <w:t>reprezentantul Congresului Autorităților Locale din Moldova</w:t>
            </w:r>
          </w:p>
        </w:tc>
      </w:tr>
      <w:tr w:rsidR="009D39FD" w:rsidRPr="003C696D" w:rsidTr="00DC08FE">
        <w:trPr>
          <w:trHeight w:val="65"/>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Gîrbu Oleg</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şef serviciu securitate şi integritate, cancelaria de stat</w:t>
            </w:r>
          </w:p>
        </w:tc>
      </w:tr>
      <w:tr w:rsidR="009D39FD" w:rsidRPr="003C696D" w:rsidTr="00DC08FE">
        <w:trPr>
          <w:trHeight w:val="65"/>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Coropcean Ion</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consilier principal de stat al Prim-ministrului</w:t>
            </w:r>
          </w:p>
        </w:tc>
      </w:tr>
      <w:tr w:rsidR="009D39FD" w:rsidRPr="003C696D" w:rsidTr="00DC08FE">
        <w:trPr>
          <w:trHeight w:val="65"/>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Gvidiani Alin</w:t>
            </w: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biroul politici de reintegrare, cancelaria de stat</w:t>
            </w:r>
          </w:p>
        </w:tc>
      </w:tr>
      <w:tr w:rsidR="009D39FD" w:rsidRPr="003C696D" w:rsidTr="00DC08FE">
        <w:trPr>
          <w:trHeight w:val="65"/>
        </w:trPr>
        <w:tc>
          <w:tcPr>
            <w:tcW w:w="2070"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p>
        </w:tc>
        <w:tc>
          <w:tcPr>
            <w:tcW w:w="7721" w:type="dxa"/>
            <w:tcBorders>
              <w:top w:val="nil"/>
              <w:left w:val="nil"/>
              <w:bottom w:val="nil"/>
              <w:right w:val="nil"/>
            </w:tcBorders>
            <w:tcMar>
              <w:top w:w="15" w:type="dxa"/>
              <w:left w:w="45" w:type="dxa"/>
              <w:bottom w:w="15" w:type="dxa"/>
              <w:right w:w="45" w:type="dxa"/>
            </w:tcMar>
          </w:tcPr>
          <w:p w:rsidR="009D39FD" w:rsidRPr="003C696D" w:rsidRDefault="009D39FD" w:rsidP="00DC08FE">
            <w:pPr>
              <w:jc w:val="both"/>
            </w:pPr>
            <w:r w:rsidRPr="003C696D">
              <w:t>- Persoanele din rândul organizaţiilor obşteşti a căror sferă de activitate cuprinde problemele veteranilor de război, participanţilor la acţiunile de luptă</w:t>
            </w:r>
            <w:r>
              <w:t xml:space="preserve">, (vor fi desemnaţi la etapa coordonării proiectului în Guvern) </w:t>
            </w:r>
            <w:r w:rsidRPr="003C696D">
              <w:t xml:space="preserve"> </w:t>
            </w:r>
          </w:p>
        </w:tc>
      </w:tr>
    </w:tbl>
    <w:p w:rsidR="009D39FD" w:rsidRDefault="009D39FD" w:rsidP="009D39FD">
      <w:pPr>
        <w:jc w:val="both"/>
      </w:pPr>
      <w:r>
        <w:t xml:space="preserve">                                                                                                                                         </w:t>
      </w:r>
    </w:p>
    <w:p w:rsidR="009D39FD" w:rsidRDefault="009D39FD" w:rsidP="009D39FD">
      <w:pPr>
        <w:jc w:val="both"/>
      </w:pPr>
      <w:r>
        <w:t xml:space="preserve">                                                                                                                                         </w:t>
      </w: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Default="009D39FD" w:rsidP="009D39FD">
      <w:pPr>
        <w:jc w:val="both"/>
      </w:pPr>
    </w:p>
    <w:p w:rsidR="009D39FD" w:rsidRPr="001B3134" w:rsidRDefault="009D39FD" w:rsidP="009D39FD">
      <w:pPr>
        <w:ind w:left="7080" w:firstLine="708"/>
        <w:jc w:val="both"/>
      </w:pPr>
      <w:r w:rsidRPr="001B3134">
        <w:t>Anexa nr.2 </w:t>
      </w:r>
    </w:p>
    <w:p w:rsidR="009D39FD" w:rsidRDefault="009D39FD" w:rsidP="009D39FD">
      <w:pPr>
        <w:jc w:val="center"/>
        <w:rPr>
          <w:b/>
          <w:bCs/>
          <w:sz w:val="28"/>
          <w:szCs w:val="28"/>
        </w:rPr>
      </w:pPr>
    </w:p>
    <w:p w:rsidR="009D39FD" w:rsidRPr="00E31260" w:rsidRDefault="009D39FD" w:rsidP="009D39FD">
      <w:pPr>
        <w:jc w:val="center"/>
        <w:rPr>
          <w:b/>
          <w:bCs/>
          <w:sz w:val="28"/>
          <w:szCs w:val="28"/>
        </w:rPr>
      </w:pPr>
      <w:r w:rsidRPr="00E31260">
        <w:rPr>
          <w:b/>
          <w:bCs/>
          <w:sz w:val="28"/>
          <w:szCs w:val="28"/>
        </w:rPr>
        <w:t>REGULAMENTUL</w:t>
      </w:r>
    </w:p>
    <w:p w:rsidR="009D39FD" w:rsidRPr="00E31260" w:rsidRDefault="009D39FD" w:rsidP="009D39FD">
      <w:pPr>
        <w:jc w:val="center"/>
        <w:rPr>
          <w:b/>
          <w:bCs/>
          <w:sz w:val="28"/>
          <w:szCs w:val="28"/>
        </w:rPr>
      </w:pPr>
      <w:r w:rsidRPr="00E31260">
        <w:rPr>
          <w:b/>
          <w:bCs/>
          <w:sz w:val="28"/>
          <w:szCs w:val="28"/>
        </w:rPr>
        <w:t>de activitate a Consiliului naţional pentru problemele veteranilor de război, participanţilor la conflicte armate</w:t>
      </w:r>
    </w:p>
    <w:p w:rsidR="009D39FD" w:rsidRPr="00E31260" w:rsidRDefault="009D39FD" w:rsidP="009D39FD">
      <w:pPr>
        <w:rPr>
          <w:sz w:val="28"/>
          <w:szCs w:val="28"/>
        </w:rPr>
      </w:pPr>
    </w:p>
    <w:p w:rsidR="009D39FD" w:rsidRPr="00E31260" w:rsidRDefault="009D39FD" w:rsidP="009D39FD">
      <w:pPr>
        <w:jc w:val="center"/>
        <w:rPr>
          <w:b/>
          <w:bCs/>
          <w:sz w:val="28"/>
          <w:szCs w:val="28"/>
        </w:rPr>
      </w:pPr>
      <w:r w:rsidRPr="00E31260">
        <w:rPr>
          <w:b/>
          <w:bCs/>
          <w:sz w:val="28"/>
          <w:szCs w:val="28"/>
        </w:rPr>
        <w:t>I. DISPOZIŢII GENERALE</w:t>
      </w:r>
    </w:p>
    <w:p w:rsidR="009D39FD" w:rsidRPr="001B3134" w:rsidRDefault="009D39FD" w:rsidP="009D39FD">
      <w:pPr>
        <w:jc w:val="center"/>
        <w:rPr>
          <w:b/>
          <w:bCs/>
        </w:rPr>
      </w:pPr>
    </w:p>
    <w:p w:rsidR="009D39FD" w:rsidRPr="00E31260" w:rsidRDefault="009D39FD" w:rsidP="009D39FD">
      <w:pPr>
        <w:numPr>
          <w:ilvl w:val="0"/>
          <w:numId w:val="1"/>
        </w:numPr>
        <w:tabs>
          <w:tab w:val="clear" w:pos="720"/>
        </w:tabs>
        <w:ind w:left="0" w:firstLine="360"/>
        <w:jc w:val="both"/>
        <w:rPr>
          <w:sz w:val="28"/>
          <w:szCs w:val="28"/>
        </w:rPr>
      </w:pPr>
      <w:r w:rsidRPr="00E31260">
        <w:rPr>
          <w:sz w:val="28"/>
          <w:szCs w:val="28"/>
        </w:rPr>
        <w:t xml:space="preserve">Consiliul naţional pentru problemele veteranilor de război, participanţilor la conflicte armate (denumit în continuare Consiliul) este un organ colegial consultativ, instituit în scopul coordonării politicii de stat, programelor, planurilor şi acţiunilor de protecţie socială a participanţilor la conflicte armate, precum şi al asigurării pentru această categorie de populaţie a posibilităţilor egale de realizare a drepturilor şi libertăţilor constituţionale. </w:t>
      </w:r>
    </w:p>
    <w:p w:rsidR="009D39FD" w:rsidRPr="00E31260" w:rsidRDefault="009D39FD" w:rsidP="009D39FD">
      <w:pPr>
        <w:numPr>
          <w:ilvl w:val="0"/>
          <w:numId w:val="1"/>
        </w:numPr>
        <w:tabs>
          <w:tab w:val="clear" w:pos="720"/>
        </w:tabs>
        <w:ind w:left="0" w:firstLine="360"/>
        <w:jc w:val="both"/>
        <w:rPr>
          <w:sz w:val="28"/>
          <w:szCs w:val="28"/>
        </w:rPr>
      </w:pPr>
      <w:r w:rsidRPr="00E31260">
        <w:rPr>
          <w:sz w:val="28"/>
          <w:szCs w:val="28"/>
        </w:rPr>
        <w:t xml:space="preserve">În executarea atribuţiilor sale, Consiliul se conduce de prevederile actelor normative naţionale şi acordurilor internaţionale în domeniu la care Republica Moldova este parte. </w:t>
      </w:r>
    </w:p>
    <w:p w:rsidR="009D39FD" w:rsidRPr="00E31260" w:rsidRDefault="009D39FD" w:rsidP="009D39FD">
      <w:pPr>
        <w:numPr>
          <w:ilvl w:val="0"/>
          <w:numId w:val="1"/>
        </w:numPr>
        <w:tabs>
          <w:tab w:val="clear" w:pos="720"/>
        </w:tabs>
        <w:ind w:left="0" w:firstLine="360"/>
        <w:jc w:val="both"/>
        <w:rPr>
          <w:b/>
          <w:i/>
          <w:sz w:val="28"/>
          <w:szCs w:val="28"/>
        </w:rPr>
      </w:pPr>
      <w:r w:rsidRPr="00E31260">
        <w:rPr>
          <w:sz w:val="28"/>
          <w:szCs w:val="28"/>
        </w:rPr>
        <w:t>În componenţa Consiliului,</w:t>
      </w:r>
      <w:r w:rsidRPr="00E31260">
        <w:rPr>
          <w:b/>
          <w:i/>
          <w:sz w:val="28"/>
          <w:szCs w:val="28"/>
        </w:rPr>
        <w:t xml:space="preserve"> în calitate de membri,  </w:t>
      </w:r>
      <w:r w:rsidRPr="00E31260">
        <w:rPr>
          <w:sz w:val="28"/>
          <w:szCs w:val="28"/>
        </w:rPr>
        <w:t xml:space="preserve">intră reprezentanţi ai autorităţilor administraţiei publice centrale şi locale, precum şi reprezentanţi ai organizaţiilor obşteşti a căror sferă de activitate cuprinde problemele veteranilor de răzbi, participanţilor la conflicte armate. </w:t>
      </w:r>
    </w:p>
    <w:p w:rsidR="009D39FD" w:rsidRPr="00E31260" w:rsidRDefault="009D39FD" w:rsidP="009D39FD">
      <w:pPr>
        <w:numPr>
          <w:ilvl w:val="0"/>
          <w:numId w:val="1"/>
        </w:numPr>
        <w:tabs>
          <w:tab w:val="clear" w:pos="720"/>
        </w:tabs>
        <w:ind w:left="0" w:firstLine="360"/>
        <w:jc w:val="both"/>
        <w:rPr>
          <w:b/>
          <w:bCs/>
          <w:sz w:val="28"/>
          <w:szCs w:val="28"/>
        </w:rPr>
      </w:pPr>
      <w:r w:rsidRPr="00E31260">
        <w:rPr>
          <w:sz w:val="28"/>
          <w:szCs w:val="28"/>
        </w:rPr>
        <w:t xml:space="preserve">Consiliul reprezintă Republica Moldova, în modul stabilit, în relaţiile cu organismele internaţionale al căror obiect de activitate include protecţia socială a participanţilor la conflicte armate. </w:t>
      </w:r>
      <w:r w:rsidRPr="00E31260">
        <w:rPr>
          <w:b/>
          <w:bCs/>
          <w:sz w:val="28"/>
          <w:szCs w:val="28"/>
        </w:rPr>
        <w:t> </w:t>
      </w:r>
    </w:p>
    <w:p w:rsidR="009D39FD" w:rsidRPr="00E31260" w:rsidRDefault="009D39FD" w:rsidP="009D39FD">
      <w:pPr>
        <w:jc w:val="center"/>
        <w:rPr>
          <w:b/>
          <w:bCs/>
          <w:sz w:val="28"/>
          <w:szCs w:val="28"/>
        </w:rPr>
      </w:pPr>
    </w:p>
    <w:p w:rsidR="009D39FD" w:rsidRDefault="009D39FD" w:rsidP="009D39FD">
      <w:pPr>
        <w:jc w:val="center"/>
        <w:rPr>
          <w:b/>
          <w:bCs/>
          <w:sz w:val="28"/>
          <w:szCs w:val="28"/>
        </w:rPr>
      </w:pPr>
      <w:r w:rsidRPr="00E31260">
        <w:rPr>
          <w:b/>
          <w:bCs/>
          <w:sz w:val="28"/>
          <w:szCs w:val="28"/>
        </w:rPr>
        <w:t>II. SARCINILE CONSILIULUI</w:t>
      </w:r>
    </w:p>
    <w:p w:rsidR="009D39FD" w:rsidRPr="00E31260" w:rsidRDefault="009D39FD" w:rsidP="009D39FD">
      <w:pPr>
        <w:jc w:val="center"/>
        <w:rPr>
          <w:b/>
          <w:bCs/>
          <w:sz w:val="28"/>
          <w:szCs w:val="28"/>
        </w:rPr>
      </w:pPr>
    </w:p>
    <w:p w:rsidR="009D39FD" w:rsidRPr="00E31260" w:rsidRDefault="009D39FD" w:rsidP="009D39FD">
      <w:pPr>
        <w:numPr>
          <w:ilvl w:val="0"/>
          <w:numId w:val="1"/>
        </w:numPr>
        <w:tabs>
          <w:tab w:val="clear" w:pos="720"/>
        </w:tabs>
        <w:jc w:val="both"/>
        <w:rPr>
          <w:sz w:val="28"/>
          <w:szCs w:val="28"/>
        </w:rPr>
      </w:pPr>
      <w:r w:rsidRPr="00E31260">
        <w:rPr>
          <w:sz w:val="28"/>
          <w:szCs w:val="28"/>
        </w:rPr>
        <w:t xml:space="preserve">Principalele sarcini ale Consiliului sânt următoarele: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participarea, în limitele competenţelor, la procesul de elaborare şi realizare a reformelor în sfera socială;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coordonarea politicii naţionale privind protecţia socială a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determinarea şi participarea la implementarea celor mai eficiente modalităţi de asistenţă socială a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participarea la elaborarea şi realizarea programelor de stat privind protecţia socială a participanţilor la conflicte armate; </w:t>
      </w:r>
    </w:p>
    <w:p w:rsidR="009D39FD" w:rsidRPr="00E31260" w:rsidRDefault="009D39FD" w:rsidP="009D39FD">
      <w:pPr>
        <w:numPr>
          <w:ilvl w:val="1"/>
          <w:numId w:val="1"/>
        </w:numPr>
        <w:tabs>
          <w:tab w:val="clear" w:pos="1440"/>
        </w:tabs>
        <w:ind w:left="880"/>
        <w:jc w:val="both"/>
        <w:rPr>
          <w:b/>
          <w:bCs/>
          <w:sz w:val="28"/>
          <w:szCs w:val="28"/>
        </w:rPr>
      </w:pPr>
      <w:r w:rsidRPr="00E31260">
        <w:rPr>
          <w:sz w:val="28"/>
          <w:szCs w:val="28"/>
        </w:rPr>
        <w:t xml:space="preserve">participarea, în limitele competenţelor, în comun cu organele de resort, la elaborarea proiectelor de acte normative privind protecţia socială a participanţilor la conflicte armate. </w:t>
      </w:r>
      <w:r w:rsidRPr="00E31260">
        <w:rPr>
          <w:b/>
          <w:bCs/>
          <w:sz w:val="28"/>
          <w:szCs w:val="28"/>
        </w:rPr>
        <w:t> </w:t>
      </w:r>
    </w:p>
    <w:p w:rsidR="009D39FD" w:rsidRDefault="009D39FD" w:rsidP="009D39FD">
      <w:pPr>
        <w:jc w:val="center"/>
        <w:rPr>
          <w:b/>
          <w:bCs/>
          <w:sz w:val="28"/>
          <w:szCs w:val="28"/>
        </w:rPr>
      </w:pPr>
    </w:p>
    <w:p w:rsidR="009D39FD" w:rsidRDefault="009D39FD" w:rsidP="009D39FD">
      <w:pPr>
        <w:jc w:val="center"/>
        <w:rPr>
          <w:b/>
          <w:bCs/>
          <w:sz w:val="28"/>
          <w:szCs w:val="28"/>
        </w:rPr>
      </w:pPr>
      <w:r w:rsidRPr="00E31260">
        <w:rPr>
          <w:b/>
          <w:bCs/>
          <w:sz w:val="28"/>
          <w:szCs w:val="28"/>
        </w:rPr>
        <w:t>III. ATRIBUŢIILE ŞI COMPETENŢELE CONSILIULUI</w:t>
      </w:r>
    </w:p>
    <w:p w:rsidR="009D39FD" w:rsidRPr="00E31260" w:rsidRDefault="009D39FD" w:rsidP="009D39FD">
      <w:pPr>
        <w:jc w:val="center"/>
        <w:rPr>
          <w:b/>
          <w:bCs/>
          <w:sz w:val="28"/>
          <w:szCs w:val="28"/>
        </w:rPr>
      </w:pPr>
    </w:p>
    <w:p w:rsidR="009D39FD" w:rsidRPr="00E31260" w:rsidRDefault="009D39FD" w:rsidP="009D39FD">
      <w:pPr>
        <w:numPr>
          <w:ilvl w:val="0"/>
          <w:numId w:val="1"/>
        </w:numPr>
        <w:tabs>
          <w:tab w:val="clear" w:pos="720"/>
        </w:tabs>
        <w:ind w:left="0" w:firstLine="360"/>
        <w:jc w:val="both"/>
        <w:rPr>
          <w:sz w:val="28"/>
          <w:szCs w:val="28"/>
        </w:rPr>
      </w:pPr>
      <w:r w:rsidRPr="00E31260">
        <w:rPr>
          <w:sz w:val="28"/>
          <w:szCs w:val="28"/>
        </w:rPr>
        <w:t xml:space="preserve">În vederea realizării sarcinilor sale, Consiliul se învesteşte cu următoarele atribuţii şi competenţe: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participarea la promovarea politicii guvernamentale vizînd protecţia socială a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lastRenderedPageBreak/>
        <w:t xml:space="preserve">monitorizarea activităţii autorităţilor administraţiei publice centrale şi a altor organe legal instituite în domeniul protecţiei sociale a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participarea la elaborarea programelor, strategiilor şi proiectelor de acte normative guvernamentale în vederea actualizării cadrului legislativ şi instituţional privind protecţia socială a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iniţierea investigaţiilor, studiilor, analizelor pentru elaborarea politicii Guvernului şi formularea rapoartelor naţionale în materie de protecţie socială a participanţilor la conflicte armate; </w:t>
      </w:r>
    </w:p>
    <w:p w:rsidR="009D39FD" w:rsidRDefault="009D39FD" w:rsidP="009D39FD">
      <w:pPr>
        <w:numPr>
          <w:ilvl w:val="1"/>
          <w:numId w:val="1"/>
        </w:numPr>
        <w:tabs>
          <w:tab w:val="clear" w:pos="1440"/>
        </w:tabs>
        <w:ind w:left="880"/>
        <w:jc w:val="both"/>
        <w:rPr>
          <w:sz w:val="28"/>
          <w:szCs w:val="28"/>
        </w:rPr>
      </w:pPr>
      <w:r w:rsidRPr="00E31260">
        <w:rPr>
          <w:sz w:val="28"/>
          <w:szCs w:val="28"/>
        </w:rPr>
        <w:t>propagarea la scară naţională a priorităţilor protecţiei sociale a participanţilor la conflicte armate şi educarea populaţiei în spiritul respectării drepturilor lor;</w:t>
      </w:r>
    </w:p>
    <w:p w:rsidR="009D39FD" w:rsidRPr="00E31260" w:rsidRDefault="009D39FD" w:rsidP="009D39FD">
      <w:pPr>
        <w:numPr>
          <w:ilvl w:val="1"/>
          <w:numId w:val="1"/>
        </w:numPr>
        <w:tabs>
          <w:tab w:val="clear" w:pos="1440"/>
          <w:tab w:val="left" w:pos="880"/>
        </w:tabs>
        <w:ind w:left="880"/>
        <w:jc w:val="both"/>
        <w:rPr>
          <w:sz w:val="28"/>
          <w:szCs w:val="28"/>
        </w:rPr>
      </w:pPr>
      <w:r w:rsidRPr="00E31260">
        <w:rPr>
          <w:sz w:val="28"/>
          <w:szCs w:val="28"/>
        </w:rPr>
        <w:t xml:space="preserve">realizarea, în colaborare cu organizaţiile neguvernamentale şi alte instituţii ale societăţii civile, a programelor comune în domeniul promovării intereselor participanţilor la conflicte armate; </w:t>
      </w:r>
    </w:p>
    <w:p w:rsidR="009D39FD" w:rsidRPr="00E31260" w:rsidRDefault="009D39FD" w:rsidP="009D39FD">
      <w:pPr>
        <w:numPr>
          <w:ilvl w:val="1"/>
          <w:numId w:val="1"/>
        </w:numPr>
        <w:tabs>
          <w:tab w:val="clear" w:pos="1440"/>
        </w:tabs>
        <w:ind w:left="880"/>
        <w:jc w:val="both"/>
        <w:rPr>
          <w:sz w:val="28"/>
          <w:szCs w:val="28"/>
        </w:rPr>
      </w:pPr>
      <w:r w:rsidRPr="00E31260">
        <w:rPr>
          <w:sz w:val="28"/>
          <w:szCs w:val="28"/>
        </w:rPr>
        <w:t xml:space="preserve">participarea la şedinţele autorităţilor administraţiei publice în cadrul cărora se discută problemele participanţilor la conflicte armate. </w:t>
      </w:r>
    </w:p>
    <w:p w:rsidR="009D39FD" w:rsidRDefault="009D39FD" w:rsidP="009D39FD">
      <w:pPr>
        <w:numPr>
          <w:ilvl w:val="0"/>
          <w:numId w:val="1"/>
        </w:numPr>
        <w:tabs>
          <w:tab w:val="clear" w:pos="720"/>
        </w:tabs>
        <w:ind w:left="0" w:firstLine="360"/>
        <w:jc w:val="both"/>
        <w:rPr>
          <w:b/>
          <w:i/>
          <w:sz w:val="28"/>
          <w:szCs w:val="28"/>
          <w:lang w:val="ro-MD"/>
        </w:rPr>
      </w:pPr>
      <w:r w:rsidRPr="00E31260">
        <w:rPr>
          <w:b/>
          <w:i/>
          <w:sz w:val="28"/>
          <w:szCs w:val="28"/>
        </w:rPr>
        <w:t xml:space="preserve">Pentru realizarea sarcinilor atribuite în cadrul Consiliului, prin decizia acestuia, pot fi create </w:t>
      </w:r>
      <w:r w:rsidRPr="00E31260">
        <w:rPr>
          <w:b/>
          <w:i/>
          <w:sz w:val="28"/>
          <w:szCs w:val="28"/>
          <w:lang w:val="ro-MD"/>
        </w:rPr>
        <w:t xml:space="preserve">grupuri de lucru sectoriale, conduse de coordonatori. </w:t>
      </w:r>
    </w:p>
    <w:p w:rsidR="009D39FD" w:rsidRDefault="009D39FD" w:rsidP="009D39FD">
      <w:pPr>
        <w:numPr>
          <w:ilvl w:val="0"/>
          <w:numId w:val="1"/>
        </w:numPr>
        <w:tabs>
          <w:tab w:val="clear" w:pos="720"/>
        </w:tabs>
        <w:ind w:left="0" w:firstLine="360"/>
        <w:jc w:val="both"/>
        <w:rPr>
          <w:b/>
          <w:i/>
          <w:sz w:val="28"/>
          <w:szCs w:val="28"/>
          <w:lang w:val="ro-MD"/>
        </w:rPr>
      </w:pPr>
      <w:r w:rsidRPr="00E31260">
        <w:rPr>
          <w:b/>
          <w:i/>
          <w:sz w:val="28"/>
          <w:szCs w:val="28"/>
          <w:lang w:val="ro-MD"/>
        </w:rPr>
        <w:t xml:space="preserve">Grupul de lucru se instituie din reprezentanţii responsabili de domeniul respectiv din cadrul autorităţilor - membrilor Consiliului, precum şi din reprezentanţi ai organizaţiilor obşteşti a căror sferă de activitate cuprinde problemele vizate. </w:t>
      </w:r>
    </w:p>
    <w:p w:rsidR="009D39FD" w:rsidRDefault="009D39FD" w:rsidP="009D39FD">
      <w:pPr>
        <w:numPr>
          <w:ilvl w:val="0"/>
          <w:numId w:val="1"/>
        </w:numPr>
        <w:tabs>
          <w:tab w:val="clear" w:pos="720"/>
        </w:tabs>
        <w:ind w:left="0" w:firstLine="360"/>
        <w:jc w:val="both"/>
        <w:rPr>
          <w:b/>
          <w:i/>
          <w:sz w:val="28"/>
          <w:szCs w:val="28"/>
          <w:lang w:val="ro-MD"/>
        </w:rPr>
      </w:pPr>
      <w:r w:rsidRPr="00E31260">
        <w:rPr>
          <w:b/>
          <w:i/>
          <w:sz w:val="28"/>
          <w:szCs w:val="28"/>
          <w:lang w:val="ro-MD"/>
        </w:rPr>
        <w:t xml:space="preserve">Grupul de lucru va înainta propuneri respective Consiliului pentru examinarea acestora și aprobarea la ședințele Consiliului. </w:t>
      </w:r>
    </w:p>
    <w:p w:rsidR="009D39FD" w:rsidRPr="00E31260" w:rsidRDefault="009D39FD" w:rsidP="009D39FD">
      <w:pPr>
        <w:numPr>
          <w:ilvl w:val="0"/>
          <w:numId w:val="1"/>
        </w:numPr>
        <w:tabs>
          <w:tab w:val="clear" w:pos="720"/>
          <w:tab w:val="left" w:pos="770"/>
        </w:tabs>
        <w:ind w:left="0" w:firstLine="360"/>
        <w:jc w:val="both"/>
        <w:rPr>
          <w:b/>
          <w:i/>
          <w:sz w:val="28"/>
          <w:szCs w:val="28"/>
          <w:lang w:val="ro-MD"/>
        </w:rPr>
      </w:pPr>
      <w:r w:rsidRPr="00E31260">
        <w:rPr>
          <w:b/>
          <w:i/>
          <w:sz w:val="28"/>
          <w:szCs w:val="28"/>
          <w:lang w:val="ro-MD"/>
        </w:rPr>
        <w:t xml:space="preserve"> După caz, Consiliul poate crea și alte structuri interne pentru facilitatea activității sale.</w:t>
      </w:r>
      <w:r w:rsidRPr="00E31260">
        <w:rPr>
          <w:b/>
          <w:bCs/>
          <w:sz w:val="28"/>
          <w:szCs w:val="28"/>
        </w:rPr>
        <w:t> </w:t>
      </w:r>
    </w:p>
    <w:p w:rsidR="009D39FD" w:rsidRDefault="009D39FD" w:rsidP="009D39FD">
      <w:pPr>
        <w:jc w:val="center"/>
        <w:rPr>
          <w:b/>
          <w:bCs/>
          <w:sz w:val="28"/>
          <w:szCs w:val="28"/>
        </w:rPr>
      </w:pPr>
      <w:r w:rsidRPr="00E31260">
        <w:rPr>
          <w:b/>
          <w:bCs/>
          <w:sz w:val="28"/>
          <w:szCs w:val="28"/>
        </w:rPr>
        <w:t>IV. ACTIVITATEA CONSILIULUI</w:t>
      </w:r>
    </w:p>
    <w:p w:rsidR="009D39FD" w:rsidRPr="00E31260" w:rsidRDefault="009D39FD" w:rsidP="009D39FD">
      <w:pPr>
        <w:numPr>
          <w:ilvl w:val="0"/>
          <w:numId w:val="1"/>
        </w:numPr>
        <w:tabs>
          <w:tab w:val="clear" w:pos="720"/>
          <w:tab w:val="left" w:pos="770"/>
        </w:tabs>
        <w:ind w:left="0" w:firstLine="360"/>
        <w:jc w:val="both"/>
        <w:rPr>
          <w:b/>
          <w:i/>
          <w:sz w:val="28"/>
          <w:szCs w:val="28"/>
          <w:lang w:val="ro-MD"/>
        </w:rPr>
      </w:pPr>
      <w:r w:rsidRPr="00E31260">
        <w:rPr>
          <w:sz w:val="28"/>
          <w:szCs w:val="28"/>
        </w:rPr>
        <w:t xml:space="preserve">Componenţa Consiliului este stabilită prin hotărîre de Guvern şi include preşedintele, vicepreşedintele, secretarul şi membrii Consiliului. </w:t>
      </w:r>
    </w:p>
    <w:p w:rsidR="009D39FD" w:rsidRPr="00E31260" w:rsidRDefault="009D39FD" w:rsidP="009D39FD">
      <w:pPr>
        <w:numPr>
          <w:ilvl w:val="0"/>
          <w:numId w:val="1"/>
        </w:numPr>
        <w:tabs>
          <w:tab w:val="clear" w:pos="720"/>
          <w:tab w:val="left" w:pos="770"/>
        </w:tabs>
        <w:ind w:left="0" w:firstLine="360"/>
        <w:jc w:val="both"/>
        <w:rPr>
          <w:b/>
          <w:i/>
          <w:sz w:val="28"/>
          <w:szCs w:val="28"/>
          <w:lang w:val="ro-MD"/>
        </w:rPr>
      </w:pPr>
      <w:r w:rsidRPr="00E31260">
        <w:rPr>
          <w:sz w:val="28"/>
          <w:szCs w:val="28"/>
        </w:rPr>
        <w:t xml:space="preserve">Preşedintele conduce întreaga activitate a Consiliului, delegîndu-şi atribuţiile, în situaţiile prevăzute de lege, vicepreşedintelui. </w:t>
      </w:r>
    </w:p>
    <w:p w:rsidR="009D39FD" w:rsidRPr="00E31260" w:rsidRDefault="009D39FD" w:rsidP="009D39FD">
      <w:pPr>
        <w:numPr>
          <w:ilvl w:val="0"/>
          <w:numId w:val="1"/>
        </w:numPr>
        <w:tabs>
          <w:tab w:val="clear" w:pos="720"/>
          <w:tab w:val="left" w:pos="770"/>
        </w:tabs>
        <w:ind w:left="0" w:firstLine="360"/>
        <w:jc w:val="both"/>
        <w:rPr>
          <w:b/>
          <w:i/>
          <w:sz w:val="28"/>
          <w:szCs w:val="28"/>
          <w:lang w:val="ro-MD"/>
        </w:rPr>
      </w:pPr>
      <w:r w:rsidRPr="00E31260">
        <w:rPr>
          <w:b/>
          <w:i/>
          <w:iCs/>
          <w:sz w:val="28"/>
          <w:szCs w:val="28"/>
          <w:lang w:val="ro-MD"/>
        </w:rPr>
        <w:t xml:space="preserve">În funcția de problematica supusă dezbaterii, la ședințele Consiliului și grupurilor sale de lucru pot participa, în calitate de invitați, fără drept de vot, reprezentanți ai autorităților publice centrale, organizațiilor obşteşti, mediilor academice, partenerilor de dezvoltare. </w:t>
      </w:r>
      <w:r w:rsidRPr="00E31260">
        <w:rPr>
          <w:b/>
          <w:i/>
          <w:sz w:val="28"/>
          <w:szCs w:val="28"/>
        </w:rPr>
        <w:t> </w:t>
      </w:r>
    </w:p>
    <w:p w:rsidR="009D39FD" w:rsidRPr="00E31260" w:rsidRDefault="009D39FD" w:rsidP="009D39FD">
      <w:pPr>
        <w:numPr>
          <w:ilvl w:val="0"/>
          <w:numId w:val="1"/>
        </w:numPr>
        <w:tabs>
          <w:tab w:val="clear" w:pos="720"/>
          <w:tab w:val="left" w:pos="770"/>
        </w:tabs>
        <w:ind w:left="0" w:firstLine="360"/>
        <w:jc w:val="both"/>
        <w:rPr>
          <w:b/>
          <w:i/>
          <w:sz w:val="28"/>
          <w:szCs w:val="28"/>
          <w:lang w:val="ro-MD"/>
        </w:rPr>
      </w:pPr>
      <w:r w:rsidRPr="00E31260">
        <w:rPr>
          <w:sz w:val="28"/>
          <w:szCs w:val="28"/>
        </w:rPr>
        <w:t xml:space="preserve">Preşedintele Consiliului exercită următoarele atribuţii: </w:t>
      </w:r>
    </w:p>
    <w:p w:rsidR="009D39FD" w:rsidRPr="00E31260" w:rsidRDefault="009D39FD" w:rsidP="009D39FD">
      <w:pPr>
        <w:numPr>
          <w:ilvl w:val="1"/>
          <w:numId w:val="1"/>
        </w:numPr>
        <w:jc w:val="both"/>
        <w:rPr>
          <w:sz w:val="28"/>
          <w:szCs w:val="28"/>
        </w:rPr>
      </w:pPr>
      <w:r w:rsidRPr="00E31260">
        <w:rPr>
          <w:sz w:val="28"/>
          <w:szCs w:val="28"/>
        </w:rPr>
        <w:t xml:space="preserve">asigură îndeplinirea sarcinilor Consiliului; </w:t>
      </w:r>
    </w:p>
    <w:p w:rsidR="009D39FD" w:rsidRPr="00E31260" w:rsidRDefault="009D39FD" w:rsidP="009D39FD">
      <w:pPr>
        <w:numPr>
          <w:ilvl w:val="1"/>
          <w:numId w:val="1"/>
        </w:numPr>
        <w:jc w:val="both"/>
        <w:rPr>
          <w:sz w:val="28"/>
          <w:szCs w:val="28"/>
        </w:rPr>
      </w:pPr>
      <w:r w:rsidRPr="00E31260">
        <w:rPr>
          <w:sz w:val="28"/>
          <w:szCs w:val="28"/>
        </w:rPr>
        <w:t xml:space="preserve">distribuie îndatoririle de funcţii ale membrilor Consiliului; </w:t>
      </w:r>
    </w:p>
    <w:p w:rsidR="009D39FD" w:rsidRPr="00E31260" w:rsidRDefault="009D39FD" w:rsidP="009D39FD">
      <w:pPr>
        <w:numPr>
          <w:ilvl w:val="1"/>
          <w:numId w:val="1"/>
        </w:numPr>
        <w:jc w:val="both"/>
        <w:rPr>
          <w:sz w:val="28"/>
          <w:szCs w:val="28"/>
        </w:rPr>
      </w:pPr>
      <w:r w:rsidRPr="00E31260">
        <w:rPr>
          <w:sz w:val="28"/>
          <w:szCs w:val="28"/>
        </w:rPr>
        <w:t xml:space="preserve">convoacă şi conduce şedinţele acestuia; </w:t>
      </w:r>
    </w:p>
    <w:p w:rsidR="009D39FD" w:rsidRPr="00E31260" w:rsidRDefault="009D39FD" w:rsidP="009D39FD">
      <w:pPr>
        <w:numPr>
          <w:ilvl w:val="1"/>
          <w:numId w:val="1"/>
        </w:numPr>
        <w:jc w:val="both"/>
        <w:rPr>
          <w:sz w:val="28"/>
          <w:szCs w:val="28"/>
        </w:rPr>
      </w:pPr>
      <w:r w:rsidRPr="00E31260">
        <w:rPr>
          <w:sz w:val="28"/>
          <w:szCs w:val="28"/>
        </w:rPr>
        <w:t xml:space="preserve">semnează procesele-verbale şi alte documente vizând activitatea curentă a Consiliului; </w:t>
      </w:r>
    </w:p>
    <w:p w:rsidR="009D39FD" w:rsidRPr="00E31260" w:rsidRDefault="009D39FD" w:rsidP="009D39FD">
      <w:pPr>
        <w:numPr>
          <w:ilvl w:val="1"/>
          <w:numId w:val="1"/>
        </w:numPr>
        <w:jc w:val="both"/>
        <w:rPr>
          <w:sz w:val="28"/>
          <w:szCs w:val="28"/>
        </w:rPr>
      </w:pPr>
      <w:r w:rsidRPr="00E31260">
        <w:rPr>
          <w:sz w:val="28"/>
          <w:szCs w:val="28"/>
        </w:rPr>
        <w:t xml:space="preserve">reprezintă Consiliul în relaţiile cu autorităţile administraţiei publice şi cu alte organizaţii. </w:t>
      </w:r>
    </w:p>
    <w:p w:rsidR="009D39FD" w:rsidRDefault="009D39FD" w:rsidP="009D39FD">
      <w:pPr>
        <w:numPr>
          <w:ilvl w:val="0"/>
          <w:numId w:val="1"/>
        </w:numPr>
        <w:tabs>
          <w:tab w:val="clear" w:pos="720"/>
          <w:tab w:val="left" w:pos="770"/>
        </w:tabs>
        <w:ind w:left="0" w:firstLine="360"/>
        <w:jc w:val="both"/>
        <w:rPr>
          <w:sz w:val="28"/>
          <w:szCs w:val="28"/>
        </w:rPr>
      </w:pPr>
      <w:r w:rsidRPr="00E31260">
        <w:rPr>
          <w:sz w:val="28"/>
          <w:szCs w:val="28"/>
        </w:rPr>
        <w:t>Şedinţele Consiliului se convoacă trimestrial. În caz de necesitate, pot fi convocate şedinţe extraordinare.</w:t>
      </w:r>
    </w:p>
    <w:p w:rsidR="009D39FD" w:rsidRPr="00E31260" w:rsidRDefault="009D39FD" w:rsidP="009D39FD">
      <w:pPr>
        <w:numPr>
          <w:ilvl w:val="0"/>
          <w:numId w:val="1"/>
        </w:numPr>
        <w:tabs>
          <w:tab w:val="clear" w:pos="720"/>
          <w:tab w:val="left" w:pos="770"/>
        </w:tabs>
        <w:ind w:left="0" w:firstLine="360"/>
        <w:jc w:val="both"/>
        <w:rPr>
          <w:sz w:val="28"/>
          <w:szCs w:val="28"/>
        </w:rPr>
      </w:pPr>
      <w:r w:rsidRPr="00E31260">
        <w:rPr>
          <w:sz w:val="28"/>
          <w:szCs w:val="28"/>
        </w:rPr>
        <w:t xml:space="preserve">Activitatea curentă a Consiliului este asigurată de secretar. </w:t>
      </w:r>
      <w:r w:rsidRPr="00E31260">
        <w:rPr>
          <w:b/>
          <w:bCs/>
          <w:sz w:val="28"/>
          <w:szCs w:val="28"/>
        </w:rPr>
        <w:t> </w:t>
      </w:r>
    </w:p>
    <w:p w:rsidR="009D39FD" w:rsidRDefault="009D39FD" w:rsidP="009D39FD">
      <w:pPr>
        <w:jc w:val="center"/>
        <w:rPr>
          <w:b/>
          <w:bCs/>
          <w:sz w:val="28"/>
          <w:szCs w:val="28"/>
        </w:rPr>
      </w:pPr>
    </w:p>
    <w:p w:rsidR="009D39FD" w:rsidRDefault="009D39FD" w:rsidP="009D39FD">
      <w:pPr>
        <w:jc w:val="center"/>
        <w:rPr>
          <w:b/>
          <w:bCs/>
          <w:sz w:val="28"/>
          <w:szCs w:val="28"/>
        </w:rPr>
      </w:pPr>
      <w:r w:rsidRPr="00E31260">
        <w:rPr>
          <w:b/>
          <w:bCs/>
          <w:sz w:val="28"/>
          <w:szCs w:val="28"/>
        </w:rPr>
        <w:t>V. DISPOZIŢII FINALE</w:t>
      </w:r>
    </w:p>
    <w:p w:rsidR="009D39FD" w:rsidRPr="00E31260" w:rsidRDefault="009D39FD" w:rsidP="009D39FD">
      <w:pPr>
        <w:jc w:val="center"/>
        <w:rPr>
          <w:b/>
          <w:bCs/>
          <w:sz w:val="28"/>
          <w:szCs w:val="28"/>
        </w:rPr>
      </w:pPr>
    </w:p>
    <w:p w:rsidR="009D39FD" w:rsidRDefault="009D39FD" w:rsidP="009D39FD">
      <w:pPr>
        <w:numPr>
          <w:ilvl w:val="0"/>
          <w:numId w:val="1"/>
        </w:numPr>
        <w:tabs>
          <w:tab w:val="clear" w:pos="720"/>
          <w:tab w:val="left" w:pos="770"/>
        </w:tabs>
        <w:ind w:left="0" w:firstLine="360"/>
        <w:jc w:val="both"/>
        <w:rPr>
          <w:sz w:val="28"/>
          <w:szCs w:val="28"/>
        </w:rPr>
      </w:pPr>
      <w:r w:rsidRPr="00E31260">
        <w:rPr>
          <w:sz w:val="28"/>
          <w:szCs w:val="28"/>
        </w:rPr>
        <w:t xml:space="preserve">Deciziile Consiliului au caracterul unor recomandări ce urmează a fi examinate de ministere, alte autorităţi administrative centrale, instituţii. Autorităţile vizate vor informa Consiliul privind procesul şi rezultatele examinării. </w:t>
      </w:r>
    </w:p>
    <w:p w:rsidR="009D39FD" w:rsidRPr="00E31260" w:rsidRDefault="009D39FD" w:rsidP="009D39FD">
      <w:pPr>
        <w:numPr>
          <w:ilvl w:val="0"/>
          <w:numId w:val="1"/>
        </w:numPr>
        <w:tabs>
          <w:tab w:val="clear" w:pos="720"/>
          <w:tab w:val="left" w:pos="770"/>
        </w:tabs>
        <w:ind w:left="0" w:firstLine="360"/>
        <w:jc w:val="both"/>
        <w:rPr>
          <w:sz w:val="28"/>
          <w:szCs w:val="28"/>
        </w:rPr>
      </w:pPr>
      <w:r w:rsidRPr="00E31260">
        <w:rPr>
          <w:sz w:val="28"/>
          <w:szCs w:val="28"/>
        </w:rPr>
        <w:t xml:space="preserve">Consiliul informează anual Guvernul despre activitatea sa. </w:t>
      </w:r>
    </w:p>
    <w:p w:rsidR="009D39FD" w:rsidRDefault="009D39FD" w:rsidP="009D39FD">
      <w:pPr>
        <w:jc w:val="both"/>
        <w:rPr>
          <w:sz w:val="28"/>
          <w:szCs w:val="28"/>
        </w:rPr>
      </w:pPr>
    </w:p>
    <w:p w:rsidR="009D39FD" w:rsidRPr="00E31260" w:rsidRDefault="009D39FD" w:rsidP="009D39FD">
      <w:pPr>
        <w:jc w:val="both"/>
        <w:rPr>
          <w:sz w:val="28"/>
          <w:szCs w:val="28"/>
        </w:rPr>
      </w:pPr>
    </w:p>
    <w:p w:rsidR="009D39FD" w:rsidRPr="00E31260" w:rsidRDefault="009D39FD" w:rsidP="009D39FD">
      <w:pPr>
        <w:ind w:left="7788"/>
        <w:jc w:val="both"/>
        <w:rPr>
          <w:sz w:val="28"/>
          <w:szCs w:val="28"/>
        </w:rPr>
      </w:pPr>
      <w:r w:rsidRPr="00E31260">
        <w:rPr>
          <w:sz w:val="28"/>
          <w:szCs w:val="28"/>
        </w:rPr>
        <w:t>Anexa nr.3</w:t>
      </w:r>
    </w:p>
    <w:p w:rsidR="009D39FD" w:rsidRDefault="009D39FD" w:rsidP="009D39FD">
      <w:pPr>
        <w:jc w:val="center"/>
        <w:rPr>
          <w:b/>
          <w:sz w:val="28"/>
          <w:szCs w:val="28"/>
        </w:rPr>
      </w:pPr>
      <w:r w:rsidRPr="00E31260">
        <w:rPr>
          <w:b/>
          <w:sz w:val="28"/>
          <w:szCs w:val="28"/>
        </w:rPr>
        <w:t>Lista Hotărârilor de Guvern care se abrogă</w:t>
      </w:r>
    </w:p>
    <w:p w:rsidR="009D39FD" w:rsidRPr="00E31260" w:rsidRDefault="009D39FD" w:rsidP="009D39FD">
      <w:pPr>
        <w:jc w:val="center"/>
        <w:rPr>
          <w:b/>
          <w:sz w:val="28"/>
          <w:szCs w:val="28"/>
        </w:rPr>
      </w:pPr>
    </w:p>
    <w:p w:rsidR="009D39FD" w:rsidRPr="00E31260" w:rsidRDefault="009D39FD" w:rsidP="009D39FD">
      <w:pPr>
        <w:numPr>
          <w:ilvl w:val="0"/>
          <w:numId w:val="2"/>
        </w:numPr>
        <w:tabs>
          <w:tab w:val="clear" w:pos="1699"/>
        </w:tabs>
        <w:ind w:left="0" w:firstLine="330"/>
        <w:jc w:val="both"/>
        <w:rPr>
          <w:sz w:val="28"/>
          <w:szCs w:val="28"/>
        </w:rPr>
      </w:pPr>
      <w:r w:rsidRPr="00E31260">
        <w:rPr>
          <w:sz w:val="28"/>
          <w:szCs w:val="28"/>
        </w:rPr>
        <w:t>Aliniatul doi, punctul 1 din Hotărârea Guvernului nr.106 din 30.01.2006 „Cu privire la instituirea unor consilii şi comisii şi aprobarea unor hotărâri ale Guvernului” (Monitorul Oficial al Republicii Moldova nr. 21-24/139 din 03.02.2006).</w:t>
      </w:r>
    </w:p>
    <w:p w:rsidR="009D39FD" w:rsidRPr="00E31260" w:rsidRDefault="009D39FD" w:rsidP="009D39FD">
      <w:pPr>
        <w:numPr>
          <w:ilvl w:val="0"/>
          <w:numId w:val="2"/>
        </w:numPr>
        <w:tabs>
          <w:tab w:val="clear" w:pos="1699"/>
        </w:tabs>
        <w:ind w:left="0" w:firstLine="330"/>
        <w:jc w:val="both"/>
        <w:rPr>
          <w:sz w:val="28"/>
          <w:szCs w:val="28"/>
        </w:rPr>
      </w:pPr>
      <w:r w:rsidRPr="00E31260">
        <w:rPr>
          <w:sz w:val="28"/>
          <w:szCs w:val="28"/>
        </w:rPr>
        <w:t xml:space="preserve">Anexa nr.2 din Hotărârea Guvernului nr. 641 din 07.06.2006 „Cu privire la aprobarea regulamentelor de activitate a consiliilor şi a comisiei instituite prin Hotărârea Guvernului nr.106 din 30 ianuarie </w:t>
      </w:r>
      <w:smartTag w:uri="urn:schemas-microsoft-com:office:smarttags" w:element="metricconverter">
        <w:smartTagPr>
          <w:attr w:name="ProductID" w:val="2006”"/>
        </w:smartTagPr>
        <w:r w:rsidRPr="00E31260">
          <w:rPr>
            <w:sz w:val="28"/>
            <w:szCs w:val="28"/>
          </w:rPr>
          <w:t>2006”</w:t>
        </w:r>
      </w:smartTag>
      <w:r w:rsidRPr="00E31260">
        <w:rPr>
          <w:sz w:val="28"/>
          <w:szCs w:val="28"/>
        </w:rPr>
        <w:t xml:space="preserve"> (Monitorul Oficial al</w:t>
      </w:r>
      <w:r>
        <w:t xml:space="preserve"> Republicii </w:t>
      </w:r>
      <w:r w:rsidRPr="00E31260">
        <w:rPr>
          <w:sz w:val="28"/>
          <w:szCs w:val="28"/>
        </w:rPr>
        <w:t>Moldova  nr. 95-97/701 din 23.06.2006).</w:t>
      </w:r>
    </w:p>
    <w:p w:rsidR="009D39FD" w:rsidRDefault="009D39FD" w:rsidP="009D39FD">
      <w:pPr>
        <w:pStyle w:val="cn"/>
        <w:jc w:val="right"/>
        <w:rPr>
          <w:sz w:val="28"/>
          <w:szCs w:val="28"/>
          <w:lang w:val="ro-RO"/>
        </w:rPr>
      </w:pPr>
    </w:p>
    <w:p w:rsidR="0026127C" w:rsidRDefault="0026127C">
      <w:bookmarkStart w:id="0" w:name="_GoBack"/>
      <w:bookmarkEnd w:id="0"/>
    </w:p>
    <w:sectPr w:rsidR="0026127C" w:rsidSect="0010013B">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3CFD"/>
    <w:multiLevelType w:val="hybridMultilevel"/>
    <w:tmpl w:val="D25EE3CE"/>
    <w:lvl w:ilvl="0" w:tplc="1A847F64">
      <w:start w:val="1"/>
      <w:numFmt w:val="decimal"/>
      <w:lvlText w:val="%1."/>
      <w:lvlJc w:val="left"/>
      <w:pPr>
        <w:tabs>
          <w:tab w:val="num" w:pos="720"/>
        </w:tabs>
        <w:ind w:left="720" w:hanging="360"/>
      </w:pPr>
      <w:rPr>
        <w:rFonts w:cs="Times New Roman" w:hint="default"/>
        <w:b w:val="0"/>
        <w:i w:val="0"/>
      </w:rPr>
    </w:lvl>
    <w:lvl w:ilvl="1" w:tplc="AF8AF210">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7B1B0A27"/>
    <w:multiLevelType w:val="hybridMultilevel"/>
    <w:tmpl w:val="1BFAB672"/>
    <w:lvl w:ilvl="0" w:tplc="B970B576">
      <w:start w:val="1"/>
      <w:numFmt w:val="decimal"/>
      <w:lvlText w:val="%1."/>
      <w:lvlJc w:val="left"/>
      <w:pPr>
        <w:tabs>
          <w:tab w:val="num" w:pos="1699"/>
        </w:tabs>
        <w:ind w:left="1699" w:hanging="991"/>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88"/>
    <w:rsid w:val="001F4288"/>
    <w:rsid w:val="0026127C"/>
    <w:rsid w:val="009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2E2401-C7F0-446D-8CCE-69CA3965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9FD"/>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9D39FD"/>
    <w:pPr>
      <w:jc w:val="center"/>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2017-12-15T09:02:00Z</dcterms:created>
  <dcterms:modified xsi:type="dcterms:W3CDTF">2017-12-15T09:02:00Z</dcterms:modified>
</cp:coreProperties>
</file>