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74" w:rsidRPr="000F1393" w:rsidRDefault="00364BB5" w:rsidP="005C1234">
      <w:pPr>
        <w:tabs>
          <w:tab w:val="left" w:pos="567"/>
        </w:tabs>
        <w:ind w:left="-142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Nota</w:t>
      </w:r>
      <w:r w:rsidR="00E30F74" w:rsidRPr="000F1393">
        <w:rPr>
          <w:b/>
          <w:sz w:val="28"/>
          <w:szCs w:val="28"/>
          <w:lang w:val="ro-RO"/>
        </w:rPr>
        <w:t xml:space="preserve"> i</w:t>
      </w:r>
      <w:r w:rsidR="00D753C8" w:rsidRPr="000F1393">
        <w:rPr>
          <w:b/>
          <w:sz w:val="28"/>
          <w:szCs w:val="28"/>
          <w:lang w:val="ro-RO"/>
        </w:rPr>
        <w:t xml:space="preserve">nformativă </w:t>
      </w:r>
    </w:p>
    <w:p w:rsidR="00D753C8" w:rsidRPr="000F1393" w:rsidRDefault="00E30F74" w:rsidP="005C1234">
      <w:pPr>
        <w:tabs>
          <w:tab w:val="left" w:pos="567"/>
        </w:tabs>
        <w:ind w:left="-142"/>
        <w:jc w:val="center"/>
        <w:rPr>
          <w:b/>
          <w:sz w:val="28"/>
          <w:szCs w:val="28"/>
          <w:lang w:val="ro-RO"/>
        </w:rPr>
      </w:pPr>
      <w:r w:rsidRPr="000F1393">
        <w:rPr>
          <w:b/>
          <w:sz w:val="28"/>
          <w:szCs w:val="28"/>
          <w:lang w:val="ro-RO"/>
        </w:rPr>
        <w:t>la p</w:t>
      </w:r>
      <w:r w:rsidR="00D753C8" w:rsidRPr="000F1393">
        <w:rPr>
          <w:b/>
          <w:sz w:val="28"/>
          <w:szCs w:val="28"/>
          <w:lang w:val="ro-RO"/>
        </w:rPr>
        <w:t xml:space="preserve">roiectul </w:t>
      </w:r>
      <w:bookmarkStart w:id="0" w:name="_GoBack"/>
      <w:r w:rsidR="00D753C8" w:rsidRPr="000F1393">
        <w:rPr>
          <w:b/>
          <w:sz w:val="28"/>
          <w:szCs w:val="28"/>
          <w:lang w:val="ro-RO"/>
        </w:rPr>
        <w:t>Hot</w:t>
      </w:r>
      <w:bookmarkEnd w:id="0"/>
      <w:r w:rsidR="00D753C8" w:rsidRPr="000F1393">
        <w:rPr>
          <w:b/>
          <w:sz w:val="28"/>
          <w:szCs w:val="28"/>
          <w:lang w:val="ro-RO"/>
        </w:rPr>
        <w:t xml:space="preserve">ărîrii Guvernului </w:t>
      </w:r>
      <w:r w:rsidR="003211D2" w:rsidRPr="000F1393">
        <w:rPr>
          <w:b/>
          <w:sz w:val="28"/>
          <w:szCs w:val="28"/>
          <w:lang w:val="ro-RO"/>
        </w:rPr>
        <w:t>cu privire la aprobarea modificărilor și completărilo</w:t>
      </w:r>
      <w:r w:rsidR="00964009">
        <w:rPr>
          <w:b/>
          <w:sz w:val="28"/>
          <w:szCs w:val="28"/>
          <w:lang w:val="ro-RO"/>
        </w:rPr>
        <w:t>r ce se operează în unele hotărî</w:t>
      </w:r>
      <w:r w:rsidR="003211D2" w:rsidRPr="000F1393">
        <w:rPr>
          <w:b/>
          <w:sz w:val="28"/>
          <w:szCs w:val="28"/>
          <w:lang w:val="ro-RO"/>
        </w:rPr>
        <w:t>ri ale Guvernului</w:t>
      </w:r>
    </w:p>
    <w:p w:rsidR="00ED04B2" w:rsidRPr="000F1393" w:rsidRDefault="00ED04B2" w:rsidP="005C1234">
      <w:pPr>
        <w:tabs>
          <w:tab w:val="left" w:pos="567"/>
        </w:tabs>
        <w:ind w:left="-142"/>
        <w:jc w:val="center"/>
        <w:rPr>
          <w:b/>
          <w:sz w:val="28"/>
          <w:szCs w:val="28"/>
          <w:lang w:val="ro-RO"/>
        </w:rPr>
      </w:pPr>
    </w:p>
    <w:p w:rsidR="00ED04B2" w:rsidRPr="000F1393" w:rsidRDefault="00271D49" w:rsidP="005C1234">
      <w:pPr>
        <w:tabs>
          <w:tab w:val="left" w:pos="567"/>
        </w:tabs>
        <w:ind w:left="-142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6C271B" w:rsidRPr="000F1393">
        <w:rPr>
          <w:b/>
          <w:sz w:val="28"/>
          <w:szCs w:val="28"/>
          <w:lang w:val="ro-RO"/>
        </w:rPr>
        <w:t xml:space="preserve">1. </w:t>
      </w:r>
      <w:r w:rsidR="00ED04B2" w:rsidRPr="000F1393">
        <w:rPr>
          <w:b/>
          <w:sz w:val="28"/>
          <w:szCs w:val="28"/>
          <w:lang w:val="ro-RO"/>
        </w:rPr>
        <w:t>Condiţii ce au impus elaborarea proiectului hotărîrii de Guvern</w:t>
      </w:r>
    </w:p>
    <w:p w:rsidR="00AD0019" w:rsidRPr="000F1393" w:rsidRDefault="005C1234" w:rsidP="005C1234">
      <w:pPr>
        <w:tabs>
          <w:tab w:val="left" w:pos="567"/>
        </w:tabs>
        <w:ind w:left="-142"/>
        <w:jc w:val="both"/>
        <w:rPr>
          <w:noProof/>
          <w:sz w:val="28"/>
          <w:szCs w:val="28"/>
          <w:lang w:val="ro-RO"/>
        </w:rPr>
      </w:pPr>
      <w:r w:rsidRPr="000F1393">
        <w:rPr>
          <w:rStyle w:val="Strong"/>
          <w:b w:val="0"/>
          <w:color w:val="000000"/>
          <w:sz w:val="28"/>
          <w:szCs w:val="28"/>
          <w:lang w:val="ro-RO"/>
        </w:rPr>
        <w:tab/>
      </w:r>
      <w:r w:rsidR="00AD0019" w:rsidRPr="000F1393">
        <w:rPr>
          <w:rStyle w:val="Strong"/>
          <w:b w:val="0"/>
          <w:color w:val="000000"/>
          <w:sz w:val="28"/>
          <w:szCs w:val="28"/>
          <w:lang w:val="ro-RO"/>
        </w:rPr>
        <w:t xml:space="preserve">Întru respectarea prevederilor Legii </w:t>
      </w:r>
      <w:r w:rsidR="00AD0019" w:rsidRPr="000F1393">
        <w:rPr>
          <w:color w:val="000000"/>
          <w:sz w:val="28"/>
          <w:szCs w:val="28"/>
          <w:lang w:val="ro-RO"/>
        </w:rPr>
        <w:t xml:space="preserve">nr. 112 din 02.07.2014 </w:t>
      </w:r>
      <w:r w:rsidR="00AD0019" w:rsidRPr="000F1393">
        <w:rPr>
          <w:bCs/>
          <w:color w:val="000000"/>
          <w:sz w:val="28"/>
          <w:szCs w:val="28"/>
          <w:lang w:val="ro-RO"/>
        </w:rPr>
        <w:t>pentru ratificarea Acordului de Asociere între Republica Moldova,</w:t>
      </w:r>
      <w:r w:rsidR="00E15D54" w:rsidRPr="000F1393">
        <w:rPr>
          <w:bCs/>
          <w:color w:val="000000"/>
          <w:sz w:val="28"/>
          <w:szCs w:val="28"/>
          <w:lang w:val="ro-RO"/>
        </w:rPr>
        <w:t xml:space="preserve"> </w:t>
      </w:r>
      <w:r w:rsidR="00AD0019" w:rsidRPr="000F1393">
        <w:rPr>
          <w:bCs/>
          <w:color w:val="000000"/>
          <w:sz w:val="28"/>
          <w:szCs w:val="28"/>
          <w:lang w:val="ro-RO"/>
        </w:rPr>
        <w:t>pe de o parte, şi Uniunea Europeană şi Comunitatea Europeană a</w:t>
      </w:r>
      <w:r w:rsidR="00E15D54" w:rsidRPr="000F1393">
        <w:rPr>
          <w:bCs/>
          <w:color w:val="000000"/>
          <w:sz w:val="28"/>
          <w:szCs w:val="28"/>
          <w:lang w:val="ro-RO"/>
        </w:rPr>
        <w:t xml:space="preserve"> </w:t>
      </w:r>
      <w:r w:rsidR="00AD0019" w:rsidRPr="000F1393">
        <w:rPr>
          <w:bCs/>
          <w:color w:val="000000"/>
          <w:sz w:val="28"/>
          <w:szCs w:val="28"/>
          <w:lang w:val="ro-RO"/>
        </w:rPr>
        <w:t xml:space="preserve">Energiei Atomice şi statele membre ale acestora, pe de altă parte, și anume a prevederilor </w:t>
      </w:r>
      <w:r w:rsidR="00AD0019" w:rsidRPr="000F1393">
        <w:rPr>
          <w:noProof/>
          <w:sz w:val="28"/>
          <w:szCs w:val="28"/>
          <w:lang w:val="ro-RO"/>
        </w:rPr>
        <w:t>Titlului  IV,  cap. 17, art. 97  din Acordul</w:t>
      </w:r>
      <w:r w:rsidR="00ED04B2" w:rsidRPr="000F1393">
        <w:rPr>
          <w:noProof/>
          <w:sz w:val="28"/>
          <w:szCs w:val="28"/>
          <w:lang w:val="ro-RO"/>
        </w:rPr>
        <w:t xml:space="preserve"> </w:t>
      </w:r>
      <w:r w:rsidR="00AD0019" w:rsidRPr="000F1393">
        <w:rPr>
          <w:noProof/>
          <w:sz w:val="28"/>
          <w:szCs w:val="28"/>
          <w:lang w:val="ro-RO"/>
        </w:rPr>
        <w:t>prenotat, Republica Moldova realizează apropierea legislației sale naționale de</w:t>
      </w:r>
      <w:r w:rsidR="00CF7E70" w:rsidRPr="000F1393">
        <w:rPr>
          <w:noProof/>
          <w:sz w:val="28"/>
          <w:szCs w:val="28"/>
          <w:lang w:val="ro-RO"/>
        </w:rPr>
        <w:t xml:space="preserve"> </w:t>
      </w:r>
      <w:r w:rsidR="00AD0019" w:rsidRPr="000F1393">
        <w:rPr>
          <w:noProof/>
          <w:sz w:val="28"/>
          <w:szCs w:val="28"/>
          <w:lang w:val="ro-RO"/>
        </w:rPr>
        <w:t>actele normative ale UE și de instrumentele internaționale menționate în anexa XII al Acordulul.</w:t>
      </w:r>
    </w:p>
    <w:p w:rsidR="005C1234" w:rsidRPr="000F1393" w:rsidRDefault="00AD0019" w:rsidP="005C1234">
      <w:pPr>
        <w:tabs>
          <w:tab w:val="left" w:pos="567"/>
        </w:tabs>
        <w:ind w:left="-142" w:firstLine="708"/>
        <w:jc w:val="both"/>
        <w:rPr>
          <w:noProof/>
          <w:sz w:val="28"/>
          <w:szCs w:val="28"/>
          <w:lang w:val="ro-RO"/>
        </w:rPr>
      </w:pPr>
      <w:r w:rsidRPr="000F1393">
        <w:rPr>
          <w:noProof/>
          <w:sz w:val="28"/>
          <w:szCs w:val="28"/>
          <w:lang w:val="ro-RO"/>
        </w:rPr>
        <w:t>Dispozițiile  anexei  respective,  stabilesc cadrul legal pentru acțiuni</w:t>
      </w:r>
      <w:r w:rsidR="00DD3CC3" w:rsidRPr="000F1393">
        <w:rPr>
          <w:sz w:val="28"/>
          <w:szCs w:val="28"/>
          <w:lang w:val="ro-RO"/>
        </w:rPr>
        <w:t>le Guvernului pentru</w:t>
      </w:r>
      <w:r w:rsidRPr="000F1393">
        <w:rPr>
          <w:sz w:val="28"/>
          <w:szCs w:val="28"/>
          <w:lang w:val="ro-RO"/>
        </w:rPr>
        <w:t xml:space="preserve"> aplicarea dispozițiilor Directivei 98/70/CE. </w:t>
      </w:r>
      <w:r w:rsidRPr="000F1393">
        <w:rPr>
          <w:noProof/>
          <w:sz w:val="28"/>
          <w:szCs w:val="28"/>
          <w:lang w:val="ro-RO"/>
        </w:rPr>
        <w:t>Aceste acțiuni prevăd:</w:t>
      </w:r>
    </w:p>
    <w:p w:rsidR="005C1234" w:rsidRPr="000F1393" w:rsidRDefault="00E90A6F" w:rsidP="005C1234">
      <w:pPr>
        <w:pStyle w:val="ListParagraph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proofErr w:type="spellStart"/>
      <w:r w:rsidR="00AD0019" w:rsidRPr="000F1393">
        <w:rPr>
          <w:rFonts w:ascii="Times New Roman" w:hAnsi="Times New Roman" w:cs="Times New Roman"/>
          <w:sz w:val="28"/>
          <w:szCs w:val="28"/>
          <w:lang w:val="ro-RO"/>
        </w:rPr>
        <w:t>doptarea</w:t>
      </w:r>
      <w:proofErr w:type="spellEnd"/>
      <w:r w:rsidR="00AD0019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legislaţiei naţionale şi desemnarea autorităţii (autorităţilor) competente;</w:t>
      </w:r>
    </w:p>
    <w:p w:rsidR="005C1234" w:rsidRPr="000F1393" w:rsidRDefault="00AD0019" w:rsidP="005C1234">
      <w:pPr>
        <w:pStyle w:val="ListParagraph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realizarea unei evaluări a consumului naţional de combustibil;</w:t>
      </w:r>
    </w:p>
    <w:p w:rsidR="005C1234" w:rsidRPr="000F1393" w:rsidRDefault="00AD0019" w:rsidP="005C1234">
      <w:pPr>
        <w:pStyle w:val="ListParagraph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stabilirea unui sistem de monitorizare a calităţii combustibililor (articolul 8);</w:t>
      </w:r>
    </w:p>
    <w:p w:rsidR="005C1234" w:rsidRPr="000F1393" w:rsidRDefault="00AD0019" w:rsidP="005C1234">
      <w:pPr>
        <w:pStyle w:val="ListParagraph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interzicerea com</w:t>
      </w:r>
      <w:r w:rsidR="00E15D54" w:rsidRPr="000F1393">
        <w:rPr>
          <w:rFonts w:ascii="Times New Roman" w:hAnsi="Times New Roman" w:cs="Times New Roman"/>
          <w:sz w:val="28"/>
          <w:szCs w:val="28"/>
          <w:lang w:val="ro-RO"/>
        </w:rPr>
        <w:t>ercializării benzinei cu plumb (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articolul 3 alineatul (1)</w:t>
      </w:r>
      <w:r w:rsidR="00E15D54" w:rsidRPr="000F139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C1234" w:rsidRPr="000F1393" w:rsidRDefault="00AD0019" w:rsidP="005C1234">
      <w:pPr>
        <w:pStyle w:val="ListParagraph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autorizarea comercializării benzinei fără plumb, a combustibililor diesel şi a </w:t>
      </w:r>
      <w:proofErr w:type="spellStart"/>
      <w:r w:rsidRPr="000F1393">
        <w:rPr>
          <w:rFonts w:ascii="Times New Roman" w:hAnsi="Times New Roman" w:cs="Times New Roman"/>
          <w:sz w:val="28"/>
          <w:szCs w:val="28"/>
          <w:lang w:val="ro-RO"/>
        </w:rPr>
        <w:t>carburanţilor</w:t>
      </w:r>
      <w:proofErr w:type="spellEnd"/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0F1393">
        <w:rPr>
          <w:rFonts w:ascii="Times New Roman" w:hAnsi="Times New Roman" w:cs="Times New Roman"/>
          <w:sz w:val="28"/>
          <w:szCs w:val="28"/>
          <w:lang w:val="ro-RO"/>
        </w:rPr>
        <w:t>folosiţi</w:t>
      </w:r>
      <w:proofErr w:type="spellEnd"/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pentru utilajele mobile </w:t>
      </w:r>
      <w:proofErr w:type="spellStart"/>
      <w:r w:rsidRPr="000F1393">
        <w:rPr>
          <w:rFonts w:ascii="Times New Roman" w:hAnsi="Times New Roman" w:cs="Times New Roman"/>
          <w:sz w:val="28"/>
          <w:szCs w:val="28"/>
          <w:lang w:val="ro-RO"/>
        </w:rPr>
        <w:t>nerutiere</w:t>
      </w:r>
      <w:proofErr w:type="spellEnd"/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şi tractoarele agricole şi forestiere, cu </w:t>
      </w:r>
      <w:proofErr w:type="spellStart"/>
      <w:r w:rsidRPr="000F1393">
        <w:rPr>
          <w:rFonts w:ascii="Times New Roman" w:hAnsi="Times New Roman" w:cs="Times New Roman"/>
          <w:sz w:val="28"/>
          <w:szCs w:val="28"/>
          <w:lang w:val="ro-RO"/>
        </w:rPr>
        <w:t>condiţia</w:t>
      </w:r>
      <w:proofErr w:type="spellEnd"/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îndeplinirii cerinţelor relevante (articolele 3 şi 4);</w:t>
      </w:r>
    </w:p>
    <w:p w:rsidR="00AD0019" w:rsidRPr="000F1393" w:rsidRDefault="00AD0019" w:rsidP="005C1234">
      <w:pPr>
        <w:pStyle w:val="ListParagraph"/>
        <w:numPr>
          <w:ilvl w:val="0"/>
          <w:numId w:val="1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stabilirea unui sistem de reglementare pentru a reglementa împrejurările </w:t>
      </w:r>
      <w:proofErr w:type="spellStart"/>
      <w:r w:rsidRPr="000F1393">
        <w:rPr>
          <w:rFonts w:ascii="Times New Roman" w:hAnsi="Times New Roman" w:cs="Times New Roman"/>
          <w:sz w:val="28"/>
          <w:szCs w:val="28"/>
          <w:lang w:val="ro-RO"/>
        </w:rPr>
        <w:t>excepţionale</w:t>
      </w:r>
      <w:proofErr w:type="spellEnd"/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şi a unui sistem de culegere de date privind calitatea combustibililor la nivel naţional (articolele 7 şi 8).</w:t>
      </w:r>
    </w:p>
    <w:p w:rsidR="00AD0019" w:rsidRPr="000F1393" w:rsidRDefault="00AD0019" w:rsidP="005C1234">
      <w:pPr>
        <w:tabs>
          <w:tab w:val="left" w:pos="567"/>
        </w:tabs>
        <w:ind w:left="-142" w:firstLine="708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>Totodată, în condițiile respectării prevederilor Acordului de Asociere RM-EU, pentru care Republica Moldova are obligaţia de a se conforma pe deplin</w:t>
      </w:r>
      <w:r w:rsidR="00CF7E70" w:rsidRPr="000F1393">
        <w:rPr>
          <w:sz w:val="28"/>
          <w:szCs w:val="28"/>
          <w:lang w:val="ro-RO"/>
        </w:rPr>
        <w:t xml:space="preserve"> </w:t>
      </w:r>
      <w:r w:rsidRPr="000F1393">
        <w:rPr>
          <w:sz w:val="28"/>
          <w:szCs w:val="28"/>
          <w:lang w:val="ro-RO"/>
        </w:rPr>
        <w:t>Directivei 98/70/UE, a fost elaborat și aprobat prin H</w:t>
      </w:r>
      <w:r w:rsidR="00CF7E70" w:rsidRPr="000F1393">
        <w:rPr>
          <w:sz w:val="28"/>
          <w:szCs w:val="28"/>
          <w:lang w:val="ro-RO"/>
        </w:rPr>
        <w:t xml:space="preserve">otărîrea </w:t>
      </w:r>
      <w:r w:rsidRPr="000F1393">
        <w:rPr>
          <w:sz w:val="28"/>
          <w:szCs w:val="28"/>
          <w:lang w:val="ro-RO"/>
        </w:rPr>
        <w:t>G</w:t>
      </w:r>
      <w:r w:rsidR="00CF7E70" w:rsidRPr="000F1393">
        <w:rPr>
          <w:sz w:val="28"/>
          <w:szCs w:val="28"/>
          <w:lang w:val="ro-RO"/>
        </w:rPr>
        <w:t>uvernului</w:t>
      </w:r>
      <w:r w:rsidRPr="000F1393">
        <w:rPr>
          <w:sz w:val="28"/>
          <w:szCs w:val="28"/>
          <w:lang w:val="ro-RO"/>
        </w:rPr>
        <w:t xml:space="preserve"> nr. 1472 din 30.12.2016 </w:t>
      </w:r>
      <w:r w:rsidRPr="000F1393">
        <w:rPr>
          <w:bCs/>
          <w:color w:val="000000"/>
          <w:sz w:val="28"/>
          <w:szCs w:val="28"/>
          <w:lang w:val="ro-RO"/>
        </w:rPr>
        <w:t>Planului naţional de acţiuni pentru implementarea Acordului de Asociere Republica Moldova – Uniunea Europeană în perioada 2017-2019.</w:t>
      </w:r>
      <w:r w:rsidR="00ED04B2" w:rsidRPr="000F1393">
        <w:rPr>
          <w:bCs/>
          <w:color w:val="000000"/>
          <w:sz w:val="28"/>
          <w:szCs w:val="28"/>
          <w:lang w:val="ro-RO"/>
        </w:rPr>
        <w:t xml:space="preserve"> </w:t>
      </w:r>
    </w:p>
    <w:p w:rsidR="00ED04B2" w:rsidRPr="000F1393" w:rsidRDefault="00ED04B2" w:rsidP="005C1234">
      <w:pPr>
        <w:pStyle w:val="NormalWeb"/>
        <w:tabs>
          <w:tab w:val="left" w:pos="567"/>
        </w:tabs>
        <w:spacing w:before="0" w:beforeAutospacing="0" w:after="0" w:afterAutospacing="0"/>
        <w:ind w:left="-142" w:firstLine="708"/>
        <w:jc w:val="both"/>
        <w:rPr>
          <w:sz w:val="28"/>
          <w:szCs w:val="28"/>
          <w:lang w:val="ro-RO"/>
        </w:rPr>
      </w:pPr>
      <w:r w:rsidRPr="000F1393">
        <w:rPr>
          <w:color w:val="000000"/>
          <w:sz w:val="28"/>
          <w:szCs w:val="28"/>
          <w:lang w:val="ro-RO"/>
        </w:rPr>
        <w:t xml:space="preserve">Urmare celor expuse, Ministerul Economiei și Infrastructurii, în calitate de autoritate responsabilă pentru securitatea și eficiența energetică, </w:t>
      </w:r>
      <w:r w:rsidR="00964009">
        <w:rPr>
          <w:sz w:val="28"/>
          <w:szCs w:val="28"/>
          <w:lang w:val="ro-RO"/>
        </w:rPr>
        <w:t xml:space="preserve"> a elaborat proiectul </w:t>
      </w:r>
      <w:r w:rsidRPr="000F1393">
        <w:rPr>
          <w:sz w:val="28"/>
          <w:szCs w:val="28"/>
          <w:lang w:val="ro-RO"/>
        </w:rPr>
        <w:t xml:space="preserve"> Ho</w:t>
      </w:r>
      <w:r w:rsidRPr="00371B39">
        <w:rPr>
          <w:sz w:val="28"/>
          <w:szCs w:val="28"/>
          <w:lang w:val="ro-RO"/>
        </w:rPr>
        <w:t>t</w:t>
      </w:r>
      <w:r w:rsidR="000F1393" w:rsidRPr="00371B39">
        <w:rPr>
          <w:sz w:val="28"/>
          <w:szCs w:val="28"/>
          <w:lang w:val="ro-RO"/>
        </w:rPr>
        <w:t>ă</w:t>
      </w:r>
      <w:r w:rsidRPr="00371B39">
        <w:rPr>
          <w:sz w:val="28"/>
          <w:szCs w:val="28"/>
          <w:lang w:val="ro-RO"/>
        </w:rPr>
        <w:t>r</w:t>
      </w:r>
      <w:r w:rsidR="00964009">
        <w:rPr>
          <w:sz w:val="28"/>
          <w:szCs w:val="28"/>
          <w:lang w:val="ro-RO"/>
        </w:rPr>
        <w:t>î</w:t>
      </w:r>
      <w:r w:rsidRPr="00371B39">
        <w:rPr>
          <w:sz w:val="28"/>
          <w:szCs w:val="28"/>
          <w:lang w:val="ro-RO"/>
        </w:rPr>
        <w:t>r</w:t>
      </w:r>
      <w:r w:rsidR="00964009">
        <w:rPr>
          <w:sz w:val="28"/>
          <w:szCs w:val="28"/>
          <w:lang w:val="ro-RO"/>
        </w:rPr>
        <w:t>ii</w:t>
      </w:r>
      <w:r w:rsidRPr="000F1393">
        <w:rPr>
          <w:sz w:val="28"/>
          <w:szCs w:val="28"/>
          <w:lang w:val="ro-RO"/>
        </w:rPr>
        <w:t xml:space="preserve"> Guvern</w:t>
      </w:r>
      <w:r w:rsidR="00964009">
        <w:rPr>
          <w:sz w:val="28"/>
          <w:szCs w:val="28"/>
          <w:lang w:val="ro-RO"/>
        </w:rPr>
        <w:t>ului</w:t>
      </w:r>
      <w:r w:rsidR="00DD3CC3" w:rsidRPr="000F1393">
        <w:rPr>
          <w:sz w:val="28"/>
          <w:szCs w:val="28"/>
          <w:lang w:val="ro-RO"/>
        </w:rPr>
        <w:t xml:space="preserve">, </w:t>
      </w:r>
      <w:r w:rsidRPr="000F1393">
        <w:rPr>
          <w:sz w:val="28"/>
          <w:szCs w:val="28"/>
          <w:lang w:val="ro-RO"/>
        </w:rPr>
        <w:t xml:space="preserve"> în scopul stabilirii specificațiilor tehnice pentru benzină și motorină precum și introducerii un</w:t>
      </w:r>
      <w:r w:rsidR="00DD3CC3" w:rsidRPr="000F1393">
        <w:rPr>
          <w:sz w:val="28"/>
          <w:szCs w:val="28"/>
          <w:lang w:val="ro-RO"/>
        </w:rPr>
        <w:t>u</w:t>
      </w:r>
      <w:r w:rsidRPr="000F1393">
        <w:rPr>
          <w:sz w:val="28"/>
          <w:szCs w:val="28"/>
          <w:lang w:val="ro-RO"/>
        </w:rPr>
        <w:t>i mecanism de  monitorizare a calității acestora, preved</w:t>
      </w:r>
      <w:r w:rsidR="003F2ED0" w:rsidRPr="000F1393">
        <w:rPr>
          <w:sz w:val="28"/>
          <w:szCs w:val="28"/>
          <w:lang w:val="ro-RO"/>
        </w:rPr>
        <w:t>e</w:t>
      </w:r>
      <w:r w:rsidRPr="000F1393">
        <w:rPr>
          <w:sz w:val="28"/>
          <w:szCs w:val="28"/>
          <w:lang w:val="ro-RO"/>
        </w:rPr>
        <w:t>rile căr</w:t>
      </w:r>
      <w:r w:rsidR="00DD3CC3" w:rsidRPr="000F1393">
        <w:rPr>
          <w:sz w:val="28"/>
          <w:szCs w:val="28"/>
          <w:lang w:val="ro-RO"/>
        </w:rPr>
        <w:t>u</w:t>
      </w:r>
      <w:r w:rsidRPr="000F1393">
        <w:rPr>
          <w:sz w:val="28"/>
          <w:szCs w:val="28"/>
          <w:lang w:val="ro-RO"/>
        </w:rPr>
        <w:t xml:space="preserve">ia </w:t>
      </w:r>
      <w:r w:rsidR="00E90A6F" w:rsidRPr="000F1393">
        <w:rPr>
          <w:sz w:val="28"/>
          <w:szCs w:val="28"/>
          <w:lang w:val="ro-RO"/>
        </w:rPr>
        <w:t xml:space="preserve">sunt bazate pe </w:t>
      </w:r>
      <w:r w:rsidRPr="000F1393">
        <w:rPr>
          <w:sz w:val="28"/>
          <w:szCs w:val="28"/>
          <w:lang w:val="ro-RO"/>
        </w:rPr>
        <w:t xml:space="preserve"> cadrul legal</w:t>
      </w:r>
      <w:r w:rsidR="00DD3CC3" w:rsidRPr="000F1393">
        <w:rPr>
          <w:sz w:val="28"/>
          <w:szCs w:val="28"/>
          <w:lang w:val="ro-RO"/>
        </w:rPr>
        <w:t xml:space="preserve"> </w:t>
      </w:r>
      <w:r w:rsidRPr="000F1393">
        <w:rPr>
          <w:sz w:val="28"/>
          <w:szCs w:val="28"/>
          <w:lang w:val="ro-RO"/>
        </w:rPr>
        <w:t xml:space="preserve">și cadrul normativ </w:t>
      </w:r>
      <w:r w:rsidR="00E90A6F" w:rsidRPr="000F1393">
        <w:rPr>
          <w:sz w:val="28"/>
          <w:szCs w:val="28"/>
          <w:lang w:val="ro-RO"/>
        </w:rPr>
        <w:t>în vigoare</w:t>
      </w:r>
      <w:r w:rsidRPr="000F1393">
        <w:rPr>
          <w:sz w:val="28"/>
          <w:szCs w:val="28"/>
          <w:lang w:val="ro-RO"/>
        </w:rPr>
        <w:t>.</w:t>
      </w:r>
    </w:p>
    <w:p w:rsidR="00ED04B2" w:rsidRPr="000F1393" w:rsidRDefault="00ED04B2" w:rsidP="005C1234">
      <w:pPr>
        <w:tabs>
          <w:tab w:val="left" w:pos="567"/>
        </w:tabs>
        <w:ind w:left="-142"/>
        <w:jc w:val="both"/>
        <w:rPr>
          <w:sz w:val="16"/>
          <w:szCs w:val="16"/>
          <w:lang w:val="ro-RO"/>
        </w:rPr>
      </w:pPr>
    </w:p>
    <w:p w:rsidR="00ED04B2" w:rsidRPr="000F1393" w:rsidRDefault="00271D49" w:rsidP="005C1234">
      <w:pPr>
        <w:tabs>
          <w:tab w:val="left" w:pos="284"/>
          <w:tab w:val="left" w:pos="567"/>
        </w:tabs>
        <w:ind w:left="-142"/>
        <w:jc w:val="both"/>
        <w:rPr>
          <w:b/>
          <w:bCs/>
          <w:sz w:val="28"/>
          <w:szCs w:val="28"/>
          <w:shd w:val="clear" w:color="auto" w:fill="FFFFFF"/>
          <w:lang w:val="ro-RO"/>
        </w:rPr>
      </w:pPr>
      <w:r>
        <w:rPr>
          <w:b/>
          <w:bCs/>
          <w:sz w:val="28"/>
          <w:szCs w:val="28"/>
          <w:shd w:val="clear" w:color="auto" w:fill="FFFFFF"/>
          <w:lang w:val="ro-RO"/>
        </w:rPr>
        <w:tab/>
      </w:r>
      <w:r w:rsidR="006C271B" w:rsidRPr="000F1393">
        <w:rPr>
          <w:b/>
          <w:bCs/>
          <w:sz w:val="28"/>
          <w:szCs w:val="28"/>
          <w:shd w:val="clear" w:color="auto" w:fill="FFFFFF"/>
          <w:lang w:val="ro-RO"/>
        </w:rPr>
        <w:t xml:space="preserve">2. </w:t>
      </w:r>
      <w:r w:rsidR="00ED04B2" w:rsidRPr="000F1393">
        <w:rPr>
          <w:b/>
          <w:bCs/>
          <w:sz w:val="28"/>
          <w:szCs w:val="28"/>
          <w:shd w:val="clear" w:color="auto" w:fill="FFFFFF"/>
          <w:lang w:val="ro-RO"/>
        </w:rPr>
        <w:t>Scopul elaborării</w:t>
      </w:r>
    </w:p>
    <w:p w:rsidR="005C1234" w:rsidRPr="000F1393" w:rsidRDefault="00371B39" w:rsidP="005C1234">
      <w:pPr>
        <w:tabs>
          <w:tab w:val="left" w:pos="284"/>
          <w:tab w:val="left" w:pos="567"/>
        </w:tabs>
        <w:ind w:left="-142"/>
        <w:jc w:val="both"/>
        <w:rPr>
          <w:bCs/>
          <w:sz w:val="28"/>
          <w:szCs w:val="28"/>
          <w:shd w:val="clear" w:color="auto" w:fill="FFFFFF"/>
          <w:lang w:val="ro-RO"/>
        </w:rPr>
      </w:pPr>
      <w:r>
        <w:rPr>
          <w:bCs/>
          <w:sz w:val="28"/>
          <w:szCs w:val="28"/>
          <w:shd w:val="clear" w:color="auto" w:fill="FFFFFF"/>
          <w:lang w:val="ro-RO"/>
        </w:rPr>
        <w:tab/>
      </w:r>
      <w:r w:rsidR="00964009">
        <w:rPr>
          <w:bCs/>
          <w:sz w:val="28"/>
          <w:szCs w:val="28"/>
          <w:shd w:val="clear" w:color="auto" w:fill="FFFFFF"/>
          <w:lang w:val="ro-RO"/>
        </w:rPr>
        <w:t>Proiectul  Hotărî</w:t>
      </w:r>
      <w:r w:rsidR="00187857" w:rsidRPr="000F1393">
        <w:rPr>
          <w:bCs/>
          <w:sz w:val="28"/>
          <w:szCs w:val="28"/>
          <w:shd w:val="clear" w:color="auto" w:fill="FFFFFF"/>
          <w:lang w:val="ro-RO"/>
        </w:rPr>
        <w:t>rii</w:t>
      </w:r>
      <w:r w:rsidR="00E90A6F" w:rsidRPr="000F1393">
        <w:rPr>
          <w:bCs/>
          <w:sz w:val="28"/>
          <w:szCs w:val="28"/>
          <w:shd w:val="clear" w:color="auto" w:fill="FFFFFF"/>
          <w:lang w:val="ro-RO"/>
        </w:rPr>
        <w:t xml:space="preserve"> Guvern</w:t>
      </w:r>
      <w:r w:rsidR="00187857" w:rsidRPr="000F1393">
        <w:rPr>
          <w:bCs/>
          <w:sz w:val="28"/>
          <w:szCs w:val="28"/>
          <w:shd w:val="clear" w:color="auto" w:fill="FFFFFF"/>
          <w:lang w:val="ro-RO"/>
        </w:rPr>
        <w:t>ului</w:t>
      </w:r>
      <w:r w:rsidR="00E90A6F" w:rsidRPr="000F1393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="00E90A6F" w:rsidRPr="000F1393">
        <w:rPr>
          <w:sz w:val="28"/>
          <w:szCs w:val="28"/>
          <w:lang w:val="ro-RO"/>
        </w:rPr>
        <w:t>cu privire la aprobarea modificărilor și completărilo</w:t>
      </w:r>
      <w:r w:rsidR="00964009">
        <w:rPr>
          <w:sz w:val="28"/>
          <w:szCs w:val="28"/>
          <w:lang w:val="ro-RO"/>
        </w:rPr>
        <w:t>r ce se operează în unele hotărî</w:t>
      </w:r>
      <w:r w:rsidR="00E90A6F" w:rsidRPr="000F1393">
        <w:rPr>
          <w:sz w:val="28"/>
          <w:szCs w:val="28"/>
          <w:lang w:val="ro-RO"/>
        </w:rPr>
        <w:t>ri ale Guvernului are ca scop completarea  cadrul normativ existent</w:t>
      </w:r>
      <w:r w:rsidR="00DD3CC3" w:rsidRPr="000F1393">
        <w:rPr>
          <w:sz w:val="28"/>
          <w:szCs w:val="28"/>
          <w:lang w:val="ro-RO"/>
        </w:rPr>
        <w:t xml:space="preserve"> </w:t>
      </w:r>
      <w:r w:rsidR="00E90A6F" w:rsidRPr="000F1393">
        <w:rPr>
          <w:sz w:val="28"/>
          <w:szCs w:val="28"/>
          <w:lang w:val="ro-RO"/>
        </w:rPr>
        <w:t xml:space="preserve">cu prevederi </w:t>
      </w:r>
      <w:r w:rsidR="00DD3CC3" w:rsidRPr="000F1393">
        <w:rPr>
          <w:sz w:val="28"/>
          <w:szCs w:val="28"/>
          <w:lang w:val="ro-RO"/>
        </w:rPr>
        <w:t xml:space="preserve">ce țin de  asigurarea calităţii benzinei și motorinei, </w:t>
      </w:r>
      <w:r w:rsidR="00E90A6F" w:rsidRPr="000F1393">
        <w:rPr>
          <w:sz w:val="28"/>
          <w:szCs w:val="28"/>
          <w:lang w:val="ro-RO"/>
        </w:rPr>
        <w:t xml:space="preserve">care corespund cerinţelor  normative armonizate cu </w:t>
      </w:r>
      <w:r w:rsidR="00DD3CC3" w:rsidRPr="000F1393">
        <w:rPr>
          <w:sz w:val="28"/>
          <w:szCs w:val="28"/>
          <w:lang w:val="ro-RO"/>
        </w:rPr>
        <w:t xml:space="preserve">cerinţele Directivei 98/70/UE. </w:t>
      </w:r>
      <w:r w:rsidR="00E90A6F" w:rsidRPr="000F1393">
        <w:rPr>
          <w:sz w:val="28"/>
          <w:szCs w:val="28"/>
          <w:lang w:val="ro-RO"/>
        </w:rPr>
        <w:t xml:space="preserve">Ca </w:t>
      </w:r>
      <w:r w:rsidR="00E90A6F" w:rsidRPr="00371B39">
        <w:rPr>
          <w:sz w:val="28"/>
          <w:szCs w:val="28"/>
          <w:lang w:val="ro-RO"/>
        </w:rPr>
        <w:t>urmare</w:t>
      </w:r>
      <w:r w:rsidR="000F1393" w:rsidRPr="00371B3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E90A6F" w:rsidRPr="000F1393">
        <w:rPr>
          <w:sz w:val="28"/>
          <w:szCs w:val="28"/>
          <w:lang w:val="ro-RO"/>
        </w:rPr>
        <w:t>proi</w:t>
      </w:r>
      <w:r w:rsidR="00DD3CC3" w:rsidRPr="000F1393">
        <w:rPr>
          <w:sz w:val="28"/>
          <w:szCs w:val="28"/>
          <w:lang w:val="ro-RO"/>
        </w:rPr>
        <w:t>e</w:t>
      </w:r>
      <w:r w:rsidR="00E90A6F" w:rsidRPr="000F1393">
        <w:rPr>
          <w:sz w:val="28"/>
          <w:szCs w:val="28"/>
          <w:lang w:val="ro-RO"/>
        </w:rPr>
        <w:t>c</w:t>
      </w:r>
      <w:r w:rsidR="00964009">
        <w:rPr>
          <w:sz w:val="28"/>
          <w:szCs w:val="28"/>
          <w:lang w:val="ro-RO"/>
        </w:rPr>
        <w:t>tul Hotărî</w:t>
      </w:r>
      <w:r w:rsidR="005C1234" w:rsidRPr="000F1393">
        <w:rPr>
          <w:sz w:val="28"/>
          <w:szCs w:val="28"/>
          <w:lang w:val="ro-RO"/>
        </w:rPr>
        <w:t xml:space="preserve">rii </w:t>
      </w:r>
      <w:r w:rsidR="00E90A6F" w:rsidRPr="000F1393">
        <w:rPr>
          <w:sz w:val="28"/>
          <w:szCs w:val="28"/>
          <w:lang w:val="ro-RO"/>
        </w:rPr>
        <w:t>Guvern</w:t>
      </w:r>
      <w:r w:rsidR="00187857" w:rsidRPr="000F1393">
        <w:rPr>
          <w:sz w:val="28"/>
          <w:szCs w:val="28"/>
          <w:lang w:val="ro-RO"/>
        </w:rPr>
        <w:t>ului</w:t>
      </w:r>
      <w:r w:rsidR="00E90A6F" w:rsidRPr="000F1393">
        <w:rPr>
          <w:sz w:val="28"/>
          <w:szCs w:val="28"/>
          <w:lang w:val="ro-RO"/>
        </w:rPr>
        <w:t xml:space="preserve"> vine cu compl</w:t>
      </w:r>
      <w:r w:rsidR="00DD3CC3" w:rsidRPr="000F1393">
        <w:rPr>
          <w:sz w:val="28"/>
          <w:szCs w:val="28"/>
          <w:lang w:val="ro-RO"/>
        </w:rPr>
        <w:t>etarea și modificarea următoare</w:t>
      </w:r>
      <w:r w:rsidR="00E90A6F" w:rsidRPr="000F1393">
        <w:rPr>
          <w:sz w:val="28"/>
          <w:szCs w:val="28"/>
          <w:lang w:val="ro-RO"/>
        </w:rPr>
        <w:t>lor acte normative:</w:t>
      </w:r>
    </w:p>
    <w:p w:rsidR="00E90A6F" w:rsidRPr="000F1393" w:rsidRDefault="00964009" w:rsidP="005C1234">
      <w:pPr>
        <w:pStyle w:val="ListParagraph"/>
        <w:numPr>
          <w:ilvl w:val="0"/>
          <w:numId w:val="18"/>
        </w:numPr>
        <w:tabs>
          <w:tab w:val="left" w:pos="284"/>
          <w:tab w:val="left" w:pos="567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>Hotărî</w:t>
      </w:r>
      <w:r w:rsidR="008D1F92" w:rsidRPr="000F1393">
        <w:rPr>
          <w:rFonts w:ascii="Times New Roman" w:hAnsi="Times New Roman" w:cs="Times New Roman"/>
          <w:noProof/>
          <w:sz w:val="28"/>
          <w:szCs w:val="28"/>
          <w:lang w:val="ro-RO"/>
        </w:rPr>
        <w:t>rea Guvernului nr. 476 din 17.04.2002 pentru aprobarea Regulamentului privind modul de transporatre a produselor petroliere importate;</w:t>
      </w:r>
    </w:p>
    <w:p w:rsidR="008D1F92" w:rsidRPr="000F1393" w:rsidRDefault="00964009" w:rsidP="005C1234">
      <w:pPr>
        <w:pStyle w:val="ListParagraph"/>
        <w:numPr>
          <w:ilvl w:val="0"/>
          <w:numId w:val="18"/>
        </w:numPr>
        <w:tabs>
          <w:tab w:val="left" w:pos="567"/>
          <w:tab w:val="left" w:pos="993"/>
        </w:tabs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Hotărî</w:t>
      </w:r>
      <w:r w:rsidR="008D1F92" w:rsidRPr="000F1393">
        <w:rPr>
          <w:rFonts w:ascii="Times New Roman" w:hAnsi="Times New Roman" w:cs="Times New Roman"/>
          <w:noProof/>
          <w:sz w:val="28"/>
          <w:szCs w:val="28"/>
          <w:lang w:val="ro-RO"/>
        </w:rPr>
        <w:t>rea Guvernului nr. 1116 din 22.08.2002 despre aprobarea Regulamentului cu privire la depozitarea și comercializarea cu ridicata, prin sistem automatizat, a produselor petroliere identificate;</w:t>
      </w:r>
    </w:p>
    <w:p w:rsidR="008D1F92" w:rsidRPr="000F1393" w:rsidRDefault="00964009" w:rsidP="00916177">
      <w:pPr>
        <w:pStyle w:val="ListParagraph"/>
        <w:numPr>
          <w:ilvl w:val="0"/>
          <w:numId w:val="18"/>
        </w:numPr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Hotărî</w:t>
      </w:r>
      <w:r w:rsidR="008D1F92" w:rsidRPr="000F1393">
        <w:rPr>
          <w:rFonts w:ascii="Times New Roman" w:hAnsi="Times New Roman" w:cs="Times New Roman"/>
          <w:noProof/>
          <w:sz w:val="28"/>
          <w:szCs w:val="28"/>
          <w:lang w:val="ro-RO"/>
        </w:rPr>
        <w:t>rea Guvernului nr. 1117 din 22.08.2002 despre aprobarea Regulamentului de comercializare cu amănuntul a produselor petroliere.</w:t>
      </w:r>
    </w:p>
    <w:p w:rsidR="00916177" w:rsidRPr="000F1393" w:rsidRDefault="00916177" w:rsidP="00916177">
      <w:pPr>
        <w:tabs>
          <w:tab w:val="left" w:pos="567"/>
        </w:tabs>
        <w:ind w:left="-142"/>
        <w:jc w:val="both"/>
        <w:rPr>
          <w:b/>
          <w:bCs/>
          <w:sz w:val="16"/>
          <w:szCs w:val="16"/>
          <w:lang w:val="ro-RO"/>
        </w:rPr>
      </w:pPr>
    </w:p>
    <w:p w:rsidR="00ED04B2" w:rsidRPr="000F1393" w:rsidRDefault="00271D49" w:rsidP="00916177">
      <w:pPr>
        <w:tabs>
          <w:tab w:val="left" w:pos="567"/>
        </w:tabs>
        <w:ind w:left="-142"/>
        <w:jc w:val="both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 w:rsidR="006C271B" w:rsidRPr="000F1393">
        <w:rPr>
          <w:b/>
          <w:bCs/>
          <w:sz w:val="28"/>
          <w:szCs w:val="28"/>
          <w:lang w:val="ro-RO"/>
        </w:rPr>
        <w:t xml:space="preserve">3. </w:t>
      </w:r>
      <w:proofErr w:type="spellStart"/>
      <w:r w:rsidR="00ED04B2" w:rsidRPr="000F1393">
        <w:rPr>
          <w:b/>
          <w:bCs/>
          <w:sz w:val="28"/>
          <w:szCs w:val="28"/>
          <w:lang w:val="ro-RO"/>
        </w:rPr>
        <w:t>Generalităţi</w:t>
      </w:r>
      <w:proofErr w:type="spellEnd"/>
    </w:p>
    <w:p w:rsidR="008037D5" w:rsidRPr="000F1393" w:rsidRDefault="006C271B" w:rsidP="00916177">
      <w:pPr>
        <w:tabs>
          <w:tab w:val="left" w:pos="567"/>
        </w:tabs>
        <w:ind w:left="-142"/>
        <w:jc w:val="both"/>
        <w:rPr>
          <w:noProof/>
          <w:sz w:val="28"/>
          <w:szCs w:val="28"/>
          <w:lang w:val="ro-RO"/>
        </w:rPr>
      </w:pPr>
      <w:r w:rsidRPr="000F1393">
        <w:rPr>
          <w:noProof/>
          <w:sz w:val="28"/>
          <w:szCs w:val="28"/>
          <w:lang w:val="ro-RO"/>
        </w:rPr>
        <w:tab/>
      </w:r>
      <w:r w:rsidR="008037D5" w:rsidRPr="000F1393">
        <w:rPr>
          <w:noProof/>
          <w:sz w:val="28"/>
          <w:szCs w:val="28"/>
          <w:lang w:val="ro-RO"/>
        </w:rPr>
        <w:t>Prevederile</w:t>
      </w:r>
      <w:r w:rsidR="00964009">
        <w:rPr>
          <w:noProof/>
          <w:sz w:val="28"/>
          <w:szCs w:val="28"/>
          <w:lang w:val="ro-RO"/>
        </w:rPr>
        <w:t xml:space="preserve"> stabilite în Hotărî</w:t>
      </w:r>
      <w:r w:rsidR="00187857" w:rsidRPr="000F1393">
        <w:rPr>
          <w:noProof/>
          <w:sz w:val="28"/>
          <w:szCs w:val="28"/>
          <w:lang w:val="ro-RO"/>
        </w:rPr>
        <w:t xml:space="preserve">rile </w:t>
      </w:r>
      <w:r w:rsidR="008037D5" w:rsidRPr="000F1393">
        <w:rPr>
          <w:noProof/>
          <w:sz w:val="28"/>
          <w:szCs w:val="28"/>
          <w:lang w:val="ro-RO"/>
        </w:rPr>
        <w:t xml:space="preserve"> Guvern</w:t>
      </w:r>
      <w:r w:rsidR="00187857" w:rsidRPr="000F1393">
        <w:rPr>
          <w:noProof/>
          <w:sz w:val="28"/>
          <w:szCs w:val="28"/>
          <w:lang w:val="ro-RO"/>
        </w:rPr>
        <w:t>ului</w:t>
      </w:r>
      <w:r w:rsidR="008037D5" w:rsidRPr="000F1393">
        <w:rPr>
          <w:noProof/>
          <w:sz w:val="28"/>
          <w:szCs w:val="28"/>
          <w:lang w:val="ro-RO"/>
        </w:rPr>
        <w:t xml:space="preserve"> nr. 1116 din 22.08.2002 și </w:t>
      </w:r>
      <w:r w:rsidR="00187857" w:rsidRPr="000F1393">
        <w:rPr>
          <w:noProof/>
          <w:sz w:val="28"/>
          <w:szCs w:val="28"/>
          <w:lang w:val="ro-RO"/>
        </w:rPr>
        <w:t xml:space="preserve">         </w:t>
      </w:r>
      <w:r w:rsidR="008037D5" w:rsidRPr="000F1393">
        <w:rPr>
          <w:noProof/>
          <w:sz w:val="28"/>
          <w:szCs w:val="28"/>
          <w:lang w:val="ro-RO"/>
        </w:rPr>
        <w:t>nr. 1117 din 22.08.202  conțin cerințe de asigurare a calității benzinei și motorinei prin pre</w:t>
      </w:r>
      <w:r w:rsidR="00DD3CC3" w:rsidRPr="000F1393">
        <w:rPr>
          <w:noProof/>
          <w:sz w:val="28"/>
          <w:szCs w:val="28"/>
          <w:lang w:val="ro-RO"/>
        </w:rPr>
        <w:t>levarea probelor în regim vamal</w:t>
      </w:r>
      <w:r w:rsidR="008037D5" w:rsidRPr="000F1393">
        <w:rPr>
          <w:noProof/>
          <w:sz w:val="28"/>
          <w:szCs w:val="28"/>
          <w:lang w:val="ro-RO"/>
        </w:rPr>
        <w:t xml:space="preserve"> și desfășurar</w:t>
      </w:r>
      <w:r w:rsidR="00DD3CC3" w:rsidRPr="000F1393">
        <w:rPr>
          <w:noProof/>
          <w:sz w:val="28"/>
          <w:szCs w:val="28"/>
          <w:lang w:val="ro-RO"/>
        </w:rPr>
        <w:t>ea  procedurilor de certificare</w:t>
      </w:r>
      <w:r w:rsidR="008037D5" w:rsidRPr="000F1393">
        <w:rPr>
          <w:noProof/>
          <w:sz w:val="28"/>
          <w:szCs w:val="28"/>
          <w:lang w:val="ro-RO"/>
        </w:rPr>
        <w:t>, în rezultatul cărora se eliberează  certificate de conformitate</w:t>
      </w:r>
      <w:r w:rsidR="00DD3CC3" w:rsidRPr="000F1393">
        <w:rPr>
          <w:noProof/>
          <w:sz w:val="28"/>
          <w:szCs w:val="28"/>
          <w:lang w:val="ro-RO"/>
        </w:rPr>
        <w:t xml:space="preserve"> pentru benzină și motorină</w:t>
      </w:r>
      <w:r w:rsidR="008037D5" w:rsidRPr="000F1393">
        <w:rPr>
          <w:noProof/>
          <w:sz w:val="28"/>
          <w:szCs w:val="28"/>
          <w:lang w:val="ro-RO"/>
        </w:rPr>
        <w:t>.</w:t>
      </w:r>
    </w:p>
    <w:p w:rsidR="008037D5" w:rsidRPr="000F1393" w:rsidRDefault="006C271B" w:rsidP="005C1234">
      <w:pPr>
        <w:pStyle w:val="tt"/>
        <w:tabs>
          <w:tab w:val="left" w:pos="567"/>
        </w:tabs>
        <w:ind w:left="-142"/>
        <w:jc w:val="both"/>
        <w:rPr>
          <w:b w:val="0"/>
          <w:sz w:val="28"/>
          <w:szCs w:val="28"/>
          <w:lang w:val="ro-RO"/>
        </w:rPr>
      </w:pPr>
      <w:r w:rsidRPr="000F1393">
        <w:rPr>
          <w:b w:val="0"/>
          <w:sz w:val="28"/>
          <w:szCs w:val="28"/>
          <w:lang w:val="ro-RO"/>
        </w:rPr>
        <w:tab/>
      </w:r>
      <w:r w:rsidR="008037D5" w:rsidRPr="000F1393">
        <w:rPr>
          <w:b w:val="0"/>
          <w:sz w:val="28"/>
          <w:szCs w:val="28"/>
          <w:lang w:val="ro-RO"/>
        </w:rPr>
        <w:t>Cerințele de asigurare a calității, stabilite la capitolul IV  din H</w:t>
      </w:r>
      <w:r w:rsidR="00964009">
        <w:rPr>
          <w:b w:val="0"/>
          <w:sz w:val="28"/>
          <w:szCs w:val="28"/>
          <w:lang w:val="ro-RO"/>
        </w:rPr>
        <w:t>otărî</w:t>
      </w:r>
      <w:r w:rsidR="00DD3CC3" w:rsidRPr="000F1393">
        <w:rPr>
          <w:b w:val="0"/>
          <w:sz w:val="28"/>
          <w:szCs w:val="28"/>
          <w:lang w:val="ro-RO"/>
        </w:rPr>
        <w:t xml:space="preserve">rea </w:t>
      </w:r>
      <w:r w:rsidR="008037D5" w:rsidRPr="000F1393">
        <w:rPr>
          <w:b w:val="0"/>
          <w:sz w:val="28"/>
          <w:szCs w:val="28"/>
          <w:lang w:val="ro-RO"/>
        </w:rPr>
        <w:t>G</w:t>
      </w:r>
      <w:r w:rsidR="00DD3CC3" w:rsidRPr="000F1393">
        <w:rPr>
          <w:b w:val="0"/>
          <w:sz w:val="28"/>
          <w:szCs w:val="28"/>
          <w:lang w:val="ro-RO"/>
        </w:rPr>
        <w:t>uvernului  nr.</w:t>
      </w:r>
      <w:r w:rsidR="008037D5" w:rsidRPr="000F1393">
        <w:rPr>
          <w:b w:val="0"/>
          <w:sz w:val="28"/>
          <w:szCs w:val="28"/>
          <w:lang w:val="ro-RO"/>
        </w:rPr>
        <w:t>1116 din 22.08.2002 prevăd o abordare diferită de prevederile Directivei 98/70/UE. Cel mai grav, este faptul că</w:t>
      </w:r>
      <w:r w:rsidR="00DD3CC3" w:rsidRPr="000F1393">
        <w:rPr>
          <w:b w:val="0"/>
          <w:sz w:val="28"/>
          <w:szCs w:val="28"/>
          <w:lang w:val="ro-RO"/>
        </w:rPr>
        <w:t>,</w:t>
      </w:r>
      <w:r w:rsidR="008037D5" w:rsidRPr="000F1393">
        <w:rPr>
          <w:b w:val="0"/>
          <w:sz w:val="28"/>
          <w:szCs w:val="28"/>
          <w:lang w:val="ro-RO"/>
        </w:rPr>
        <w:t xml:space="preserve"> nu există nici un grad de concordanță între normele naționale, stabilite prin H</w:t>
      </w:r>
      <w:r w:rsidR="00964009">
        <w:rPr>
          <w:b w:val="0"/>
          <w:sz w:val="28"/>
          <w:szCs w:val="28"/>
          <w:lang w:val="ro-RO"/>
        </w:rPr>
        <w:t>otărî</w:t>
      </w:r>
      <w:r w:rsidR="00DD3CC3" w:rsidRPr="000F1393">
        <w:rPr>
          <w:b w:val="0"/>
          <w:sz w:val="28"/>
          <w:szCs w:val="28"/>
          <w:lang w:val="ro-RO"/>
        </w:rPr>
        <w:t xml:space="preserve">rea </w:t>
      </w:r>
      <w:r w:rsidR="008037D5" w:rsidRPr="000F1393">
        <w:rPr>
          <w:b w:val="0"/>
          <w:sz w:val="28"/>
          <w:szCs w:val="28"/>
          <w:lang w:val="ro-RO"/>
        </w:rPr>
        <w:t>G</w:t>
      </w:r>
      <w:r w:rsidR="00DD3CC3" w:rsidRPr="000F1393">
        <w:rPr>
          <w:b w:val="0"/>
          <w:sz w:val="28"/>
          <w:szCs w:val="28"/>
          <w:lang w:val="ro-RO"/>
        </w:rPr>
        <w:t>uvernului nr.</w:t>
      </w:r>
      <w:r w:rsidR="008037D5" w:rsidRPr="000F1393">
        <w:rPr>
          <w:b w:val="0"/>
          <w:sz w:val="28"/>
          <w:szCs w:val="28"/>
          <w:lang w:val="ro-RO"/>
        </w:rPr>
        <w:t>1116 din 22.08.2002 și normele europene de armonizare. Mai multa ca atât, aceste norme naționale au  ca inadvertențe unele prevederi, care în maniera actuală  afectează procesul de armonizare stabilit prin H</w:t>
      </w:r>
      <w:r w:rsidR="00964009">
        <w:rPr>
          <w:b w:val="0"/>
          <w:sz w:val="28"/>
          <w:szCs w:val="28"/>
          <w:lang w:val="ro-RO"/>
        </w:rPr>
        <w:t>otărî</w:t>
      </w:r>
      <w:r w:rsidR="00DD3CC3" w:rsidRPr="000F1393">
        <w:rPr>
          <w:b w:val="0"/>
          <w:sz w:val="28"/>
          <w:szCs w:val="28"/>
          <w:lang w:val="ro-RO"/>
        </w:rPr>
        <w:t xml:space="preserve">rea </w:t>
      </w:r>
      <w:r w:rsidR="008037D5" w:rsidRPr="000F1393">
        <w:rPr>
          <w:b w:val="0"/>
          <w:sz w:val="28"/>
          <w:szCs w:val="28"/>
          <w:lang w:val="ro-RO"/>
        </w:rPr>
        <w:t>G</w:t>
      </w:r>
      <w:r w:rsidR="00DD3CC3" w:rsidRPr="000F1393">
        <w:rPr>
          <w:b w:val="0"/>
          <w:sz w:val="28"/>
          <w:szCs w:val="28"/>
          <w:lang w:val="ro-RO"/>
        </w:rPr>
        <w:t xml:space="preserve">uvernului </w:t>
      </w:r>
      <w:r w:rsidR="008037D5" w:rsidRPr="000F1393">
        <w:rPr>
          <w:b w:val="0"/>
          <w:sz w:val="28"/>
          <w:szCs w:val="28"/>
          <w:lang w:val="ro-RO"/>
        </w:rPr>
        <w:t xml:space="preserve"> nr. 1472 din 30.12.2016. </w:t>
      </w:r>
    </w:p>
    <w:p w:rsidR="008D1F9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8D1F92" w:rsidRPr="000F1393">
        <w:rPr>
          <w:sz w:val="28"/>
          <w:szCs w:val="28"/>
          <w:lang w:val="ro-RO"/>
        </w:rPr>
        <w:t>În acest sens, se impune modificarea cadrului normativ existent prin transpunerea preved</w:t>
      </w:r>
      <w:r w:rsidR="000F1393" w:rsidRPr="00371B39">
        <w:rPr>
          <w:sz w:val="28"/>
          <w:szCs w:val="28"/>
          <w:lang w:val="ro-RO"/>
        </w:rPr>
        <w:t>e</w:t>
      </w:r>
      <w:r w:rsidR="008D1F92" w:rsidRPr="00371B39">
        <w:rPr>
          <w:sz w:val="28"/>
          <w:szCs w:val="28"/>
          <w:lang w:val="ro-RO"/>
        </w:rPr>
        <w:t>ri</w:t>
      </w:r>
      <w:r w:rsidR="008D1F92" w:rsidRPr="000F1393">
        <w:rPr>
          <w:sz w:val="28"/>
          <w:szCs w:val="28"/>
          <w:lang w:val="ro-RO"/>
        </w:rPr>
        <w:t>lor Directivei 98/70/CE, care se referă la  stabilirea  specificaţiilor</w:t>
      </w:r>
      <w:r w:rsidR="008037D5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tehnice</w:t>
      </w:r>
      <w:r w:rsidR="008037D5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pentru benzină și motorină, precum și  introducerea unui</w:t>
      </w:r>
      <w:r w:rsidR="008037D5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mecanism de monitorizare a calității și cantității acestora.</w:t>
      </w:r>
      <w:r w:rsidR="00187857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Prin punerea în aplicare a</w:t>
      </w:r>
      <w:r w:rsidR="00187857" w:rsidRPr="000F1393">
        <w:rPr>
          <w:sz w:val="28"/>
          <w:szCs w:val="28"/>
          <w:lang w:val="ro-RO"/>
        </w:rPr>
        <w:t xml:space="preserve"> prevederilor proiectului </w:t>
      </w:r>
      <w:r w:rsidR="008D1F92" w:rsidRPr="000F1393">
        <w:rPr>
          <w:sz w:val="28"/>
          <w:szCs w:val="28"/>
          <w:lang w:val="ro-RO"/>
        </w:rPr>
        <w:t xml:space="preserve"> H</w:t>
      </w:r>
      <w:r w:rsidR="00964009">
        <w:rPr>
          <w:sz w:val="28"/>
          <w:szCs w:val="28"/>
          <w:lang w:val="ro-RO"/>
        </w:rPr>
        <w:t>otărî</w:t>
      </w:r>
      <w:r w:rsidR="00187857" w:rsidRPr="000F1393">
        <w:rPr>
          <w:sz w:val="28"/>
          <w:szCs w:val="28"/>
          <w:lang w:val="ro-RO"/>
        </w:rPr>
        <w:t xml:space="preserve">rii  </w:t>
      </w:r>
      <w:r w:rsidR="008D1F92" w:rsidRPr="000F1393">
        <w:rPr>
          <w:sz w:val="28"/>
          <w:szCs w:val="28"/>
          <w:lang w:val="ro-RO"/>
        </w:rPr>
        <w:t>G</w:t>
      </w:r>
      <w:r w:rsidR="00187857" w:rsidRPr="000F1393">
        <w:rPr>
          <w:sz w:val="28"/>
          <w:szCs w:val="28"/>
          <w:lang w:val="ro-RO"/>
        </w:rPr>
        <w:t xml:space="preserve">uvernului </w:t>
      </w:r>
      <w:r w:rsidR="008D1F92" w:rsidRPr="000F1393">
        <w:rPr>
          <w:sz w:val="28"/>
          <w:szCs w:val="28"/>
          <w:lang w:val="ro-RO"/>
        </w:rPr>
        <w:t xml:space="preserve"> propus se prevede implementarea unui sistem de monitorizare a calității benzinei și motorinei, </w:t>
      </w:r>
      <w:r w:rsidR="00187857" w:rsidRPr="000F1393">
        <w:rPr>
          <w:sz w:val="28"/>
          <w:szCs w:val="28"/>
          <w:lang w:val="ro-RO"/>
        </w:rPr>
        <w:t xml:space="preserve">echivalent sistemelor aplicate în ţările UE. </w:t>
      </w:r>
      <w:r w:rsidR="008D1F92" w:rsidRPr="000F1393">
        <w:rPr>
          <w:sz w:val="28"/>
          <w:szCs w:val="28"/>
          <w:lang w:val="ro-RO"/>
        </w:rPr>
        <w:t>În acest sens</w:t>
      </w:r>
      <w:r w:rsidR="00187857" w:rsidRPr="000F1393">
        <w:rPr>
          <w:sz w:val="28"/>
          <w:szCs w:val="28"/>
          <w:lang w:val="ro-RO"/>
        </w:rPr>
        <w:t xml:space="preserve">, </w:t>
      </w:r>
      <w:r w:rsidR="008D1F92" w:rsidRPr="000F1393">
        <w:rPr>
          <w:sz w:val="28"/>
          <w:szCs w:val="28"/>
          <w:lang w:val="ro-RO"/>
        </w:rPr>
        <w:t xml:space="preserve"> Ministerul Economiei și Infrastructurii, în calitate de </w:t>
      </w:r>
      <w:r w:rsidR="00187857" w:rsidRPr="000F1393">
        <w:rPr>
          <w:sz w:val="28"/>
          <w:szCs w:val="28"/>
          <w:lang w:val="ro-RO"/>
        </w:rPr>
        <w:t>autoritate</w:t>
      </w:r>
      <w:r w:rsidR="008D1F92" w:rsidRPr="000F1393">
        <w:rPr>
          <w:sz w:val="28"/>
          <w:szCs w:val="28"/>
          <w:lang w:val="ro-RO"/>
        </w:rPr>
        <w:t xml:space="preserve"> responsabilă pentru securitatea și eficiența energetică, va asigura </w:t>
      </w:r>
      <w:r w:rsidR="00187857" w:rsidRPr="000F1393">
        <w:rPr>
          <w:sz w:val="28"/>
          <w:szCs w:val="28"/>
          <w:lang w:val="ro-RO"/>
        </w:rPr>
        <w:t>gestionarea</w:t>
      </w:r>
      <w:r w:rsidR="008D1F92" w:rsidRPr="000F1393">
        <w:rPr>
          <w:sz w:val="28"/>
          <w:szCs w:val="28"/>
          <w:lang w:val="ro-RO"/>
        </w:rPr>
        <w:t xml:space="preserve"> proceselor administrative ce țin de</w:t>
      </w:r>
      <w:r w:rsidR="008037D5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 xml:space="preserve">implementarea sistemului de monitorizare a </w:t>
      </w:r>
      <w:r w:rsidR="008037D5" w:rsidRPr="000F1393">
        <w:rPr>
          <w:sz w:val="28"/>
          <w:szCs w:val="28"/>
          <w:lang w:val="ro-RO"/>
        </w:rPr>
        <w:t xml:space="preserve">calităţii </w:t>
      </w:r>
      <w:r w:rsidR="008D1F92" w:rsidRPr="000F1393">
        <w:rPr>
          <w:sz w:val="28"/>
          <w:szCs w:val="28"/>
          <w:lang w:val="ro-RO"/>
        </w:rPr>
        <w:t>benzinei și motorinei.</w:t>
      </w:r>
    </w:p>
    <w:p w:rsidR="008D1F92" w:rsidRPr="000F1393" w:rsidRDefault="006C271B" w:rsidP="005C1234">
      <w:pPr>
        <w:tabs>
          <w:tab w:val="left" w:pos="567"/>
        </w:tabs>
        <w:autoSpaceDE w:val="0"/>
        <w:autoSpaceDN w:val="0"/>
        <w:adjustRightInd w:val="0"/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187857" w:rsidRPr="000F1393">
        <w:rPr>
          <w:sz w:val="28"/>
          <w:szCs w:val="28"/>
          <w:lang w:val="ro-RO"/>
        </w:rPr>
        <w:t xml:space="preserve">Neadoptarea proiectului </w:t>
      </w:r>
      <w:r w:rsidR="008D1F92" w:rsidRPr="000F1393">
        <w:rPr>
          <w:sz w:val="28"/>
          <w:szCs w:val="28"/>
          <w:lang w:val="ro-RO"/>
        </w:rPr>
        <w:t xml:space="preserve"> H</w:t>
      </w:r>
      <w:r w:rsidR="00964009">
        <w:rPr>
          <w:sz w:val="28"/>
          <w:szCs w:val="28"/>
          <w:lang w:val="ro-RO"/>
        </w:rPr>
        <w:t>otărî</w:t>
      </w:r>
      <w:r w:rsidR="00187857" w:rsidRPr="000F1393">
        <w:rPr>
          <w:sz w:val="28"/>
          <w:szCs w:val="28"/>
          <w:lang w:val="ro-RO"/>
        </w:rPr>
        <w:t xml:space="preserve">rii  </w:t>
      </w:r>
      <w:r w:rsidR="008D1F92" w:rsidRPr="000F1393">
        <w:rPr>
          <w:sz w:val="28"/>
          <w:szCs w:val="28"/>
          <w:lang w:val="ro-RO"/>
        </w:rPr>
        <w:t>G</w:t>
      </w:r>
      <w:r w:rsidR="00187857" w:rsidRPr="000F1393">
        <w:rPr>
          <w:sz w:val="28"/>
          <w:szCs w:val="28"/>
          <w:lang w:val="ro-RO"/>
        </w:rPr>
        <w:t xml:space="preserve">uvernului menţionat, </w:t>
      </w:r>
      <w:r w:rsidR="008D1F92" w:rsidRPr="000F1393">
        <w:rPr>
          <w:sz w:val="28"/>
          <w:szCs w:val="28"/>
          <w:lang w:val="ro-RO"/>
        </w:rPr>
        <w:t>ar avea drept</w:t>
      </w:r>
      <w:r w:rsidR="00187857" w:rsidRPr="000F1393">
        <w:rPr>
          <w:sz w:val="28"/>
          <w:szCs w:val="28"/>
          <w:lang w:val="ro-RO"/>
        </w:rPr>
        <w:t xml:space="preserve"> </w:t>
      </w:r>
      <w:proofErr w:type="spellStart"/>
      <w:r w:rsidR="008D1F92" w:rsidRPr="000F1393">
        <w:rPr>
          <w:sz w:val="28"/>
          <w:szCs w:val="28"/>
          <w:lang w:val="ro-RO"/>
        </w:rPr>
        <w:t>consecinţă</w:t>
      </w:r>
      <w:proofErr w:type="spellEnd"/>
      <w:r w:rsidR="008D1F92" w:rsidRPr="000F1393">
        <w:rPr>
          <w:sz w:val="28"/>
          <w:szCs w:val="28"/>
          <w:lang w:val="ro-RO"/>
        </w:rPr>
        <w:t xml:space="preserve"> negativă întârzierea şi mai accentuată a</w:t>
      </w:r>
      <w:r w:rsidR="00187857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transpunerii şi comuni</w:t>
      </w:r>
      <w:r w:rsidR="00187857" w:rsidRPr="000F1393">
        <w:rPr>
          <w:sz w:val="28"/>
          <w:szCs w:val="28"/>
          <w:lang w:val="ro-RO"/>
        </w:rPr>
        <w:t xml:space="preserve">cării măsurilor de implementare, </w:t>
      </w:r>
      <w:r w:rsidR="008D1F92" w:rsidRPr="000F1393">
        <w:rPr>
          <w:sz w:val="28"/>
          <w:szCs w:val="28"/>
          <w:lang w:val="ro-RO"/>
        </w:rPr>
        <w:t xml:space="preserve"> referitoare la Directiva 98/70/CE, fapt ce va avea ca efect neîndeplinirea obligați</w:t>
      </w:r>
      <w:r w:rsidR="000F1393" w:rsidRPr="00371B39">
        <w:rPr>
          <w:sz w:val="28"/>
          <w:szCs w:val="28"/>
          <w:lang w:val="ro-RO"/>
        </w:rPr>
        <w:t>u</w:t>
      </w:r>
      <w:r w:rsidR="008D1F92" w:rsidRPr="000F1393">
        <w:rPr>
          <w:sz w:val="28"/>
          <w:szCs w:val="28"/>
          <w:lang w:val="ro-RO"/>
        </w:rPr>
        <w:t>nilor Republicii Moldova</w:t>
      </w:r>
      <w:r w:rsidR="00187857" w:rsidRPr="000F1393">
        <w:rPr>
          <w:sz w:val="28"/>
          <w:szCs w:val="28"/>
          <w:lang w:val="ro-RO"/>
        </w:rPr>
        <w:t xml:space="preserve">, </w:t>
      </w:r>
      <w:r w:rsidR="008D1F92" w:rsidRPr="000F1393">
        <w:rPr>
          <w:sz w:val="28"/>
          <w:szCs w:val="28"/>
          <w:lang w:val="ro-RO"/>
        </w:rPr>
        <w:t xml:space="preserve"> în procesul de armonizare cu legislația comunitară.</w:t>
      </w:r>
      <w:r w:rsidR="00187857" w:rsidRPr="000F1393">
        <w:rPr>
          <w:sz w:val="28"/>
          <w:szCs w:val="28"/>
          <w:lang w:val="ro-RO"/>
        </w:rPr>
        <w:t xml:space="preserve"> </w:t>
      </w:r>
      <w:r w:rsidR="008D1F92" w:rsidRPr="000F1393">
        <w:rPr>
          <w:sz w:val="28"/>
          <w:szCs w:val="28"/>
          <w:lang w:val="ro-RO"/>
        </w:rPr>
        <w:t>Drept  urmare</w:t>
      </w:r>
      <w:r w:rsidR="00187857" w:rsidRPr="000F1393">
        <w:rPr>
          <w:sz w:val="28"/>
          <w:szCs w:val="28"/>
          <w:lang w:val="ro-RO"/>
        </w:rPr>
        <w:t xml:space="preserve">, </w:t>
      </w:r>
      <w:r w:rsidR="008D1F92" w:rsidRPr="000F1393">
        <w:rPr>
          <w:sz w:val="28"/>
          <w:szCs w:val="28"/>
          <w:lang w:val="ro-RO"/>
        </w:rPr>
        <w:t xml:space="preserve"> agenda de armonizare a Republicii Moldova nu va fi realizată, dar nu numai atât. </w:t>
      </w:r>
      <w:r w:rsidR="00187857" w:rsidRPr="000F1393">
        <w:rPr>
          <w:sz w:val="28"/>
          <w:szCs w:val="28"/>
          <w:lang w:val="ro-RO"/>
        </w:rPr>
        <w:t>Va fi afectat</w:t>
      </w:r>
      <w:r w:rsidR="008D1F92" w:rsidRPr="000F1393">
        <w:rPr>
          <w:sz w:val="28"/>
          <w:szCs w:val="28"/>
          <w:lang w:val="ro-RO"/>
        </w:rPr>
        <w:t xml:space="preserve"> ș</w:t>
      </w:r>
      <w:r w:rsidR="00964009">
        <w:rPr>
          <w:sz w:val="28"/>
          <w:szCs w:val="28"/>
          <w:lang w:val="ro-RO"/>
        </w:rPr>
        <w:t>i procesul de executare a Hotărî</w:t>
      </w:r>
      <w:r w:rsidR="008D1F92" w:rsidRPr="000F1393">
        <w:rPr>
          <w:sz w:val="28"/>
          <w:szCs w:val="28"/>
          <w:lang w:val="ro-RO"/>
        </w:rPr>
        <w:t xml:space="preserve">rii Guvernului nr. 890 din 20.07.2016 </w:t>
      </w:r>
      <w:r w:rsidR="00187857" w:rsidRPr="000F1393">
        <w:rPr>
          <w:sz w:val="28"/>
          <w:szCs w:val="28"/>
          <w:lang w:val="ro-RO"/>
        </w:rPr>
        <w:t>c</w:t>
      </w:r>
      <w:r w:rsidR="008D1F92" w:rsidRPr="000F1393">
        <w:rPr>
          <w:sz w:val="28"/>
          <w:szCs w:val="28"/>
          <w:lang w:val="ro-RO"/>
        </w:rPr>
        <w:t>u privire la aprobarea Planului de acţiuni al Guvernului pentru anii 2016-2018, la subi</w:t>
      </w:r>
      <w:r w:rsidR="000F1393" w:rsidRPr="00371B39">
        <w:rPr>
          <w:sz w:val="28"/>
          <w:szCs w:val="28"/>
          <w:lang w:val="ro-RO"/>
        </w:rPr>
        <w:t>e</w:t>
      </w:r>
      <w:r w:rsidR="008D1F92" w:rsidRPr="00371B39">
        <w:rPr>
          <w:sz w:val="28"/>
          <w:szCs w:val="28"/>
          <w:lang w:val="ro-RO"/>
        </w:rPr>
        <w:t>c</w:t>
      </w:r>
      <w:r w:rsidR="008D1F92" w:rsidRPr="000F1393">
        <w:rPr>
          <w:sz w:val="28"/>
          <w:szCs w:val="28"/>
          <w:lang w:val="ro-RO"/>
        </w:rPr>
        <w:t>tele ce țin de realizarea preved</w:t>
      </w:r>
      <w:r w:rsidR="000F1393" w:rsidRPr="00371B39">
        <w:rPr>
          <w:sz w:val="28"/>
          <w:szCs w:val="28"/>
          <w:lang w:val="ro-RO"/>
        </w:rPr>
        <w:t>e</w:t>
      </w:r>
      <w:r w:rsidR="008D1F92" w:rsidRPr="00371B39">
        <w:rPr>
          <w:sz w:val="28"/>
          <w:szCs w:val="28"/>
          <w:lang w:val="ro-RO"/>
        </w:rPr>
        <w:t>r</w:t>
      </w:r>
      <w:r w:rsidR="008D1F92" w:rsidRPr="000F1393">
        <w:rPr>
          <w:sz w:val="28"/>
          <w:szCs w:val="28"/>
          <w:lang w:val="ro-RO"/>
        </w:rPr>
        <w:t>ilor Acordului de Asociere.</w:t>
      </w:r>
    </w:p>
    <w:p w:rsidR="008D1F92" w:rsidRPr="000F1393" w:rsidRDefault="008D1F92" w:rsidP="005C1234">
      <w:pPr>
        <w:tabs>
          <w:tab w:val="left" w:pos="567"/>
        </w:tabs>
        <w:ind w:left="-142"/>
        <w:jc w:val="both"/>
        <w:rPr>
          <w:sz w:val="16"/>
          <w:szCs w:val="16"/>
          <w:lang w:val="ro-RO"/>
        </w:rPr>
      </w:pPr>
    </w:p>
    <w:p w:rsidR="00ED04B2" w:rsidRPr="000F1393" w:rsidRDefault="00271D49" w:rsidP="005C1234">
      <w:pPr>
        <w:tabs>
          <w:tab w:val="left" w:pos="567"/>
          <w:tab w:val="left" w:pos="709"/>
        </w:tabs>
        <w:ind w:left="-142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ab/>
      </w:r>
      <w:r w:rsidR="006C271B" w:rsidRPr="000F1393">
        <w:rPr>
          <w:b/>
          <w:sz w:val="28"/>
          <w:szCs w:val="28"/>
          <w:shd w:val="clear" w:color="auto" w:fill="FFFFFF"/>
          <w:lang w:val="ro-RO"/>
        </w:rPr>
        <w:t xml:space="preserve">4. </w:t>
      </w:r>
      <w:proofErr w:type="spellStart"/>
      <w:r w:rsidR="00964009">
        <w:rPr>
          <w:b/>
          <w:sz w:val="28"/>
          <w:szCs w:val="28"/>
          <w:shd w:val="clear" w:color="auto" w:fill="FFFFFF"/>
          <w:lang w:val="ro-RO"/>
        </w:rPr>
        <w:t>Esenţa</w:t>
      </w:r>
      <w:proofErr w:type="spellEnd"/>
      <w:r w:rsidR="00964009">
        <w:rPr>
          <w:b/>
          <w:sz w:val="28"/>
          <w:szCs w:val="28"/>
          <w:shd w:val="clear" w:color="auto" w:fill="FFFFFF"/>
          <w:lang w:val="ro-RO"/>
        </w:rPr>
        <w:t xml:space="preserve"> proiectului de hotărî</w:t>
      </w:r>
      <w:r w:rsidR="00ED04B2" w:rsidRPr="000F1393">
        <w:rPr>
          <w:b/>
          <w:sz w:val="28"/>
          <w:szCs w:val="28"/>
          <w:shd w:val="clear" w:color="auto" w:fill="FFFFFF"/>
          <w:lang w:val="ro-RO"/>
        </w:rPr>
        <w:t>re</w:t>
      </w:r>
    </w:p>
    <w:p w:rsidR="00E15D54" w:rsidRPr="000F1393" w:rsidRDefault="006C271B" w:rsidP="005C1234">
      <w:pPr>
        <w:pStyle w:val="NormalWeb"/>
        <w:tabs>
          <w:tab w:val="left" w:pos="567"/>
        </w:tabs>
        <w:spacing w:before="0" w:beforeAutospacing="0" w:after="0" w:afterAutospacing="0"/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D26BE4" w:rsidRPr="000F1393">
        <w:rPr>
          <w:sz w:val="28"/>
          <w:szCs w:val="28"/>
          <w:lang w:val="ro-RO"/>
        </w:rPr>
        <w:t>P</w:t>
      </w:r>
      <w:r w:rsidR="00D14A00" w:rsidRPr="000F1393">
        <w:rPr>
          <w:sz w:val="28"/>
          <w:szCs w:val="28"/>
          <w:lang w:val="ro-RO"/>
        </w:rPr>
        <w:t>roiect</w:t>
      </w:r>
      <w:r w:rsidR="00D26BE4" w:rsidRPr="000F1393">
        <w:rPr>
          <w:sz w:val="28"/>
          <w:szCs w:val="28"/>
          <w:lang w:val="ro-RO"/>
        </w:rPr>
        <w:t xml:space="preserve">ul </w:t>
      </w:r>
      <w:r w:rsidR="00D14A00" w:rsidRPr="000F1393">
        <w:rPr>
          <w:sz w:val="28"/>
          <w:szCs w:val="28"/>
          <w:lang w:val="ro-RO"/>
        </w:rPr>
        <w:t xml:space="preserve"> </w:t>
      </w:r>
      <w:r w:rsidR="00964009">
        <w:rPr>
          <w:sz w:val="28"/>
          <w:szCs w:val="28"/>
          <w:lang w:val="ro-RO"/>
        </w:rPr>
        <w:t>Hotărî</w:t>
      </w:r>
      <w:r w:rsidR="001C59FB" w:rsidRPr="000F1393">
        <w:rPr>
          <w:sz w:val="28"/>
          <w:szCs w:val="28"/>
          <w:lang w:val="ro-RO"/>
        </w:rPr>
        <w:t>r</w:t>
      </w:r>
      <w:r w:rsidR="00D26BE4" w:rsidRPr="000F1393">
        <w:rPr>
          <w:sz w:val="28"/>
          <w:szCs w:val="28"/>
          <w:lang w:val="ro-RO"/>
        </w:rPr>
        <w:t xml:space="preserve">ii  </w:t>
      </w:r>
      <w:r w:rsidR="001C59FB" w:rsidRPr="000F1393">
        <w:rPr>
          <w:sz w:val="28"/>
          <w:szCs w:val="28"/>
          <w:lang w:val="ro-RO"/>
        </w:rPr>
        <w:t xml:space="preserve"> Guvern</w:t>
      </w:r>
      <w:r w:rsidR="00D26BE4" w:rsidRPr="000F1393">
        <w:rPr>
          <w:sz w:val="28"/>
          <w:szCs w:val="28"/>
          <w:lang w:val="ro-RO"/>
        </w:rPr>
        <w:t xml:space="preserve">ului </w:t>
      </w:r>
      <w:r w:rsidR="001C59FB" w:rsidRPr="000F1393">
        <w:rPr>
          <w:sz w:val="28"/>
          <w:szCs w:val="28"/>
          <w:lang w:val="ro-RO"/>
        </w:rPr>
        <w:t xml:space="preserve"> prevede </w:t>
      </w:r>
      <w:r w:rsidR="009F7CD6" w:rsidRPr="000F1393">
        <w:rPr>
          <w:sz w:val="28"/>
          <w:szCs w:val="28"/>
          <w:lang w:val="ro-RO"/>
        </w:rPr>
        <w:t xml:space="preserve">implementarea  </w:t>
      </w:r>
      <w:r w:rsidR="00E15D54" w:rsidRPr="000F1393">
        <w:rPr>
          <w:rStyle w:val="Strong"/>
          <w:b w:val="0"/>
          <w:color w:val="000000"/>
          <w:sz w:val="28"/>
          <w:szCs w:val="28"/>
          <w:lang w:val="ro-RO"/>
        </w:rPr>
        <w:t xml:space="preserve">prevederilor Legii </w:t>
      </w:r>
      <w:r w:rsidR="00964009">
        <w:rPr>
          <w:rStyle w:val="Strong"/>
          <w:b w:val="0"/>
          <w:color w:val="000000"/>
          <w:sz w:val="28"/>
          <w:szCs w:val="28"/>
          <w:lang w:val="ro-RO"/>
        </w:rPr>
        <w:t xml:space="preserve">   </w:t>
      </w:r>
      <w:r w:rsidR="00964009">
        <w:rPr>
          <w:color w:val="000000"/>
          <w:sz w:val="28"/>
          <w:szCs w:val="28"/>
          <w:lang w:val="ro-RO"/>
        </w:rPr>
        <w:t>nr.</w:t>
      </w:r>
      <w:r w:rsidR="00E15D54" w:rsidRPr="000F1393">
        <w:rPr>
          <w:color w:val="000000"/>
          <w:sz w:val="28"/>
          <w:szCs w:val="28"/>
          <w:lang w:val="ro-RO"/>
        </w:rPr>
        <w:t xml:space="preserve">112 din  02.07.2014, și anume </w:t>
      </w:r>
      <w:r w:rsidR="00D26BE4" w:rsidRPr="000F1393">
        <w:rPr>
          <w:color w:val="000000"/>
          <w:sz w:val="28"/>
          <w:szCs w:val="28"/>
          <w:lang w:val="ro-RO"/>
        </w:rPr>
        <w:t xml:space="preserve">a </w:t>
      </w:r>
      <w:r w:rsidR="00E15D54" w:rsidRPr="000F1393">
        <w:rPr>
          <w:color w:val="000000"/>
          <w:sz w:val="28"/>
          <w:szCs w:val="28"/>
          <w:lang w:val="ro-RO"/>
        </w:rPr>
        <w:t>preve</w:t>
      </w:r>
      <w:r w:rsidR="00E15D54" w:rsidRPr="00371B39">
        <w:rPr>
          <w:color w:val="000000"/>
          <w:sz w:val="28"/>
          <w:szCs w:val="28"/>
          <w:lang w:val="ro-RO"/>
        </w:rPr>
        <w:t>d</w:t>
      </w:r>
      <w:r w:rsidR="000F1393" w:rsidRPr="00371B39">
        <w:rPr>
          <w:color w:val="000000"/>
          <w:sz w:val="28"/>
          <w:szCs w:val="28"/>
          <w:lang w:val="ro-RO"/>
        </w:rPr>
        <w:t>e</w:t>
      </w:r>
      <w:r w:rsidR="00E15D54" w:rsidRPr="00371B39">
        <w:rPr>
          <w:color w:val="000000"/>
          <w:sz w:val="28"/>
          <w:szCs w:val="28"/>
          <w:lang w:val="ro-RO"/>
        </w:rPr>
        <w:t>ri</w:t>
      </w:r>
      <w:r w:rsidR="00E15D54" w:rsidRPr="000F1393">
        <w:rPr>
          <w:color w:val="000000"/>
          <w:sz w:val="28"/>
          <w:szCs w:val="28"/>
          <w:lang w:val="ro-RO"/>
        </w:rPr>
        <w:t>i anexei XII</w:t>
      </w:r>
      <w:r w:rsidR="00D26BE4" w:rsidRPr="000F1393">
        <w:rPr>
          <w:color w:val="000000"/>
          <w:sz w:val="28"/>
          <w:szCs w:val="28"/>
          <w:lang w:val="ro-RO"/>
        </w:rPr>
        <w:t xml:space="preserve">, </w:t>
      </w:r>
      <w:r w:rsidR="00E15D54" w:rsidRPr="000F1393">
        <w:rPr>
          <w:color w:val="000000"/>
          <w:sz w:val="28"/>
          <w:szCs w:val="28"/>
          <w:lang w:val="ro-RO"/>
        </w:rPr>
        <w:t xml:space="preserve"> ce ține de </w:t>
      </w:r>
      <w:r w:rsidR="00AD0019" w:rsidRPr="000F1393">
        <w:rPr>
          <w:sz w:val="28"/>
          <w:szCs w:val="28"/>
          <w:lang w:val="ro-RO"/>
        </w:rPr>
        <w:t xml:space="preserve"> stabilirea unui </w:t>
      </w:r>
      <w:r w:rsidR="00AD0019" w:rsidRPr="000F1393">
        <w:rPr>
          <w:sz w:val="28"/>
          <w:szCs w:val="28"/>
          <w:lang w:val="ro-RO"/>
        </w:rPr>
        <w:lastRenderedPageBreak/>
        <w:t>sistem de monitorizare a calităţii combustibililor</w:t>
      </w:r>
      <w:r w:rsidR="009F7CD6" w:rsidRPr="000F1393">
        <w:rPr>
          <w:sz w:val="28"/>
          <w:szCs w:val="28"/>
          <w:lang w:val="ro-RO"/>
        </w:rPr>
        <w:t xml:space="preserve">. </w:t>
      </w:r>
      <w:r w:rsidR="00964009">
        <w:rPr>
          <w:sz w:val="28"/>
          <w:szCs w:val="28"/>
          <w:lang w:val="ro-RO"/>
        </w:rPr>
        <w:t>Totodată proiectul Hotărî</w:t>
      </w:r>
      <w:r w:rsidR="00D26BE4" w:rsidRPr="000F1393">
        <w:rPr>
          <w:sz w:val="28"/>
          <w:szCs w:val="28"/>
          <w:lang w:val="ro-RO"/>
        </w:rPr>
        <w:t>rii</w:t>
      </w:r>
      <w:r w:rsidR="00E15D54" w:rsidRPr="000F1393">
        <w:rPr>
          <w:sz w:val="28"/>
          <w:szCs w:val="28"/>
          <w:lang w:val="ro-RO"/>
        </w:rPr>
        <w:t xml:space="preserve"> Guvern</w:t>
      </w:r>
      <w:r w:rsidR="00D26BE4" w:rsidRPr="000F1393">
        <w:rPr>
          <w:sz w:val="28"/>
          <w:szCs w:val="28"/>
          <w:lang w:val="ro-RO"/>
        </w:rPr>
        <w:t xml:space="preserve">ului </w:t>
      </w:r>
      <w:r w:rsidR="006604E8" w:rsidRPr="000F1393">
        <w:rPr>
          <w:sz w:val="28"/>
          <w:szCs w:val="28"/>
          <w:lang w:val="ro-RO"/>
        </w:rPr>
        <w:t xml:space="preserve">prevede stabilirea </w:t>
      </w:r>
      <w:r w:rsidR="00E15D54" w:rsidRPr="000F1393">
        <w:rPr>
          <w:sz w:val="28"/>
          <w:szCs w:val="28"/>
          <w:lang w:val="ro-RO"/>
        </w:rPr>
        <w:t xml:space="preserve">specificaţiilor tehnice obligatorii pentru combustibilii, care sunt folosiți pentru motoare cu aprindere prin scânteie și motoare  cu aprindere prin compresie. </w:t>
      </w:r>
    </w:p>
    <w:p w:rsidR="00BF34EF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964009">
        <w:rPr>
          <w:sz w:val="28"/>
          <w:szCs w:val="28"/>
          <w:lang w:val="ro-RO"/>
        </w:rPr>
        <w:t>Aprobarea proiectului  Hotărî</w:t>
      </w:r>
      <w:r w:rsidR="006604E8" w:rsidRPr="000F1393">
        <w:rPr>
          <w:sz w:val="28"/>
          <w:szCs w:val="28"/>
          <w:lang w:val="ro-RO"/>
        </w:rPr>
        <w:t>rii</w:t>
      </w:r>
      <w:r w:rsidR="00BF34EF" w:rsidRPr="000F1393">
        <w:rPr>
          <w:sz w:val="28"/>
          <w:szCs w:val="28"/>
          <w:lang w:val="ro-RO"/>
        </w:rPr>
        <w:t xml:space="preserve"> Guvern</w:t>
      </w:r>
      <w:r w:rsidR="006604E8" w:rsidRPr="000F1393">
        <w:rPr>
          <w:sz w:val="28"/>
          <w:szCs w:val="28"/>
          <w:lang w:val="ro-RO"/>
        </w:rPr>
        <w:t>ului</w:t>
      </w:r>
      <w:r w:rsidR="00BF34EF" w:rsidRPr="000F1393">
        <w:rPr>
          <w:sz w:val="28"/>
          <w:szCs w:val="28"/>
          <w:lang w:val="ro-RO"/>
        </w:rPr>
        <w:t xml:space="preserve">  va contribui la asigurarea sănătăţii publice, securităţii naţionale şi protecţiei mediului înconjurător, protecţiei intereselor consumatorilor, inclusiv prevenirea practicilor care induc în eroare consumatorii în ceea ce priveşte </w:t>
      </w:r>
      <w:proofErr w:type="spellStart"/>
      <w:r w:rsidR="00BF34EF" w:rsidRPr="000F1393">
        <w:rPr>
          <w:sz w:val="28"/>
          <w:szCs w:val="28"/>
          <w:lang w:val="ro-RO"/>
        </w:rPr>
        <w:t>compoziţia</w:t>
      </w:r>
      <w:proofErr w:type="spellEnd"/>
      <w:r w:rsidR="00BF34EF" w:rsidRPr="000F1393">
        <w:rPr>
          <w:sz w:val="28"/>
          <w:szCs w:val="28"/>
          <w:lang w:val="ro-RO"/>
        </w:rPr>
        <w:t>, destinaţia, calitatea şi inofensivitatea benzinei și motorinei.</w:t>
      </w:r>
    </w:p>
    <w:p w:rsidR="00BF34EF" w:rsidRPr="000F1393" w:rsidRDefault="00964009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 Hotărî</w:t>
      </w:r>
      <w:r w:rsidR="00BF34EF" w:rsidRPr="000F1393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 xml:space="preserve">ii </w:t>
      </w:r>
      <w:r w:rsidR="00BF34EF" w:rsidRPr="000F1393">
        <w:rPr>
          <w:sz w:val="28"/>
          <w:szCs w:val="28"/>
          <w:lang w:val="ro-RO"/>
        </w:rPr>
        <w:t xml:space="preserve"> Guvern</w:t>
      </w:r>
      <w:r>
        <w:rPr>
          <w:sz w:val="28"/>
          <w:szCs w:val="28"/>
          <w:lang w:val="ro-RO"/>
        </w:rPr>
        <w:t>ului</w:t>
      </w:r>
      <w:r w:rsidR="00BF34EF" w:rsidRPr="000F1393">
        <w:rPr>
          <w:sz w:val="28"/>
          <w:szCs w:val="28"/>
          <w:lang w:val="ro-RO"/>
        </w:rPr>
        <w:t xml:space="preserve">   cuprinde  următoarele aspecte: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introducerea definițiilor de benzină, motorină, conform definițiilor stabilite în  Directiva 98/70/CE;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stabilirea  specificațiilor tehnice către benzina și motorina 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>introdusă pe piață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, cu transcrierea  cerințelor din anexele  I și II  din Directiva 98/70/CE;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stabilirea conformității parametrilor benzinei și motorinei importate la cerințele   standardelor SM EN 228 ”</w:t>
      </w:r>
      <w:r w:rsidRPr="000F1393">
        <w:rPr>
          <w:rFonts w:ascii="Times New Roman" w:eastAsia="Times New Roman" w:hAnsi="Times New Roman" w:cs="Times New Roman"/>
          <w:sz w:val="28"/>
          <w:szCs w:val="28"/>
          <w:lang w:val="ro-RO"/>
        </w:rPr>
        <w:t>Carburanți pentru automobile. Benzină fără plumb. Cerințe și metode de încercare”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și SM EN 590 </w:t>
      </w:r>
      <w:r w:rsidRPr="000F1393">
        <w:rPr>
          <w:rFonts w:ascii="Times New Roman" w:eastAsia="Times New Roman" w:hAnsi="Times New Roman" w:cs="Times New Roman"/>
          <w:sz w:val="28"/>
          <w:szCs w:val="28"/>
          <w:lang w:val="ro-RO"/>
        </w:rPr>
        <w:t>”Carburanți pentru automobile. Motorină. Cerințe și metode de încercare”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elaborarea planului național de prelevare a probelor conform standardului SM EN 14274, care specifică  cerințe către prelevarea probelor minimale pentru fiecare tip de combustibil – numărul, periodicitatea (vara/iarnă), locațiile de distribuție (loc/punct cu amănuntul sau comercial unde combustibilul este distribuit în vehicule rutiere);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elaborarea raportului anual cu datele naționale privind monitorizarea calității benzinei și motorinei, public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area acestuia și transmiterea 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Comisiei Europene;</w:t>
      </w:r>
    </w:p>
    <w:p w:rsidR="00BF34EF" w:rsidRPr="000F1393" w:rsidRDefault="00BF34EF" w:rsidP="00916177">
      <w:pPr>
        <w:pStyle w:val="ListParagraph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recunoașterea organism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 de inspecției pentru activitatea de eșantionare.</w:t>
      </w:r>
    </w:p>
    <w:p w:rsidR="00BF34EF" w:rsidRPr="000F1393" w:rsidRDefault="00BF34EF" w:rsidP="005C1234">
      <w:pPr>
        <w:tabs>
          <w:tab w:val="left" w:pos="567"/>
        </w:tabs>
        <w:ind w:left="-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ro-RO"/>
        </w:rPr>
      </w:pPr>
      <w:r w:rsidRPr="000F1393">
        <w:rPr>
          <w:sz w:val="28"/>
          <w:szCs w:val="28"/>
          <w:lang w:val="ro-RO"/>
        </w:rPr>
        <w:t xml:space="preserve">Complementar </w:t>
      </w:r>
      <w:r w:rsidR="006C271B" w:rsidRPr="000F1393">
        <w:rPr>
          <w:sz w:val="28"/>
          <w:szCs w:val="28"/>
          <w:lang w:val="ro-RO"/>
        </w:rPr>
        <w:t>î</w:t>
      </w:r>
      <w:r w:rsidR="00964009">
        <w:rPr>
          <w:sz w:val="28"/>
          <w:szCs w:val="28"/>
          <w:lang w:val="ro-RO"/>
        </w:rPr>
        <w:t>n proiectul Hotărî</w:t>
      </w:r>
      <w:r w:rsidRPr="000F1393">
        <w:rPr>
          <w:sz w:val="28"/>
          <w:szCs w:val="28"/>
          <w:lang w:val="ro-RO"/>
        </w:rPr>
        <w:t>r</w:t>
      </w:r>
      <w:r w:rsidR="006604E8" w:rsidRPr="000F1393">
        <w:rPr>
          <w:sz w:val="28"/>
          <w:szCs w:val="28"/>
          <w:lang w:val="ro-RO"/>
        </w:rPr>
        <w:t xml:space="preserve">ii </w:t>
      </w:r>
      <w:r w:rsidRPr="000F1393">
        <w:rPr>
          <w:sz w:val="28"/>
          <w:szCs w:val="28"/>
          <w:lang w:val="ro-RO"/>
        </w:rPr>
        <w:t xml:space="preserve"> Guvern</w:t>
      </w:r>
      <w:r w:rsidR="006604E8" w:rsidRPr="000F1393">
        <w:rPr>
          <w:sz w:val="28"/>
          <w:szCs w:val="28"/>
          <w:lang w:val="ro-RO"/>
        </w:rPr>
        <w:t>ului</w:t>
      </w:r>
      <w:r w:rsidRPr="000F1393">
        <w:rPr>
          <w:sz w:val="28"/>
          <w:szCs w:val="28"/>
          <w:lang w:val="ro-RO"/>
        </w:rPr>
        <w:t xml:space="preserve"> </w:t>
      </w:r>
      <w:r w:rsidRPr="000F1393">
        <w:rPr>
          <w:color w:val="000000"/>
          <w:sz w:val="28"/>
          <w:szCs w:val="28"/>
          <w:bdr w:val="none" w:sz="0" w:space="0" w:color="auto" w:frame="1"/>
          <w:lang w:val="ro-RO"/>
        </w:rPr>
        <w:t>sunt prezentate:</w:t>
      </w:r>
    </w:p>
    <w:p w:rsidR="00BF34EF" w:rsidRPr="000F1393" w:rsidRDefault="00BF34EF" w:rsidP="00916177">
      <w:pPr>
        <w:pStyle w:val="ListParagraph"/>
        <w:numPr>
          <w:ilvl w:val="0"/>
          <w:numId w:val="20"/>
        </w:numPr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color w:val="424242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criteriile de evaluare</w:t>
      </w:r>
      <w:r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 a organismelor de inspecției în vederea recunoaşterii;</w:t>
      </w:r>
    </w:p>
    <w:p w:rsidR="00BF34EF" w:rsidRPr="000F1393" w:rsidRDefault="00BF34EF" w:rsidP="00916177">
      <w:pPr>
        <w:pStyle w:val="ListParagraph"/>
        <w:numPr>
          <w:ilvl w:val="0"/>
          <w:numId w:val="20"/>
        </w:numPr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color w:val="424242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modelul procesul-verbal  de eșantionare</w:t>
      </w:r>
      <w:r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 xml:space="preserve">,  în </w:t>
      </w:r>
      <w:r w:rsidR="006604E8"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scopul</w:t>
      </w:r>
      <w:r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 xml:space="preserve"> determinării specificațiilor tehnice pentru carburanții folosiți la autovehiculele echipate cu motoare cu aprindere prin scânteie sau cu motoare cu aprindere prin comprimare, în vederea protejării </w:t>
      </w:r>
      <w:r w:rsidR="006604E8"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 xml:space="preserve">drepturilor consumatorilor, precum și </w:t>
      </w:r>
      <w:r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sănătății populației și mediului;</w:t>
      </w:r>
    </w:p>
    <w:p w:rsidR="00BF34EF" w:rsidRPr="000F1393" w:rsidRDefault="00BF34EF" w:rsidP="002963C3">
      <w:pPr>
        <w:pStyle w:val="ListParagraph"/>
        <w:numPr>
          <w:ilvl w:val="0"/>
          <w:numId w:val="20"/>
        </w:numPr>
        <w:tabs>
          <w:tab w:val="left" w:pos="567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</w:pPr>
      <w:r w:rsidRPr="000F139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metodologia de </w:t>
      </w:r>
      <w:proofErr w:type="spellStart"/>
      <w:r w:rsidRPr="000F139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eşantionare</w:t>
      </w:r>
      <w:proofErr w:type="spellEnd"/>
      <w:r w:rsidR="00616F25" w:rsidRPr="000F13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>.</w:t>
      </w:r>
    </w:p>
    <w:p w:rsidR="002963C3" w:rsidRPr="000F1393" w:rsidRDefault="002963C3" w:rsidP="002963C3">
      <w:pPr>
        <w:pStyle w:val="ListParagraph"/>
        <w:tabs>
          <w:tab w:val="left" w:pos="567"/>
        </w:tabs>
        <w:spacing w:after="0"/>
        <w:ind w:left="578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ro-RO"/>
        </w:rPr>
      </w:pPr>
    </w:p>
    <w:p w:rsidR="00ED04B2" w:rsidRPr="000F1393" w:rsidRDefault="00271D49" w:rsidP="002963C3">
      <w:pPr>
        <w:tabs>
          <w:tab w:val="left" w:pos="567"/>
          <w:tab w:val="left" w:pos="993"/>
        </w:tabs>
        <w:ind w:left="-142"/>
        <w:jc w:val="both"/>
        <w:rPr>
          <w:b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ro-RO" w:eastAsia="en-US"/>
        </w:rPr>
        <w:tab/>
      </w:r>
      <w:r w:rsidR="006C271B" w:rsidRPr="000F1393">
        <w:rPr>
          <w:b/>
          <w:color w:val="000000"/>
          <w:sz w:val="28"/>
          <w:szCs w:val="28"/>
          <w:bdr w:val="none" w:sz="0" w:space="0" w:color="auto" w:frame="1"/>
          <w:lang w:val="ro-RO" w:eastAsia="en-US"/>
        </w:rPr>
        <w:t>5</w:t>
      </w:r>
      <w:r w:rsidR="006C271B" w:rsidRPr="000F1393">
        <w:rPr>
          <w:color w:val="000000"/>
          <w:sz w:val="28"/>
          <w:szCs w:val="28"/>
          <w:bdr w:val="none" w:sz="0" w:space="0" w:color="auto" w:frame="1"/>
          <w:lang w:val="ro-RO" w:eastAsia="en-US"/>
        </w:rPr>
        <w:t xml:space="preserve">. </w:t>
      </w:r>
      <w:r w:rsidR="00ED04B2" w:rsidRPr="000F1393">
        <w:rPr>
          <w:b/>
          <w:sz w:val="28"/>
          <w:szCs w:val="28"/>
          <w:lang w:val="ro-RO"/>
        </w:rPr>
        <w:t>Argumentarea şi gradul compatibilităţii proiectului cu legislaţia comunitară</w:t>
      </w:r>
    </w:p>
    <w:p w:rsidR="00BF34EF" w:rsidRPr="000F1393" w:rsidRDefault="006C271B" w:rsidP="002963C3">
      <w:pPr>
        <w:pStyle w:val="NormalWeb"/>
        <w:tabs>
          <w:tab w:val="left" w:pos="567"/>
        </w:tabs>
        <w:spacing w:before="0" w:beforeAutospacing="0" w:after="0" w:afterAutospacing="0"/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964009">
        <w:rPr>
          <w:sz w:val="28"/>
          <w:szCs w:val="28"/>
          <w:lang w:val="ro-RO"/>
        </w:rPr>
        <w:t>Aprobarea proiectului Hotărî</w:t>
      </w:r>
      <w:r w:rsidR="00BF34EF" w:rsidRPr="000F1393">
        <w:rPr>
          <w:sz w:val="28"/>
          <w:szCs w:val="28"/>
          <w:lang w:val="ro-RO"/>
        </w:rPr>
        <w:t>r</w:t>
      </w:r>
      <w:r w:rsidR="006604E8" w:rsidRPr="000F1393">
        <w:rPr>
          <w:sz w:val="28"/>
          <w:szCs w:val="28"/>
          <w:lang w:val="ro-RO"/>
        </w:rPr>
        <w:t xml:space="preserve">ii </w:t>
      </w:r>
      <w:r w:rsidR="00BF34EF" w:rsidRPr="000F1393">
        <w:rPr>
          <w:sz w:val="28"/>
          <w:szCs w:val="28"/>
          <w:lang w:val="ro-RO"/>
        </w:rPr>
        <w:t xml:space="preserve"> Guvern</w:t>
      </w:r>
      <w:r w:rsidR="006604E8" w:rsidRPr="000F1393">
        <w:rPr>
          <w:sz w:val="28"/>
          <w:szCs w:val="28"/>
          <w:lang w:val="ro-RO"/>
        </w:rPr>
        <w:t>ului</w:t>
      </w:r>
      <w:r w:rsidR="00BF34EF" w:rsidRPr="000F1393">
        <w:rPr>
          <w:sz w:val="28"/>
          <w:szCs w:val="28"/>
          <w:lang w:val="ro-RO"/>
        </w:rPr>
        <w:t xml:space="preserve">  va contribui la asigurarea sănătăţii publice, securităţii naţionale şi protecţiei mediului înconjurător, protecţiei intereselor consumatorilor, inclusiv prevenirea practicilor care induc în eroare consumatorii în ceea ce priveşte </w:t>
      </w:r>
      <w:proofErr w:type="spellStart"/>
      <w:r w:rsidR="00BF34EF" w:rsidRPr="000F1393">
        <w:rPr>
          <w:sz w:val="28"/>
          <w:szCs w:val="28"/>
          <w:lang w:val="ro-RO"/>
        </w:rPr>
        <w:t>compoziţia</w:t>
      </w:r>
      <w:proofErr w:type="spellEnd"/>
      <w:r w:rsidR="00BF34EF" w:rsidRPr="000F1393">
        <w:rPr>
          <w:sz w:val="28"/>
          <w:szCs w:val="28"/>
          <w:lang w:val="ro-RO"/>
        </w:rPr>
        <w:t>, destinaţia, calitatea şi inofensivitatea benzinei și motorinei.</w:t>
      </w:r>
    </w:p>
    <w:p w:rsidR="00ED04B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ED04B2" w:rsidRPr="000F1393">
        <w:rPr>
          <w:sz w:val="28"/>
          <w:szCs w:val="28"/>
          <w:lang w:val="ro-RO"/>
        </w:rPr>
        <w:t>În ter</w:t>
      </w:r>
      <w:r w:rsidR="00ED04B2" w:rsidRPr="00371B39">
        <w:rPr>
          <w:sz w:val="28"/>
          <w:szCs w:val="28"/>
          <w:lang w:val="ro-RO"/>
        </w:rPr>
        <w:t>m</w:t>
      </w:r>
      <w:r w:rsidR="005A6C3D" w:rsidRPr="00371B39">
        <w:rPr>
          <w:sz w:val="28"/>
          <w:szCs w:val="28"/>
          <w:lang w:val="ro-RO"/>
        </w:rPr>
        <w:t>e</w:t>
      </w:r>
      <w:r w:rsidR="00ED04B2" w:rsidRPr="000F1393">
        <w:rPr>
          <w:sz w:val="28"/>
          <w:szCs w:val="28"/>
          <w:lang w:val="ro-RO"/>
        </w:rPr>
        <w:t xml:space="preserve">ni generali, </w:t>
      </w:r>
      <w:r w:rsidR="00964009">
        <w:rPr>
          <w:sz w:val="28"/>
          <w:szCs w:val="28"/>
          <w:lang w:val="ro-RO"/>
        </w:rPr>
        <w:t>proiectul Hotărî</w:t>
      </w:r>
      <w:r w:rsidR="006604E8" w:rsidRPr="000F1393">
        <w:rPr>
          <w:sz w:val="28"/>
          <w:szCs w:val="28"/>
          <w:lang w:val="ro-RO"/>
        </w:rPr>
        <w:t>rii</w:t>
      </w:r>
      <w:r w:rsidR="00616F25" w:rsidRPr="000F1393">
        <w:rPr>
          <w:sz w:val="28"/>
          <w:szCs w:val="28"/>
          <w:lang w:val="ro-RO"/>
        </w:rPr>
        <w:t xml:space="preserve"> Guvern</w:t>
      </w:r>
      <w:r w:rsidR="006604E8" w:rsidRPr="000F1393">
        <w:rPr>
          <w:sz w:val="28"/>
          <w:szCs w:val="28"/>
          <w:lang w:val="ro-RO"/>
        </w:rPr>
        <w:t>ului</w:t>
      </w:r>
      <w:r w:rsidR="00616F25" w:rsidRPr="000F1393">
        <w:rPr>
          <w:sz w:val="28"/>
          <w:szCs w:val="28"/>
          <w:lang w:val="ro-RO"/>
        </w:rPr>
        <w:t xml:space="preserve"> va asigura</w:t>
      </w:r>
      <w:r w:rsidR="00ED04B2" w:rsidRPr="000F1393">
        <w:rPr>
          <w:sz w:val="28"/>
          <w:szCs w:val="28"/>
          <w:lang w:val="ro-RO"/>
        </w:rPr>
        <w:t>:</w:t>
      </w:r>
    </w:p>
    <w:p w:rsidR="00ED04B2" w:rsidRPr="000F1393" w:rsidRDefault="00ED04B2" w:rsidP="00916177">
      <w:pPr>
        <w:pStyle w:val="ListParagraph"/>
        <w:numPr>
          <w:ilvl w:val="0"/>
          <w:numId w:val="2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ajustarea denumirii autorității de reglementare;</w:t>
      </w:r>
    </w:p>
    <w:p w:rsidR="00ED04B2" w:rsidRPr="000F1393" w:rsidRDefault="00616F25" w:rsidP="00916177">
      <w:pPr>
        <w:pStyle w:val="ListParagraph"/>
        <w:numPr>
          <w:ilvl w:val="0"/>
          <w:numId w:val="2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lastRenderedPageBreak/>
        <w:t>stabilirea specificațiilor tehnice pentru benzină și motorină,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care vor asigura corespunderea 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>carburanților comercializați în Republica Moldova la standardele europene;</w:t>
      </w:r>
    </w:p>
    <w:p w:rsidR="00ED04B2" w:rsidRPr="000F1393" w:rsidRDefault="00ED04B2" w:rsidP="00916177">
      <w:pPr>
        <w:pStyle w:val="ListParagraph"/>
        <w:numPr>
          <w:ilvl w:val="0"/>
          <w:numId w:val="2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operaționalizarea sistemului de monitorizare </w:t>
      </w:r>
      <w:r w:rsidR="00616F25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a calității benzinei și motorinei 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r w:rsidR="00616F25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cerințele acquis-ului 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comunitar, </w:t>
      </w:r>
      <w:r w:rsidR="00616F25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precum și respectarea </w:t>
      </w:r>
      <w:r w:rsidR="00393E74" w:rsidRPr="000F1393">
        <w:rPr>
          <w:rFonts w:ascii="Times New Roman" w:hAnsi="Times New Roman" w:cs="Times New Roman"/>
          <w:sz w:val="28"/>
          <w:szCs w:val="28"/>
          <w:lang w:val="ro-RO"/>
        </w:rPr>
        <w:t>angajamentelor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asumate de către Republica Moldova</w:t>
      </w:r>
      <w:r w:rsidR="006604E8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3E74" w:rsidRPr="000F1393">
        <w:rPr>
          <w:rFonts w:ascii="Times New Roman" w:hAnsi="Times New Roman" w:cs="Times New Roman"/>
          <w:sz w:val="28"/>
          <w:szCs w:val="28"/>
          <w:lang w:val="ro-RO"/>
        </w:rPr>
        <w:t>privind Acordul de Asociere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D04B2" w:rsidRPr="000F1393" w:rsidRDefault="00393E74" w:rsidP="00916177">
      <w:pPr>
        <w:pStyle w:val="ListParagraph"/>
        <w:numPr>
          <w:ilvl w:val="0"/>
          <w:numId w:val="2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monitorizarea calității be</w:t>
      </w:r>
      <w:r w:rsidR="005A6C3D" w:rsidRPr="00371B39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zinei ș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>i a motorinei comercializate prin sta</w:t>
      </w:r>
      <w:r w:rsidR="005A6C3D" w:rsidRPr="00371B39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ED04B2" w:rsidRPr="00371B39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ile de alimentare,  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pentru a </w:t>
      </w:r>
      <w:r w:rsidR="00616F25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>asigura respect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616F25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specifica</w:t>
      </w:r>
      <w:r w:rsidR="005A6C3D" w:rsidRPr="00371B39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ED04B2" w:rsidRPr="00371B39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>ilor tehnice ale benzinei si motorinei, precum si eficien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>ța măsurilor de reducere a poluă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>rii atmosferei</w:t>
      </w:r>
      <w:r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D04B2" w:rsidRPr="000F1393">
        <w:rPr>
          <w:rFonts w:ascii="Times New Roman" w:hAnsi="Times New Roman" w:cs="Times New Roman"/>
          <w:sz w:val="28"/>
          <w:szCs w:val="28"/>
          <w:lang w:val="ro-RO"/>
        </w:rPr>
        <w:t xml:space="preserve"> cauzate de emisiile provenite de la autovehicule.</w:t>
      </w:r>
    </w:p>
    <w:p w:rsidR="00ED04B2" w:rsidRPr="000F1393" w:rsidRDefault="00ED04B2" w:rsidP="00916177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1393">
        <w:rPr>
          <w:rFonts w:ascii="Times New Roman" w:hAnsi="Times New Roman" w:cs="Times New Roman"/>
          <w:sz w:val="28"/>
          <w:szCs w:val="28"/>
          <w:lang w:val="ro-RO"/>
        </w:rPr>
        <w:t>stabilirea  atribuțiilor autorității de reglementare cu privire la recunoașterea organismelor de inspecție;</w:t>
      </w:r>
    </w:p>
    <w:p w:rsidR="00ED04B2" w:rsidRPr="000F1393" w:rsidRDefault="00393E74" w:rsidP="00916177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>stabilirea cerințelor către organismele</w:t>
      </w:r>
      <w:r w:rsidR="00ED04B2" w:rsidRPr="000F1393">
        <w:rPr>
          <w:sz w:val="28"/>
          <w:szCs w:val="28"/>
          <w:lang w:val="ro-RO"/>
        </w:rPr>
        <w:t xml:space="preserve"> de inspecție de terță parte</w:t>
      </w:r>
      <w:r w:rsidRPr="000F1393">
        <w:rPr>
          <w:sz w:val="28"/>
          <w:szCs w:val="28"/>
          <w:lang w:val="ro-RO"/>
        </w:rPr>
        <w:t>,</w:t>
      </w:r>
      <w:r w:rsidR="00ED04B2" w:rsidRPr="000F1393">
        <w:rPr>
          <w:sz w:val="28"/>
          <w:szCs w:val="28"/>
          <w:lang w:val="ro-RO"/>
        </w:rPr>
        <w:t xml:space="preserve"> în scopul recunoașterii.</w:t>
      </w:r>
    </w:p>
    <w:p w:rsidR="00A73BAD" w:rsidRPr="000F1393" w:rsidRDefault="006C271B" w:rsidP="005C1234">
      <w:pPr>
        <w:tabs>
          <w:tab w:val="left" w:pos="567"/>
        </w:tabs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616F25" w:rsidRPr="000F1393">
        <w:rPr>
          <w:sz w:val="28"/>
          <w:szCs w:val="28"/>
          <w:lang w:val="ro-RO"/>
        </w:rPr>
        <w:t>Actualmente</w:t>
      </w:r>
      <w:r w:rsidR="00393E74" w:rsidRPr="000F1393">
        <w:rPr>
          <w:sz w:val="28"/>
          <w:szCs w:val="28"/>
          <w:lang w:val="ro-RO"/>
        </w:rPr>
        <w:t xml:space="preserve">, </w:t>
      </w:r>
      <w:r w:rsidR="00A73BAD" w:rsidRPr="000F1393">
        <w:rPr>
          <w:sz w:val="28"/>
          <w:szCs w:val="28"/>
          <w:lang w:val="ro-RO"/>
        </w:rPr>
        <w:t>c</w:t>
      </w:r>
      <w:r w:rsidR="00616F25" w:rsidRPr="000F1393">
        <w:rPr>
          <w:sz w:val="28"/>
          <w:szCs w:val="28"/>
          <w:lang w:val="ro-RO"/>
        </w:rPr>
        <w:t xml:space="preserve">erințele de calitate pentru carburanți sunt prevăzute în standardele naționale, aplicarea cărora este voluntară. </w:t>
      </w:r>
      <w:r w:rsidR="00A73BAD" w:rsidRPr="000F1393">
        <w:rPr>
          <w:sz w:val="28"/>
          <w:szCs w:val="28"/>
          <w:lang w:val="ro-RO"/>
        </w:rPr>
        <w:t>C</w:t>
      </w:r>
      <w:r w:rsidR="00616F25" w:rsidRPr="000F1393">
        <w:rPr>
          <w:sz w:val="28"/>
          <w:szCs w:val="28"/>
          <w:lang w:val="ro-RO"/>
        </w:rPr>
        <w:t>ontrolul calității benzinei și motorinei se efectuează aplicând  procedurile de certificare în baza standardelor voluntare SM 226-2002 „Benzine auto utilizate în Republica Moldova. Condiţii tehnice  pentru evaluarea conformităţii” și GOST 305-82 ”Combustibil pentru motoare diesel. Cerințe</w:t>
      </w:r>
      <w:r w:rsidR="00D94621" w:rsidRPr="000F1393">
        <w:rPr>
          <w:sz w:val="28"/>
          <w:szCs w:val="28"/>
          <w:lang w:val="ro-RO"/>
        </w:rPr>
        <w:t xml:space="preserve"> tehnice”</w:t>
      </w:r>
      <w:r w:rsidR="00A73BAD" w:rsidRPr="000F1393">
        <w:rPr>
          <w:sz w:val="28"/>
          <w:szCs w:val="28"/>
          <w:lang w:val="ro-RO"/>
        </w:rPr>
        <w:t>.</w:t>
      </w:r>
      <w:r w:rsidR="00616F25" w:rsidRPr="000F1393">
        <w:rPr>
          <w:sz w:val="28"/>
          <w:szCs w:val="28"/>
          <w:lang w:val="ro-RO"/>
        </w:rPr>
        <w:t xml:space="preserve"> </w:t>
      </w:r>
      <w:r w:rsidR="00A73BAD" w:rsidRPr="000F1393">
        <w:rPr>
          <w:sz w:val="28"/>
          <w:szCs w:val="28"/>
          <w:lang w:val="ro-RO"/>
        </w:rPr>
        <w:t xml:space="preserve">Este de menționat, că standardele </w:t>
      </w:r>
      <w:r w:rsidR="00D94621" w:rsidRPr="000F1393">
        <w:rPr>
          <w:sz w:val="28"/>
          <w:szCs w:val="28"/>
          <w:lang w:val="ro-RO"/>
        </w:rPr>
        <w:t>nominalizate, în temeiul Legii nr.</w:t>
      </w:r>
      <w:r w:rsidR="00A73BAD" w:rsidRPr="000F1393">
        <w:rPr>
          <w:sz w:val="28"/>
          <w:szCs w:val="28"/>
          <w:lang w:val="ro-RO"/>
        </w:rPr>
        <w:t>20 din 04.03.2016 cu priv</w:t>
      </w:r>
      <w:r w:rsidR="00D94621" w:rsidRPr="000F1393">
        <w:rPr>
          <w:sz w:val="28"/>
          <w:szCs w:val="28"/>
          <w:lang w:val="ro-RO"/>
        </w:rPr>
        <w:t xml:space="preserve">ire la standardizarea națională, </w:t>
      </w:r>
      <w:r w:rsidR="00A73BAD" w:rsidRPr="000F1393">
        <w:rPr>
          <w:sz w:val="28"/>
          <w:szCs w:val="28"/>
          <w:lang w:val="ro-RO"/>
        </w:rPr>
        <w:t xml:space="preserve">sunt considerate  ca standarde conflictuale,  </w:t>
      </w:r>
      <w:r w:rsidR="00A73BAD" w:rsidRPr="000F1393">
        <w:rPr>
          <w:color w:val="000000"/>
          <w:sz w:val="28"/>
          <w:szCs w:val="28"/>
          <w:lang w:val="ro-RO"/>
        </w:rPr>
        <w:t>care au  domeniu co</w:t>
      </w:r>
      <w:r w:rsidR="00D94621" w:rsidRPr="000F1393">
        <w:rPr>
          <w:color w:val="000000"/>
          <w:sz w:val="28"/>
          <w:szCs w:val="28"/>
          <w:lang w:val="ro-RO"/>
        </w:rPr>
        <w:t>mun de aplicare cu un standard e</w:t>
      </w:r>
      <w:r w:rsidR="00A73BAD" w:rsidRPr="000F1393">
        <w:rPr>
          <w:color w:val="000000"/>
          <w:sz w:val="28"/>
          <w:szCs w:val="28"/>
          <w:lang w:val="ro-RO"/>
        </w:rPr>
        <w:t>uropean sau internaţio</w:t>
      </w:r>
      <w:r w:rsidR="00D94621" w:rsidRPr="000F1393">
        <w:rPr>
          <w:color w:val="000000"/>
          <w:sz w:val="28"/>
          <w:szCs w:val="28"/>
          <w:lang w:val="ro-RO"/>
        </w:rPr>
        <w:t xml:space="preserve">nal </w:t>
      </w:r>
      <w:r w:rsidR="00A73BAD" w:rsidRPr="000F1393">
        <w:rPr>
          <w:color w:val="000000"/>
          <w:sz w:val="28"/>
          <w:szCs w:val="28"/>
          <w:lang w:val="ro-RO"/>
        </w:rPr>
        <w:t xml:space="preserve">şi care cuprind  condiţii în </w:t>
      </w:r>
      <w:proofErr w:type="spellStart"/>
      <w:r w:rsidR="00A73BAD" w:rsidRPr="000F1393">
        <w:rPr>
          <w:color w:val="000000"/>
          <w:sz w:val="28"/>
          <w:szCs w:val="28"/>
          <w:lang w:val="ro-RO"/>
        </w:rPr>
        <w:t>contradicţie</w:t>
      </w:r>
      <w:proofErr w:type="spellEnd"/>
      <w:r w:rsidR="00A73BAD" w:rsidRPr="000F1393">
        <w:rPr>
          <w:color w:val="000000"/>
          <w:sz w:val="28"/>
          <w:szCs w:val="28"/>
          <w:lang w:val="ro-RO"/>
        </w:rPr>
        <w:t xml:space="preserve"> cu cele din standardul european sau internaţional.</w:t>
      </w:r>
    </w:p>
    <w:p w:rsidR="00BF34EF" w:rsidRPr="000F1393" w:rsidRDefault="006C271B" w:rsidP="005C1234">
      <w:pPr>
        <w:pStyle w:val="CM4"/>
        <w:tabs>
          <w:tab w:val="left" w:pos="567"/>
        </w:tabs>
        <w:ind w:left="-142"/>
        <w:jc w:val="both"/>
        <w:rPr>
          <w:bCs/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BF34EF" w:rsidRPr="000F1393">
        <w:rPr>
          <w:sz w:val="28"/>
          <w:szCs w:val="28"/>
          <w:lang w:val="ro-RO"/>
        </w:rPr>
        <w:t xml:space="preserve">Proiectul transpune parțial prevederile Directivei 98/70/CE a  </w:t>
      </w:r>
      <w:r w:rsidR="00BF34EF" w:rsidRPr="000F1393">
        <w:rPr>
          <w:bCs/>
          <w:color w:val="000000"/>
          <w:sz w:val="28"/>
          <w:szCs w:val="28"/>
          <w:lang w:val="ro-RO"/>
        </w:rPr>
        <w:t>Parlamentului European și a Consiliului din 13 octombrie 1998 privind calitatea benzinei și a motorinei și de modificare a Directivei 93/12/CEE a Consiliului</w:t>
      </w:r>
      <w:r w:rsidR="00BF34EF" w:rsidRPr="000F1393">
        <w:rPr>
          <w:bCs/>
          <w:sz w:val="28"/>
          <w:szCs w:val="28"/>
          <w:lang w:val="ro-RO"/>
        </w:rPr>
        <w:t>.</w:t>
      </w:r>
    </w:p>
    <w:p w:rsidR="00616F25" w:rsidRPr="000F1393" w:rsidRDefault="00616F25" w:rsidP="005C1234">
      <w:pPr>
        <w:pStyle w:val="Default"/>
        <w:tabs>
          <w:tab w:val="left" w:pos="567"/>
        </w:tabs>
        <w:ind w:left="-142"/>
        <w:rPr>
          <w:sz w:val="16"/>
          <w:szCs w:val="16"/>
          <w:lang w:val="ro-RO"/>
        </w:rPr>
      </w:pPr>
    </w:p>
    <w:p w:rsidR="00ED04B2" w:rsidRPr="000F1393" w:rsidRDefault="00271D49" w:rsidP="005C1234">
      <w:pPr>
        <w:tabs>
          <w:tab w:val="left" w:pos="142"/>
          <w:tab w:val="left" w:pos="567"/>
        </w:tabs>
        <w:ind w:left="-142"/>
        <w:jc w:val="both"/>
        <w:rPr>
          <w:b/>
          <w:sz w:val="28"/>
          <w:szCs w:val="28"/>
          <w:shd w:val="clear" w:color="auto" w:fill="FFFFFF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ab/>
      </w:r>
      <w:r>
        <w:rPr>
          <w:b/>
          <w:sz w:val="28"/>
          <w:szCs w:val="28"/>
          <w:shd w:val="clear" w:color="auto" w:fill="FFFFFF"/>
          <w:lang w:val="ro-RO"/>
        </w:rPr>
        <w:tab/>
      </w:r>
      <w:r w:rsidR="006C271B" w:rsidRPr="000F1393">
        <w:rPr>
          <w:b/>
          <w:sz w:val="28"/>
          <w:szCs w:val="28"/>
          <w:shd w:val="clear" w:color="auto" w:fill="FFFFFF"/>
          <w:lang w:val="ro-RO"/>
        </w:rPr>
        <w:t xml:space="preserve">6. </w:t>
      </w:r>
      <w:r w:rsidR="00ED04B2" w:rsidRPr="000F1393">
        <w:rPr>
          <w:b/>
          <w:sz w:val="28"/>
          <w:szCs w:val="28"/>
          <w:shd w:val="clear" w:color="auto" w:fill="FFFFFF"/>
          <w:lang w:val="ro-RO"/>
        </w:rPr>
        <w:t xml:space="preserve">Măsuri </w:t>
      </w:r>
      <w:proofErr w:type="spellStart"/>
      <w:r w:rsidR="00ED04B2" w:rsidRPr="000F1393">
        <w:rPr>
          <w:b/>
          <w:sz w:val="28"/>
          <w:szCs w:val="28"/>
          <w:shd w:val="clear" w:color="auto" w:fill="FFFFFF"/>
          <w:lang w:val="ro-RO"/>
        </w:rPr>
        <w:t>instituţionale</w:t>
      </w:r>
      <w:proofErr w:type="spellEnd"/>
      <w:r w:rsidR="00ED04B2" w:rsidRPr="000F1393">
        <w:rPr>
          <w:b/>
          <w:sz w:val="28"/>
          <w:szCs w:val="28"/>
          <w:shd w:val="clear" w:color="auto" w:fill="FFFFFF"/>
          <w:lang w:val="ro-RO"/>
        </w:rPr>
        <w:t xml:space="preserve"> şi organizatorice pe care le implică actul elaborat </w:t>
      </w:r>
    </w:p>
    <w:p w:rsidR="00ED04B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ED04B2" w:rsidRPr="000F1393">
        <w:rPr>
          <w:sz w:val="28"/>
          <w:szCs w:val="28"/>
          <w:lang w:val="ro-RO"/>
        </w:rPr>
        <w:t xml:space="preserve">Proiectul nu prevede instituirea sau reorganizarea instituțională în autorităţile existente. </w:t>
      </w:r>
    </w:p>
    <w:p w:rsidR="00A73BAD" w:rsidRPr="000F1393" w:rsidRDefault="00A73BAD" w:rsidP="005C1234">
      <w:pPr>
        <w:pStyle w:val="NormalWeb"/>
        <w:tabs>
          <w:tab w:val="left" w:pos="567"/>
        </w:tabs>
        <w:spacing w:before="0" w:beforeAutospacing="0" w:after="0" w:afterAutospacing="0"/>
        <w:ind w:left="-142"/>
        <w:jc w:val="both"/>
        <w:rPr>
          <w:sz w:val="16"/>
          <w:szCs w:val="16"/>
          <w:lang w:val="ro-RO"/>
        </w:rPr>
      </w:pPr>
    </w:p>
    <w:p w:rsidR="00ED04B2" w:rsidRPr="000F1393" w:rsidRDefault="00271D49" w:rsidP="005C1234">
      <w:pPr>
        <w:tabs>
          <w:tab w:val="left" w:pos="567"/>
        </w:tabs>
        <w:ind w:left="-142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="006C271B" w:rsidRPr="000F1393">
        <w:rPr>
          <w:b/>
          <w:sz w:val="28"/>
          <w:szCs w:val="28"/>
          <w:lang w:val="ro-RO"/>
        </w:rPr>
        <w:t xml:space="preserve">7. </w:t>
      </w:r>
      <w:r w:rsidR="00ED04B2" w:rsidRPr="000F1393">
        <w:rPr>
          <w:b/>
          <w:sz w:val="28"/>
          <w:szCs w:val="28"/>
          <w:lang w:val="ro-RO"/>
        </w:rPr>
        <w:t xml:space="preserve">Fundamentarea </w:t>
      </w:r>
      <w:proofErr w:type="spellStart"/>
      <w:r w:rsidR="00ED04B2" w:rsidRPr="000F1393">
        <w:rPr>
          <w:b/>
          <w:sz w:val="28"/>
          <w:szCs w:val="28"/>
          <w:lang w:val="ro-RO"/>
        </w:rPr>
        <w:t>economico</w:t>
      </w:r>
      <w:proofErr w:type="spellEnd"/>
      <w:r w:rsidR="00ED04B2" w:rsidRPr="000F1393">
        <w:rPr>
          <w:b/>
          <w:sz w:val="28"/>
          <w:szCs w:val="28"/>
          <w:lang w:val="ro-RO"/>
        </w:rPr>
        <w:t>-financiară</w:t>
      </w:r>
    </w:p>
    <w:p w:rsidR="00223270" w:rsidRPr="000F1393" w:rsidRDefault="006C271B" w:rsidP="005C1234">
      <w:pPr>
        <w:pStyle w:val="NormalWeb"/>
        <w:tabs>
          <w:tab w:val="left" w:pos="567"/>
        </w:tabs>
        <w:spacing w:before="0" w:beforeAutospacing="0" w:after="0" w:afterAutospacing="0"/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ED04B2" w:rsidRPr="000F1393">
        <w:rPr>
          <w:sz w:val="28"/>
          <w:szCs w:val="28"/>
          <w:lang w:val="ro-RO"/>
        </w:rPr>
        <w:t xml:space="preserve">Ținînd cont de faptul că modificările și completările ce se operează la </w:t>
      </w:r>
      <w:r w:rsidR="00964009">
        <w:rPr>
          <w:sz w:val="28"/>
          <w:szCs w:val="28"/>
          <w:lang w:val="ro-RO"/>
        </w:rPr>
        <w:t>Hotărî</w:t>
      </w:r>
      <w:r w:rsidR="00D94621" w:rsidRPr="000F1393">
        <w:rPr>
          <w:sz w:val="28"/>
          <w:szCs w:val="28"/>
          <w:lang w:val="ro-RO"/>
        </w:rPr>
        <w:t xml:space="preserve">rile </w:t>
      </w:r>
      <w:r w:rsidR="00A73BAD" w:rsidRPr="000F1393">
        <w:rPr>
          <w:sz w:val="28"/>
          <w:szCs w:val="28"/>
          <w:lang w:val="ro-RO"/>
        </w:rPr>
        <w:t xml:space="preserve"> Guvern</w:t>
      </w:r>
      <w:r w:rsidR="00D94621" w:rsidRPr="000F1393">
        <w:rPr>
          <w:sz w:val="28"/>
          <w:szCs w:val="28"/>
          <w:lang w:val="ro-RO"/>
        </w:rPr>
        <w:t xml:space="preserve">ului </w:t>
      </w:r>
      <w:r w:rsidR="00A73BAD" w:rsidRPr="000F1393">
        <w:rPr>
          <w:sz w:val="28"/>
          <w:szCs w:val="28"/>
          <w:lang w:val="ro-RO"/>
        </w:rPr>
        <w:t xml:space="preserve"> </w:t>
      </w:r>
      <w:r w:rsidR="00A73BAD" w:rsidRPr="000F1393">
        <w:rPr>
          <w:noProof/>
          <w:sz w:val="28"/>
          <w:szCs w:val="28"/>
          <w:lang w:val="ro-RO"/>
        </w:rPr>
        <w:t xml:space="preserve">nr. 476 din 17.04.2002, nr. 1116 din 22.08.2002, nr. 1117 din 22.08.2002 </w:t>
      </w:r>
      <w:r w:rsidR="00ED04B2" w:rsidRPr="000F1393">
        <w:rPr>
          <w:sz w:val="28"/>
          <w:szCs w:val="28"/>
          <w:lang w:val="ro-RO"/>
        </w:rPr>
        <w:t>nu necesită instituirea unor noi structuri, angajarea personalului adițional, implementarea proiectului de hotărîre în cauză nu necesită surse financiare bugetare suplimentare.</w:t>
      </w:r>
    </w:p>
    <w:p w:rsidR="00ED04B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5C1234" w:rsidRPr="000F1393">
        <w:rPr>
          <w:sz w:val="28"/>
          <w:szCs w:val="28"/>
          <w:lang w:val="ro-RO"/>
        </w:rPr>
        <w:t>Deci, c</w:t>
      </w:r>
      <w:r w:rsidR="00ED04B2" w:rsidRPr="000F1393">
        <w:rPr>
          <w:sz w:val="28"/>
          <w:szCs w:val="28"/>
          <w:lang w:val="ro-RO"/>
        </w:rPr>
        <w:t xml:space="preserve">heltuieli suplimentare, în urma intervențiilor propuse, </w:t>
      </w:r>
      <w:r w:rsidR="00ED04B2" w:rsidRPr="00371B39">
        <w:rPr>
          <w:sz w:val="28"/>
          <w:szCs w:val="28"/>
          <w:lang w:val="ro-RO"/>
        </w:rPr>
        <w:t>nimeni nu va avea  de suportat.</w:t>
      </w:r>
      <w:r w:rsidR="00ED04B2" w:rsidRPr="000F1393">
        <w:rPr>
          <w:sz w:val="28"/>
          <w:szCs w:val="28"/>
          <w:lang w:val="ro-RO"/>
        </w:rPr>
        <w:t xml:space="preserve"> Mai mult, se exclude procedura de certificare pentru benzină și motorină.</w:t>
      </w:r>
    </w:p>
    <w:p w:rsidR="003468FA" w:rsidRPr="000F1393" w:rsidRDefault="003468FA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</w:p>
    <w:p w:rsidR="00A73BAD" w:rsidRDefault="00A73BAD" w:rsidP="005C1234">
      <w:pPr>
        <w:tabs>
          <w:tab w:val="left" w:pos="567"/>
        </w:tabs>
        <w:ind w:left="-142"/>
        <w:jc w:val="both"/>
        <w:rPr>
          <w:sz w:val="16"/>
          <w:szCs w:val="16"/>
          <w:lang w:val="ro-RO"/>
        </w:rPr>
      </w:pPr>
    </w:p>
    <w:p w:rsidR="00371B39" w:rsidRDefault="00371B39" w:rsidP="005C1234">
      <w:pPr>
        <w:tabs>
          <w:tab w:val="left" w:pos="567"/>
        </w:tabs>
        <w:ind w:left="-142"/>
        <w:jc w:val="both"/>
        <w:rPr>
          <w:sz w:val="16"/>
          <w:szCs w:val="16"/>
          <w:lang w:val="ro-RO"/>
        </w:rPr>
      </w:pPr>
    </w:p>
    <w:p w:rsidR="00371B39" w:rsidRPr="000F1393" w:rsidRDefault="00371B39" w:rsidP="005C1234">
      <w:pPr>
        <w:tabs>
          <w:tab w:val="left" w:pos="567"/>
        </w:tabs>
        <w:ind w:left="-142"/>
        <w:jc w:val="both"/>
        <w:rPr>
          <w:sz w:val="16"/>
          <w:szCs w:val="16"/>
          <w:lang w:val="ro-RO"/>
        </w:rPr>
      </w:pPr>
    </w:p>
    <w:p w:rsidR="00ED04B2" w:rsidRPr="000F1393" w:rsidRDefault="00271D49" w:rsidP="005C1234">
      <w:pPr>
        <w:tabs>
          <w:tab w:val="left" w:pos="567"/>
        </w:tabs>
        <w:ind w:left="-142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ab/>
      </w:r>
      <w:r w:rsidR="006C271B" w:rsidRPr="000F1393">
        <w:rPr>
          <w:b/>
          <w:sz w:val="28"/>
          <w:szCs w:val="28"/>
          <w:lang w:val="ro-RO"/>
        </w:rPr>
        <w:t xml:space="preserve">8. </w:t>
      </w:r>
      <w:r w:rsidR="00ED04B2" w:rsidRPr="000F1393">
        <w:rPr>
          <w:b/>
          <w:sz w:val="28"/>
          <w:szCs w:val="28"/>
          <w:lang w:val="ro-RO"/>
        </w:rPr>
        <w:t>Numele participanților la elaborarea proiectului</w:t>
      </w:r>
    </w:p>
    <w:p w:rsidR="00ED04B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ED04B2" w:rsidRPr="000F1393">
        <w:rPr>
          <w:sz w:val="28"/>
          <w:szCs w:val="28"/>
          <w:lang w:val="ro-RO"/>
        </w:rPr>
        <w:t xml:space="preserve">Proiectul </w:t>
      </w:r>
      <w:r w:rsidR="005C1234" w:rsidRPr="000F1393">
        <w:rPr>
          <w:rStyle w:val="docheader"/>
          <w:bCs/>
          <w:sz w:val="28"/>
          <w:szCs w:val="28"/>
          <w:lang w:val="ro-RO"/>
        </w:rPr>
        <w:t>H</w:t>
      </w:r>
      <w:r w:rsidR="00ED04B2" w:rsidRPr="000F1393">
        <w:rPr>
          <w:rStyle w:val="docheader"/>
          <w:bCs/>
          <w:sz w:val="28"/>
          <w:szCs w:val="28"/>
          <w:lang w:val="ro-RO"/>
        </w:rPr>
        <w:t xml:space="preserve">otărîrii Guvernului </w:t>
      </w:r>
      <w:r w:rsidR="005C1234" w:rsidRPr="000F1393">
        <w:rPr>
          <w:rStyle w:val="docheader"/>
          <w:bCs/>
          <w:sz w:val="28"/>
          <w:szCs w:val="28"/>
          <w:lang w:val="ro-RO"/>
        </w:rPr>
        <w:t xml:space="preserve">cu </w:t>
      </w:r>
      <w:r w:rsidRPr="000F1393">
        <w:rPr>
          <w:sz w:val="28"/>
          <w:szCs w:val="28"/>
          <w:lang w:val="ro-RO"/>
        </w:rPr>
        <w:t>privire la aprobarea modificărilor și complet</w:t>
      </w:r>
      <w:r w:rsidR="00964009">
        <w:rPr>
          <w:sz w:val="28"/>
          <w:szCs w:val="28"/>
          <w:lang w:val="ro-RO"/>
        </w:rPr>
        <w:t>ărilor ce se operează în unele hotărî</w:t>
      </w:r>
      <w:r w:rsidRPr="000F1393">
        <w:rPr>
          <w:sz w:val="28"/>
          <w:szCs w:val="28"/>
          <w:lang w:val="ro-RO"/>
        </w:rPr>
        <w:t xml:space="preserve">ri ale Guvernului </w:t>
      </w:r>
      <w:r w:rsidR="00ED04B2" w:rsidRPr="000F1393">
        <w:rPr>
          <w:sz w:val="28"/>
          <w:szCs w:val="28"/>
          <w:lang w:val="ro-RO"/>
        </w:rPr>
        <w:t>este elaborat de către Ministerului Economiei și Infrastructurii şi se prezintă spre examinare şi avizare în modul stabilit.</w:t>
      </w:r>
    </w:p>
    <w:p w:rsidR="00ED04B2" w:rsidRPr="000F1393" w:rsidRDefault="006C271B" w:rsidP="005C1234">
      <w:pPr>
        <w:tabs>
          <w:tab w:val="left" w:pos="567"/>
        </w:tabs>
        <w:ind w:left="-142"/>
        <w:jc w:val="both"/>
        <w:rPr>
          <w:sz w:val="28"/>
          <w:szCs w:val="28"/>
          <w:lang w:val="ro-RO"/>
        </w:rPr>
      </w:pPr>
      <w:r w:rsidRPr="000F1393">
        <w:rPr>
          <w:sz w:val="28"/>
          <w:szCs w:val="28"/>
          <w:lang w:val="ro-RO"/>
        </w:rPr>
        <w:tab/>
      </w:r>
      <w:r w:rsidR="00ED04B2" w:rsidRPr="000F1393">
        <w:rPr>
          <w:sz w:val="28"/>
          <w:szCs w:val="28"/>
          <w:lang w:val="ro-RO"/>
        </w:rPr>
        <w:t>Anunțul privind inițierea elaborării proiectului a fost plasată pe pagina web oficială a Ministerului Economiei și Infrastructurii (</w:t>
      </w:r>
      <w:hyperlink r:id="rId8" w:history="1">
        <w:r w:rsidR="00ED04B2" w:rsidRPr="000F1393">
          <w:rPr>
            <w:rStyle w:val="Hyperlink"/>
            <w:sz w:val="28"/>
            <w:szCs w:val="28"/>
            <w:lang w:val="ro-RO"/>
          </w:rPr>
          <w:t>www.mec.gov.md</w:t>
        </w:r>
      </w:hyperlink>
      <w:r w:rsidR="00ED04B2" w:rsidRPr="000F1393">
        <w:rPr>
          <w:sz w:val="28"/>
          <w:szCs w:val="28"/>
          <w:lang w:val="ro-RO"/>
        </w:rPr>
        <w:t>).</w:t>
      </w:r>
    </w:p>
    <w:p w:rsidR="006C271B" w:rsidRPr="000F1393" w:rsidRDefault="006C271B" w:rsidP="005C1234">
      <w:pPr>
        <w:pStyle w:val="Default"/>
        <w:tabs>
          <w:tab w:val="left" w:pos="567"/>
        </w:tabs>
        <w:spacing w:before="60" w:after="60"/>
        <w:ind w:left="-142"/>
        <w:jc w:val="both"/>
        <w:rPr>
          <w:sz w:val="28"/>
          <w:szCs w:val="28"/>
          <w:lang w:val="ro-RO"/>
        </w:rPr>
      </w:pPr>
    </w:p>
    <w:p w:rsidR="00733758" w:rsidRDefault="00733758" w:rsidP="005C1234">
      <w:pPr>
        <w:pStyle w:val="Default"/>
        <w:tabs>
          <w:tab w:val="left" w:pos="567"/>
        </w:tabs>
        <w:spacing w:before="60" w:after="60"/>
        <w:ind w:left="-142"/>
        <w:jc w:val="both"/>
        <w:rPr>
          <w:sz w:val="28"/>
          <w:szCs w:val="28"/>
          <w:lang w:val="ro-RO"/>
        </w:rPr>
      </w:pPr>
    </w:p>
    <w:p w:rsidR="00371B39" w:rsidRPr="000F1393" w:rsidRDefault="00371B39" w:rsidP="005C1234">
      <w:pPr>
        <w:pStyle w:val="Default"/>
        <w:tabs>
          <w:tab w:val="left" w:pos="567"/>
        </w:tabs>
        <w:spacing w:before="60" w:after="60"/>
        <w:ind w:left="-142"/>
        <w:jc w:val="both"/>
        <w:rPr>
          <w:sz w:val="28"/>
          <w:szCs w:val="28"/>
          <w:lang w:val="ro-RO"/>
        </w:rPr>
      </w:pPr>
    </w:p>
    <w:p w:rsidR="00507943" w:rsidRPr="000F1393" w:rsidRDefault="00507943" w:rsidP="005C1234">
      <w:pPr>
        <w:tabs>
          <w:tab w:val="left" w:pos="567"/>
        </w:tabs>
        <w:ind w:left="-142"/>
        <w:rPr>
          <w:b/>
          <w:sz w:val="28"/>
          <w:szCs w:val="28"/>
          <w:lang w:val="ro-RO"/>
        </w:rPr>
      </w:pPr>
      <w:r w:rsidRPr="000F1393">
        <w:rPr>
          <w:b/>
          <w:sz w:val="28"/>
          <w:szCs w:val="28"/>
          <w:lang w:val="ro-RO"/>
        </w:rPr>
        <w:t xml:space="preserve">Viceprim – ministru, </w:t>
      </w:r>
    </w:p>
    <w:p w:rsidR="00507943" w:rsidRPr="000F1393" w:rsidRDefault="00507943" w:rsidP="005C1234">
      <w:pPr>
        <w:tabs>
          <w:tab w:val="left" w:pos="567"/>
        </w:tabs>
        <w:ind w:left="-142"/>
        <w:rPr>
          <w:b/>
          <w:sz w:val="28"/>
          <w:szCs w:val="28"/>
          <w:lang w:val="ro-RO"/>
        </w:rPr>
      </w:pPr>
      <w:r w:rsidRPr="000F1393">
        <w:rPr>
          <w:b/>
          <w:sz w:val="28"/>
          <w:szCs w:val="28"/>
          <w:lang w:val="ro-RO"/>
        </w:rPr>
        <w:t>ministru</w:t>
      </w:r>
      <w:r w:rsidRPr="000F1393">
        <w:rPr>
          <w:b/>
          <w:sz w:val="28"/>
          <w:szCs w:val="28"/>
          <w:lang w:val="ro-RO"/>
        </w:rPr>
        <w:tab/>
      </w:r>
      <w:r w:rsidRPr="000F1393">
        <w:rPr>
          <w:b/>
          <w:sz w:val="28"/>
          <w:szCs w:val="28"/>
          <w:lang w:val="ro-RO"/>
        </w:rPr>
        <w:tab/>
      </w:r>
      <w:r w:rsidRPr="000F1393">
        <w:rPr>
          <w:b/>
          <w:sz w:val="28"/>
          <w:szCs w:val="28"/>
          <w:lang w:val="ro-RO"/>
        </w:rPr>
        <w:tab/>
      </w:r>
      <w:r w:rsidRPr="000F1393">
        <w:rPr>
          <w:b/>
          <w:sz w:val="28"/>
          <w:szCs w:val="28"/>
          <w:lang w:val="ro-RO"/>
        </w:rPr>
        <w:tab/>
      </w:r>
      <w:r w:rsidR="006C271B" w:rsidRPr="000F1393">
        <w:rPr>
          <w:b/>
          <w:sz w:val="28"/>
          <w:szCs w:val="28"/>
          <w:lang w:val="ro-RO"/>
        </w:rPr>
        <w:t xml:space="preserve">   </w:t>
      </w:r>
      <w:r w:rsidRPr="000F1393">
        <w:rPr>
          <w:b/>
          <w:sz w:val="28"/>
          <w:szCs w:val="28"/>
          <w:lang w:val="ro-RO"/>
        </w:rPr>
        <w:t xml:space="preserve">                        </w:t>
      </w:r>
      <w:r w:rsidR="00733758" w:rsidRPr="000F1393">
        <w:rPr>
          <w:b/>
          <w:sz w:val="28"/>
          <w:szCs w:val="28"/>
          <w:lang w:val="ro-RO"/>
        </w:rPr>
        <w:t xml:space="preserve">      </w:t>
      </w:r>
      <w:r w:rsidRPr="000F1393">
        <w:rPr>
          <w:b/>
          <w:sz w:val="28"/>
          <w:szCs w:val="28"/>
          <w:lang w:val="ro-RO"/>
        </w:rPr>
        <w:t xml:space="preserve">                Octavian CALMÎC</w:t>
      </w:r>
    </w:p>
    <w:sectPr w:rsidR="00507943" w:rsidRPr="000F1393" w:rsidSect="003468FA">
      <w:footerReference w:type="default" r:id="rId9"/>
      <w:pgSz w:w="12191" w:h="16840"/>
      <w:pgMar w:top="1418" w:right="964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08" w:rsidRDefault="009B7908" w:rsidP="00635572">
      <w:r>
        <w:separator/>
      </w:r>
    </w:p>
  </w:endnote>
  <w:endnote w:type="continuationSeparator" w:id="0">
    <w:p w:rsidR="009B7908" w:rsidRDefault="009B7908" w:rsidP="0063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747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572" w:rsidRDefault="006355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0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5572" w:rsidRDefault="00635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08" w:rsidRDefault="009B7908" w:rsidP="00635572">
      <w:r>
        <w:separator/>
      </w:r>
    </w:p>
  </w:footnote>
  <w:footnote w:type="continuationSeparator" w:id="0">
    <w:p w:rsidR="009B7908" w:rsidRDefault="009B7908" w:rsidP="0063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730"/>
    <w:multiLevelType w:val="hybridMultilevel"/>
    <w:tmpl w:val="57608F76"/>
    <w:lvl w:ilvl="0" w:tplc="7708DF5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6535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605E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45F19"/>
    <w:multiLevelType w:val="hybridMultilevel"/>
    <w:tmpl w:val="0180E6A4"/>
    <w:lvl w:ilvl="0" w:tplc="39025E24">
      <w:start w:val="2"/>
      <w:numFmt w:val="bullet"/>
      <w:lvlText w:val="-"/>
      <w:lvlJc w:val="left"/>
      <w:pPr>
        <w:ind w:left="5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7566CA0"/>
    <w:multiLevelType w:val="hybridMultilevel"/>
    <w:tmpl w:val="FC2E1B22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965C5"/>
    <w:multiLevelType w:val="hybridMultilevel"/>
    <w:tmpl w:val="F56001BC"/>
    <w:lvl w:ilvl="0" w:tplc="39025E24">
      <w:start w:val="2"/>
      <w:numFmt w:val="bullet"/>
      <w:lvlText w:val="-"/>
      <w:lvlJc w:val="left"/>
      <w:pPr>
        <w:ind w:left="5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42268C7"/>
    <w:multiLevelType w:val="hybridMultilevel"/>
    <w:tmpl w:val="C244496C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C2A46"/>
    <w:multiLevelType w:val="hybridMultilevel"/>
    <w:tmpl w:val="1B7CE122"/>
    <w:lvl w:ilvl="0" w:tplc="39025E24">
      <w:start w:val="2"/>
      <w:numFmt w:val="bullet"/>
      <w:lvlText w:val="-"/>
      <w:lvlJc w:val="left"/>
      <w:pPr>
        <w:ind w:left="110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475559DE"/>
    <w:multiLevelType w:val="hybridMultilevel"/>
    <w:tmpl w:val="C83C2EDA"/>
    <w:lvl w:ilvl="0" w:tplc="39025E24">
      <w:start w:val="2"/>
      <w:numFmt w:val="bullet"/>
      <w:lvlText w:val="-"/>
      <w:lvlJc w:val="left"/>
      <w:pPr>
        <w:ind w:left="5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A3809B2"/>
    <w:multiLevelType w:val="hybridMultilevel"/>
    <w:tmpl w:val="31D625BA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03CD3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97DEE"/>
    <w:multiLevelType w:val="hybridMultilevel"/>
    <w:tmpl w:val="BBF8BCA2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314DE"/>
    <w:multiLevelType w:val="hybridMultilevel"/>
    <w:tmpl w:val="985EB7B4"/>
    <w:lvl w:ilvl="0" w:tplc="39025E24">
      <w:start w:val="2"/>
      <w:numFmt w:val="bullet"/>
      <w:lvlText w:val="-"/>
      <w:lvlJc w:val="left"/>
      <w:pPr>
        <w:ind w:left="5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0E464BE"/>
    <w:multiLevelType w:val="hybridMultilevel"/>
    <w:tmpl w:val="2E445A68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606D9D"/>
    <w:multiLevelType w:val="hybridMultilevel"/>
    <w:tmpl w:val="025E0D1A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0964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E43DE"/>
    <w:multiLevelType w:val="hybridMultilevel"/>
    <w:tmpl w:val="B99E8E90"/>
    <w:lvl w:ilvl="0" w:tplc="39025E24">
      <w:start w:val="2"/>
      <w:numFmt w:val="bullet"/>
      <w:lvlText w:val="-"/>
      <w:lvlJc w:val="left"/>
      <w:pPr>
        <w:ind w:left="5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5760E0A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63012B"/>
    <w:multiLevelType w:val="hybridMultilevel"/>
    <w:tmpl w:val="DF1CD2EA"/>
    <w:lvl w:ilvl="0" w:tplc="D84C818C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E42F97"/>
    <w:multiLevelType w:val="hybridMultilevel"/>
    <w:tmpl w:val="C7F0CA98"/>
    <w:lvl w:ilvl="0" w:tplc="39025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9"/>
  </w:num>
  <w:num w:numId="5">
    <w:abstractNumId w:val="13"/>
  </w:num>
  <w:num w:numId="6">
    <w:abstractNumId w:val="14"/>
  </w:num>
  <w:num w:numId="7">
    <w:abstractNumId w:val="10"/>
  </w:num>
  <w:num w:numId="8">
    <w:abstractNumId w:val="18"/>
  </w:num>
  <w:num w:numId="9">
    <w:abstractNumId w:val="1"/>
  </w:num>
  <w:num w:numId="10">
    <w:abstractNumId w:val="16"/>
  </w:num>
  <w:num w:numId="11">
    <w:abstractNumId w:val="2"/>
  </w:num>
  <w:num w:numId="12">
    <w:abstractNumId w:val="15"/>
  </w:num>
  <w:num w:numId="13">
    <w:abstractNumId w:val="6"/>
  </w:num>
  <w:num w:numId="14">
    <w:abstractNumId w:val="20"/>
  </w:num>
  <w:num w:numId="15">
    <w:abstractNumId w:val="17"/>
  </w:num>
  <w:num w:numId="16">
    <w:abstractNumId w:val="11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C8"/>
    <w:rsid w:val="000661DA"/>
    <w:rsid w:val="000F1393"/>
    <w:rsid w:val="00187857"/>
    <w:rsid w:val="001C59FB"/>
    <w:rsid w:val="00223270"/>
    <w:rsid w:val="00271D49"/>
    <w:rsid w:val="002963C3"/>
    <w:rsid w:val="003211D2"/>
    <w:rsid w:val="003468FA"/>
    <w:rsid w:val="00364BB5"/>
    <w:rsid w:val="00371B39"/>
    <w:rsid w:val="00393E74"/>
    <w:rsid w:val="003F2ED0"/>
    <w:rsid w:val="00461F88"/>
    <w:rsid w:val="0049659A"/>
    <w:rsid w:val="004E269A"/>
    <w:rsid w:val="004E5493"/>
    <w:rsid w:val="00507943"/>
    <w:rsid w:val="005132B0"/>
    <w:rsid w:val="005A6C3D"/>
    <w:rsid w:val="005C1234"/>
    <w:rsid w:val="005D06B5"/>
    <w:rsid w:val="006160F6"/>
    <w:rsid w:val="00616F25"/>
    <w:rsid w:val="00635572"/>
    <w:rsid w:val="006604E8"/>
    <w:rsid w:val="006C271B"/>
    <w:rsid w:val="006F0C35"/>
    <w:rsid w:val="00733758"/>
    <w:rsid w:val="008037D5"/>
    <w:rsid w:val="008D1F92"/>
    <w:rsid w:val="00916177"/>
    <w:rsid w:val="00964009"/>
    <w:rsid w:val="009B7908"/>
    <w:rsid w:val="009E588E"/>
    <w:rsid w:val="009F76B9"/>
    <w:rsid w:val="009F7CD6"/>
    <w:rsid w:val="00A70C01"/>
    <w:rsid w:val="00A73BAD"/>
    <w:rsid w:val="00A96705"/>
    <w:rsid w:val="00AD0019"/>
    <w:rsid w:val="00B60E0E"/>
    <w:rsid w:val="00B75FF2"/>
    <w:rsid w:val="00BA7814"/>
    <w:rsid w:val="00BB5486"/>
    <w:rsid w:val="00BF34EF"/>
    <w:rsid w:val="00C1626E"/>
    <w:rsid w:val="00C25492"/>
    <w:rsid w:val="00C65348"/>
    <w:rsid w:val="00CA47CE"/>
    <w:rsid w:val="00CF7E70"/>
    <w:rsid w:val="00D14A00"/>
    <w:rsid w:val="00D26BE4"/>
    <w:rsid w:val="00D753C8"/>
    <w:rsid w:val="00D94621"/>
    <w:rsid w:val="00DD3CC3"/>
    <w:rsid w:val="00E070C0"/>
    <w:rsid w:val="00E15D54"/>
    <w:rsid w:val="00E30F74"/>
    <w:rsid w:val="00E43DCF"/>
    <w:rsid w:val="00E90A6F"/>
    <w:rsid w:val="00E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C8E05B-CC47-4143-84A3-3643A98F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53C8"/>
    <w:pPr>
      <w:spacing w:before="100" w:beforeAutospacing="1" w:after="100" w:afterAutospacing="1"/>
    </w:pPr>
  </w:style>
  <w:style w:type="paragraph" w:customStyle="1" w:styleId="CharChar">
    <w:name w:val="Char Char Знак Знак"/>
    <w:basedOn w:val="Normal"/>
    <w:rsid w:val="00C1626E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customStyle="1" w:styleId="Default">
    <w:name w:val="Default"/>
    <w:rsid w:val="00461F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461F88"/>
    <w:rPr>
      <w:color w:val="auto"/>
    </w:rPr>
  </w:style>
  <w:style w:type="paragraph" w:styleId="BalloonText">
    <w:name w:val="Balloon Text"/>
    <w:basedOn w:val="Normal"/>
    <w:link w:val="BalloonTextChar"/>
    <w:uiPriority w:val="99"/>
    <w:unhideWhenUsed/>
    <w:rsid w:val="001C5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C59FB"/>
    <w:rPr>
      <w:rFonts w:ascii="Segoe UI" w:hAnsi="Segoe UI" w:cs="Segoe UI"/>
      <w:sz w:val="18"/>
      <w:szCs w:val="18"/>
      <w:lang w:val="ru-RU" w:eastAsia="ru-RU"/>
    </w:rPr>
  </w:style>
  <w:style w:type="character" w:styleId="Hyperlink">
    <w:name w:val="Hyperlink"/>
    <w:uiPriority w:val="99"/>
    <w:unhideWhenUsed/>
    <w:rsid w:val="00A96705"/>
    <w:rPr>
      <w:color w:val="0563C1"/>
      <w:u w:val="single"/>
    </w:rPr>
  </w:style>
  <w:style w:type="character" w:styleId="Strong">
    <w:name w:val="Strong"/>
    <w:uiPriority w:val="22"/>
    <w:qFormat/>
    <w:rsid w:val="00AD0019"/>
    <w:rPr>
      <w:b/>
      <w:bCs/>
    </w:rPr>
  </w:style>
  <w:style w:type="paragraph" w:styleId="ListParagraph">
    <w:name w:val="List Paragraph"/>
    <w:basedOn w:val="Normal"/>
    <w:uiPriority w:val="34"/>
    <w:qFormat/>
    <w:rsid w:val="008D1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t">
    <w:name w:val="tt"/>
    <w:basedOn w:val="Normal"/>
    <w:uiPriority w:val="99"/>
    <w:rsid w:val="008D1F92"/>
    <w:pPr>
      <w:jc w:val="center"/>
    </w:pPr>
    <w:rPr>
      <w:rFonts w:eastAsiaTheme="minorEastAsia"/>
      <w:b/>
      <w:bCs/>
    </w:rPr>
  </w:style>
  <w:style w:type="table" w:styleId="TableGrid">
    <w:name w:val="Table Grid"/>
    <w:basedOn w:val="TableNormal"/>
    <w:uiPriority w:val="39"/>
    <w:rsid w:val="00E070C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Char Char"/>
    <w:basedOn w:val="Normal"/>
    <w:rsid w:val="00ED04B2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docheader">
    <w:name w:val="doc_header"/>
    <w:rsid w:val="00ED04B2"/>
    <w:rPr>
      <w:rFonts w:cs="Times New Roman"/>
    </w:rPr>
  </w:style>
  <w:style w:type="paragraph" w:styleId="Header">
    <w:name w:val="header"/>
    <w:basedOn w:val="Normal"/>
    <w:link w:val="HeaderChar"/>
    <w:unhideWhenUsed/>
    <w:rsid w:val="006355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6355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5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0C46-688E-47A6-B64C-7123FA86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Informativă la Proiectul Hotărîrii Guvernului Republicii Moldova</vt:lpstr>
      <vt:lpstr>Notă Informativă la Proiectul Hotărîrii Guvernului Republicii Moldova</vt:lpstr>
    </vt:vector>
  </TitlesOfParts>
  <Company>Workgroup</Company>
  <LinksUpToDate>false</LinksUpToDate>
  <CharactersWithSpaces>12008</CharactersWithSpaces>
  <SharedDoc>false</SharedDoc>
  <HLinks>
    <vt:vector size="6" baseType="variant"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 la Proiectul Hotărîrii Guvernului Republicii Moldova</dc:title>
  <dc:creator>USER</dc:creator>
  <cp:lastModifiedBy>A</cp:lastModifiedBy>
  <cp:revision>13</cp:revision>
  <cp:lastPrinted>2010-12-20T14:25:00Z</cp:lastPrinted>
  <dcterms:created xsi:type="dcterms:W3CDTF">2017-10-31T08:24:00Z</dcterms:created>
  <dcterms:modified xsi:type="dcterms:W3CDTF">2017-10-31T12:11:00Z</dcterms:modified>
</cp:coreProperties>
</file>