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5AE" w:rsidRPr="00B52DD7" w:rsidRDefault="001E05AE" w:rsidP="001E05AE">
      <w:pPr>
        <w:spacing w:before="100" w:beforeAutospacing="1" w:after="100" w:afterAutospacing="1"/>
        <w:jc w:val="right"/>
        <w:rPr>
          <w:rFonts w:eastAsia="Times New Roman"/>
          <w:b/>
          <w:i/>
          <w:noProof/>
          <w:sz w:val="28"/>
          <w:szCs w:val="28"/>
          <w:u w:val="single"/>
          <w:lang w:val="ro-RO"/>
        </w:rPr>
      </w:pPr>
      <w:r w:rsidRPr="00B52DD7">
        <w:rPr>
          <w:rFonts w:eastAsia="Times New Roman"/>
          <w:b/>
          <w:sz w:val="28"/>
          <w:szCs w:val="28"/>
          <w:u w:val="single"/>
          <w:lang w:eastAsia="ro-RO"/>
        </w:rPr>
        <w:t> </w:t>
      </w:r>
      <w:r w:rsidRPr="00B52DD7">
        <w:rPr>
          <w:rFonts w:eastAsia="Times New Roman"/>
          <w:b/>
          <w:i/>
          <w:noProof/>
          <w:sz w:val="28"/>
          <w:szCs w:val="28"/>
          <w:u w:val="single"/>
        </w:rPr>
        <w:t>Proiect</w:t>
      </w:r>
    </w:p>
    <w:p w:rsidR="005F43DD" w:rsidRPr="00B52DD7" w:rsidRDefault="005F43DD" w:rsidP="001E05AE">
      <w:pPr>
        <w:spacing w:before="100" w:beforeAutospacing="1" w:after="100" w:afterAutospacing="1"/>
        <w:jc w:val="right"/>
        <w:rPr>
          <w:rFonts w:eastAsia="Times New Roman"/>
          <w:b/>
          <w:i/>
          <w:noProof/>
          <w:sz w:val="28"/>
          <w:szCs w:val="28"/>
          <w:u w:val="single"/>
          <w:lang w:val="ro-RO"/>
        </w:rPr>
      </w:pPr>
    </w:p>
    <w:p w:rsidR="001E05AE" w:rsidRPr="00B52DD7" w:rsidRDefault="001E05AE" w:rsidP="001E05AE">
      <w:pPr>
        <w:jc w:val="center"/>
        <w:rPr>
          <w:sz w:val="28"/>
          <w:szCs w:val="28"/>
        </w:rPr>
      </w:pPr>
      <w:r w:rsidRPr="00B52DD7">
        <w:rPr>
          <w:noProof/>
          <w:sz w:val="28"/>
          <w:szCs w:val="28"/>
          <w:lang w:val="ro-RO" w:eastAsia="ro-RO"/>
        </w:rPr>
        <w:drawing>
          <wp:inline distT="0" distB="0" distL="0" distR="0">
            <wp:extent cx="595630" cy="74422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5630" cy="744220"/>
                    </a:xfrm>
                    <a:prstGeom prst="rect">
                      <a:avLst/>
                    </a:prstGeom>
                    <a:noFill/>
                    <a:ln w="9525">
                      <a:noFill/>
                      <a:miter lim="800000"/>
                      <a:headEnd/>
                      <a:tailEnd/>
                    </a:ln>
                  </pic:spPr>
                </pic:pic>
              </a:graphicData>
            </a:graphic>
          </wp:inline>
        </w:drawing>
      </w:r>
    </w:p>
    <w:p w:rsidR="001E05AE" w:rsidRPr="00B52DD7" w:rsidRDefault="001E05AE" w:rsidP="001E05AE">
      <w:pPr>
        <w:jc w:val="center"/>
        <w:rPr>
          <w:sz w:val="28"/>
          <w:szCs w:val="28"/>
        </w:rPr>
      </w:pPr>
    </w:p>
    <w:p w:rsidR="001E05AE" w:rsidRPr="00372857" w:rsidRDefault="001E05AE" w:rsidP="001E05AE">
      <w:pPr>
        <w:jc w:val="center"/>
        <w:rPr>
          <w:b/>
          <w:sz w:val="28"/>
          <w:szCs w:val="28"/>
          <w:lang w:val="en-US"/>
        </w:rPr>
      </w:pPr>
      <w:r w:rsidRPr="00B52DD7">
        <w:rPr>
          <w:b/>
          <w:sz w:val="28"/>
          <w:szCs w:val="28"/>
          <w:lang w:val="en-US"/>
        </w:rPr>
        <w:t>GUVERNUL</w:t>
      </w:r>
      <w:r w:rsidRPr="00372857">
        <w:rPr>
          <w:b/>
          <w:sz w:val="28"/>
          <w:szCs w:val="28"/>
          <w:lang w:val="en-US"/>
        </w:rPr>
        <w:t xml:space="preserve"> </w:t>
      </w:r>
      <w:r w:rsidRPr="00B52DD7">
        <w:rPr>
          <w:b/>
          <w:sz w:val="28"/>
          <w:szCs w:val="28"/>
          <w:lang w:val="en-US"/>
        </w:rPr>
        <w:t>REPUBLICII</w:t>
      </w:r>
      <w:r w:rsidRPr="00372857">
        <w:rPr>
          <w:b/>
          <w:sz w:val="28"/>
          <w:szCs w:val="28"/>
          <w:lang w:val="en-US"/>
        </w:rPr>
        <w:t xml:space="preserve"> </w:t>
      </w:r>
      <w:r w:rsidRPr="00B52DD7">
        <w:rPr>
          <w:b/>
          <w:sz w:val="28"/>
          <w:szCs w:val="28"/>
          <w:lang w:val="en-US"/>
        </w:rPr>
        <w:t>MOLDOVA</w:t>
      </w:r>
    </w:p>
    <w:p w:rsidR="001E05AE" w:rsidRPr="00372857" w:rsidRDefault="001E05AE" w:rsidP="001E05AE">
      <w:pPr>
        <w:spacing w:before="100" w:beforeAutospacing="1" w:after="100" w:afterAutospacing="1"/>
        <w:jc w:val="center"/>
        <w:rPr>
          <w:rFonts w:eastAsia="Times New Roman"/>
          <w:b/>
          <w:bCs/>
          <w:noProof/>
          <w:sz w:val="28"/>
          <w:szCs w:val="28"/>
          <w:lang w:val="en-US"/>
        </w:rPr>
      </w:pPr>
      <w:r w:rsidRPr="00B52DD7">
        <w:rPr>
          <w:rFonts w:eastAsia="Times New Roman"/>
          <w:b/>
          <w:bCs/>
          <w:noProof/>
          <w:sz w:val="28"/>
          <w:szCs w:val="28"/>
          <w:lang w:val="fr-FR"/>
        </w:rPr>
        <w:t>H</w:t>
      </w:r>
      <w:r w:rsidRPr="00372857">
        <w:rPr>
          <w:rFonts w:eastAsia="Times New Roman"/>
          <w:b/>
          <w:bCs/>
          <w:noProof/>
          <w:sz w:val="28"/>
          <w:szCs w:val="28"/>
          <w:lang w:val="en-US"/>
        </w:rPr>
        <w:t xml:space="preserve"> </w:t>
      </w:r>
      <w:r w:rsidRPr="00B52DD7">
        <w:rPr>
          <w:rFonts w:eastAsia="Times New Roman"/>
          <w:b/>
          <w:bCs/>
          <w:noProof/>
          <w:sz w:val="28"/>
          <w:szCs w:val="28"/>
          <w:lang w:val="fr-FR"/>
        </w:rPr>
        <w:t>O</w:t>
      </w:r>
      <w:r w:rsidRPr="00372857">
        <w:rPr>
          <w:rFonts w:eastAsia="Times New Roman"/>
          <w:b/>
          <w:bCs/>
          <w:noProof/>
          <w:sz w:val="28"/>
          <w:szCs w:val="28"/>
          <w:lang w:val="en-US"/>
        </w:rPr>
        <w:t xml:space="preserve"> </w:t>
      </w:r>
      <w:r w:rsidRPr="00B52DD7">
        <w:rPr>
          <w:rFonts w:eastAsia="Times New Roman"/>
          <w:b/>
          <w:bCs/>
          <w:noProof/>
          <w:sz w:val="28"/>
          <w:szCs w:val="28"/>
          <w:lang w:val="fr-FR"/>
        </w:rPr>
        <w:t>T</w:t>
      </w:r>
      <w:r w:rsidRPr="00372857">
        <w:rPr>
          <w:rFonts w:eastAsia="Times New Roman"/>
          <w:b/>
          <w:bCs/>
          <w:noProof/>
          <w:sz w:val="28"/>
          <w:szCs w:val="28"/>
          <w:lang w:val="en-US"/>
        </w:rPr>
        <w:t xml:space="preserve"> Ă </w:t>
      </w:r>
      <w:r w:rsidRPr="00B52DD7">
        <w:rPr>
          <w:rFonts w:eastAsia="Times New Roman"/>
          <w:b/>
          <w:bCs/>
          <w:noProof/>
          <w:sz w:val="28"/>
          <w:szCs w:val="28"/>
          <w:lang w:val="fr-FR"/>
        </w:rPr>
        <w:t>R</w:t>
      </w:r>
      <w:r w:rsidRPr="00372857">
        <w:rPr>
          <w:rFonts w:eastAsia="Times New Roman"/>
          <w:b/>
          <w:bCs/>
          <w:noProof/>
          <w:sz w:val="28"/>
          <w:szCs w:val="28"/>
          <w:lang w:val="en-US"/>
        </w:rPr>
        <w:t xml:space="preserve"> Î </w:t>
      </w:r>
      <w:r w:rsidRPr="00B52DD7">
        <w:rPr>
          <w:rFonts w:eastAsia="Times New Roman"/>
          <w:b/>
          <w:bCs/>
          <w:noProof/>
          <w:sz w:val="28"/>
          <w:szCs w:val="28"/>
          <w:lang w:val="fr-FR"/>
        </w:rPr>
        <w:t>R</w:t>
      </w:r>
      <w:r w:rsidRPr="00372857">
        <w:rPr>
          <w:rFonts w:eastAsia="Times New Roman"/>
          <w:b/>
          <w:bCs/>
          <w:noProof/>
          <w:sz w:val="28"/>
          <w:szCs w:val="28"/>
          <w:lang w:val="en-US"/>
        </w:rPr>
        <w:t xml:space="preserve"> </w:t>
      </w:r>
      <w:r w:rsidRPr="00B52DD7">
        <w:rPr>
          <w:rFonts w:eastAsia="Times New Roman"/>
          <w:b/>
          <w:bCs/>
          <w:noProof/>
          <w:sz w:val="28"/>
          <w:szCs w:val="28"/>
          <w:lang w:val="fr-FR"/>
        </w:rPr>
        <w:t>E</w:t>
      </w:r>
      <w:r w:rsidRPr="00372857">
        <w:rPr>
          <w:rFonts w:eastAsia="Times New Roman"/>
          <w:b/>
          <w:bCs/>
          <w:noProof/>
          <w:sz w:val="28"/>
          <w:szCs w:val="28"/>
          <w:lang w:val="en-US"/>
        </w:rPr>
        <w:t xml:space="preserve"> </w:t>
      </w:r>
      <w:r w:rsidRPr="00B52DD7">
        <w:rPr>
          <w:rFonts w:eastAsia="Times New Roman"/>
          <w:b/>
          <w:bCs/>
          <w:noProof/>
          <w:sz w:val="28"/>
          <w:szCs w:val="28"/>
          <w:lang w:val="fr-FR"/>
        </w:rPr>
        <w:t>nr</w:t>
      </w:r>
      <w:r w:rsidRPr="00372857">
        <w:rPr>
          <w:rFonts w:eastAsia="Times New Roman"/>
          <w:b/>
          <w:bCs/>
          <w:noProof/>
          <w:sz w:val="28"/>
          <w:szCs w:val="28"/>
          <w:lang w:val="en-US"/>
        </w:rPr>
        <w:t>.___</w:t>
      </w:r>
    </w:p>
    <w:p w:rsidR="001E05AE" w:rsidRPr="00372857" w:rsidRDefault="001E05AE" w:rsidP="001E05AE">
      <w:pPr>
        <w:jc w:val="center"/>
        <w:rPr>
          <w:rFonts w:eastAsia="Times New Roman"/>
          <w:b/>
          <w:bCs/>
          <w:noProof/>
          <w:sz w:val="28"/>
          <w:szCs w:val="28"/>
          <w:lang w:val="en-US"/>
        </w:rPr>
      </w:pPr>
      <w:r w:rsidRPr="00B52DD7">
        <w:rPr>
          <w:rFonts w:eastAsia="Times New Roman"/>
          <w:b/>
          <w:bCs/>
          <w:noProof/>
          <w:sz w:val="28"/>
          <w:szCs w:val="28"/>
          <w:lang w:val="en-US"/>
        </w:rPr>
        <w:t>din</w:t>
      </w:r>
      <w:r w:rsidRPr="00372857">
        <w:rPr>
          <w:rFonts w:eastAsia="Times New Roman"/>
          <w:b/>
          <w:bCs/>
          <w:noProof/>
          <w:sz w:val="28"/>
          <w:szCs w:val="28"/>
          <w:lang w:val="en-US"/>
        </w:rPr>
        <w:t>_______________________</w:t>
      </w:r>
    </w:p>
    <w:p w:rsidR="001E05AE" w:rsidRPr="00372857" w:rsidRDefault="001E05AE" w:rsidP="001E05AE">
      <w:pPr>
        <w:jc w:val="center"/>
        <w:rPr>
          <w:rFonts w:eastAsia="Times New Roman"/>
          <w:b/>
          <w:bCs/>
          <w:noProof/>
          <w:sz w:val="28"/>
          <w:szCs w:val="28"/>
          <w:lang w:val="en-US"/>
        </w:rPr>
      </w:pPr>
      <w:r w:rsidRPr="00B52DD7">
        <w:rPr>
          <w:rFonts w:eastAsia="Times New Roman"/>
          <w:b/>
          <w:bCs/>
          <w:noProof/>
          <w:sz w:val="28"/>
          <w:szCs w:val="28"/>
          <w:lang w:val="en-US"/>
        </w:rPr>
        <w:t>Chi</w:t>
      </w:r>
      <w:r w:rsidRPr="00372857">
        <w:rPr>
          <w:rFonts w:eastAsia="Times New Roman"/>
          <w:b/>
          <w:bCs/>
          <w:noProof/>
          <w:sz w:val="28"/>
          <w:szCs w:val="28"/>
          <w:lang w:val="en-US"/>
        </w:rPr>
        <w:t>ş</w:t>
      </w:r>
      <w:r w:rsidRPr="00B52DD7">
        <w:rPr>
          <w:rFonts w:eastAsia="Times New Roman"/>
          <w:b/>
          <w:bCs/>
          <w:noProof/>
          <w:sz w:val="28"/>
          <w:szCs w:val="28"/>
          <w:lang w:val="en-US"/>
        </w:rPr>
        <w:t>in</w:t>
      </w:r>
      <w:r w:rsidRPr="00372857">
        <w:rPr>
          <w:rFonts w:eastAsia="Times New Roman"/>
          <w:b/>
          <w:bCs/>
          <w:noProof/>
          <w:sz w:val="28"/>
          <w:szCs w:val="28"/>
          <w:lang w:val="en-US"/>
        </w:rPr>
        <w:t>ă</w:t>
      </w:r>
      <w:r w:rsidRPr="00B52DD7">
        <w:rPr>
          <w:rFonts w:eastAsia="Times New Roman"/>
          <w:b/>
          <w:bCs/>
          <w:noProof/>
          <w:sz w:val="28"/>
          <w:szCs w:val="28"/>
          <w:lang w:val="en-US"/>
        </w:rPr>
        <w:t>u</w:t>
      </w:r>
    </w:p>
    <w:p w:rsidR="001E05AE" w:rsidRPr="00372857" w:rsidRDefault="001E05AE" w:rsidP="001E05AE">
      <w:pPr>
        <w:jc w:val="center"/>
        <w:rPr>
          <w:b/>
          <w:sz w:val="28"/>
          <w:szCs w:val="28"/>
          <w:lang w:val="en-US"/>
        </w:rPr>
      </w:pPr>
      <w:r w:rsidRPr="00372857">
        <w:rPr>
          <w:b/>
          <w:sz w:val="28"/>
          <w:szCs w:val="28"/>
          <w:lang w:val="en-US"/>
        </w:rPr>
        <w:t xml:space="preserve">                                    </w:t>
      </w:r>
    </w:p>
    <w:p w:rsidR="001E05AE" w:rsidRPr="00372857" w:rsidRDefault="001E05AE" w:rsidP="001E05AE">
      <w:pPr>
        <w:jc w:val="center"/>
        <w:rPr>
          <w:b/>
          <w:sz w:val="28"/>
          <w:szCs w:val="28"/>
          <w:lang w:val="en-US"/>
        </w:rPr>
      </w:pPr>
      <w:r w:rsidRPr="00372857">
        <w:rPr>
          <w:b/>
          <w:sz w:val="28"/>
          <w:szCs w:val="28"/>
          <w:lang w:val="en-US"/>
        </w:rPr>
        <w:t xml:space="preserve">                                                                                                                                                                                                                                                                                                                                                                                                                                                                                                                                                                                                                                                                                                                                                                                                                                                                                                                                                                                                                                                                                                                                                                                                                                                                                                                                                                                                                                                                                                                                                                                                                                                              </w:t>
      </w:r>
    </w:p>
    <w:p w:rsidR="001A0128" w:rsidRPr="00B52DD7" w:rsidRDefault="001A0128" w:rsidP="001A0128">
      <w:pPr>
        <w:spacing w:line="276" w:lineRule="auto"/>
        <w:jc w:val="center"/>
        <w:rPr>
          <w:b/>
          <w:sz w:val="28"/>
          <w:szCs w:val="28"/>
          <w:lang w:val="ro-RO"/>
        </w:rPr>
      </w:pPr>
      <w:r w:rsidRPr="00B52DD7">
        <w:rPr>
          <w:b/>
          <w:sz w:val="28"/>
          <w:szCs w:val="28"/>
          <w:lang w:val="ro-RO"/>
        </w:rPr>
        <w:t>C</w:t>
      </w:r>
      <w:r w:rsidRPr="00B52DD7">
        <w:rPr>
          <w:b/>
          <w:sz w:val="28"/>
          <w:szCs w:val="28"/>
          <w:lang w:val="fr-FR"/>
        </w:rPr>
        <w:t xml:space="preserve">u privire la aprobarea modificărilor </w:t>
      </w:r>
    </w:p>
    <w:p w:rsidR="001E05AE" w:rsidRPr="00B52DD7" w:rsidRDefault="001A0128" w:rsidP="001A0128">
      <w:pPr>
        <w:spacing w:line="276" w:lineRule="auto"/>
        <w:jc w:val="center"/>
        <w:rPr>
          <w:b/>
          <w:sz w:val="28"/>
          <w:szCs w:val="28"/>
          <w:lang w:val="fr-FR"/>
        </w:rPr>
      </w:pPr>
      <w:r w:rsidRPr="00B52DD7">
        <w:rPr>
          <w:b/>
          <w:sz w:val="28"/>
          <w:szCs w:val="28"/>
          <w:lang w:val="fr-FR"/>
        </w:rPr>
        <w:t>și completărilor ce se operează în unele hotărîri ale Guvernului</w:t>
      </w:r>
    </w:p>
    <w:p w:rsidR="00333A2D" w:rsidRPr="00B52DD7" w:rsidRDefault="0080358F" w:rsidP="0080358F">
      <w:pPr>
        <w:pStyle w:val="NormalWeb"/>
        <w:jc w:val="center"/>
        <w:rPr>
          <w:sz w:val="28"/>
          <w:szCs w:val="28"/>
          <w:lang w:val="fr-FR"/>
        </w:rPr>
      </w:pPr>
      <w:r w:rsidRPr="00B52DD7">
        <w:rPr>
          <w:sz w:val="28"/>
          <w:szCs w:val="28"/>
          <w:lang w:val="fr-FR"/>
        </w:rPr>
        <w:t>------------------------------------------------------------------------</w:t>
      </w:r>
    </w:p>
    <w:p w:rsidR="00333A2D" w:rsidRPr="00B52DD7" w:rsidRDefault="00333A2D" w:rsidP="00333A2D">
      <w:pPr>
        <w:pStyle w:val="NormalWeb"/>
        <w:rPr>
          <w:sz w:val="28"/>
          <w:szCs w:val="28"/>
          <w:lang w:val="ro-RO"/>
        </w:rPr>
      </w:pPr>
    </w:p>
    <w:p w:rsidR="001E05AE" w:rsidRPr="00B52DD7" w:rsidRDefault="001E05AE" w:rsidP="008E40C9">
      <w:pPr>
        <w:pStyle w:val="NormalWeb"/>
        <w:rPr>
          <w:rFonts w:eastAsia="Times New Roman"/>
          <w:sz w:val="28"/>
          <w:szCs w:val="28"/>
          <w:lang w:val="ro-RO"/>
        </w:rPr>
      </w:pPr>
      <w:r w:rsidRPr="00B52DD7">
        <w:rPr>
          <w:sz w:val="28"/>
          <w:szCs w:val="28"/>
          <w:lang w:val="ro-RO"/>
        </w:rPr>
        <w:t xml:space="preserve">Guvernul </w:t>
      </w:r>
      <w:r w:rsidRPr="00B52DD7">
        <w:rPr>
          <w:rFonts w:eastAsia="Times New Roman"/>
          <w:sz w:val="28"/>
          <w:szCs w:val="28"/>
          <w:lang w:val="ro-RO"/>
        </w:rPr>
        <w:t>HOTĂRĂŞTE:</w:t>
      </w:r>
    </w:p>
    <w:p w:rsidR="008E40C9" w:rsidRPr="00B52DD7" w:rsidRDefault="008E40C9" w:rsidP="008E40C9">
      <w:pPr>
        <w:pStyle w:val="NormalWeb"/>
        <w:rPr>
          <w:sz w:val="28"/>
          <w:szCs w:val="28"/>
          <w:lang w:val="ro-RO"/>
        </w:rPr>
      </w:pPr>
    </w:p>
    <w:p w:rsidR="00333A2D" w:rsidRPr="00B52DD7" w:rsidRDefault="00333A2D" w:rsidP="00020A10">
      <w:pPr>
        <w:pStyle w:val="tt"/>
        <w:numPr>
          <w:ilvl w:val="0"/>
          <w:numId w:val="5"/>
        </w:numPr>
        <w:spacing w:before="0" w:beforeAutospacing="0" w:after="0" w:afterAutospacing="0"/>
        <w:ind w:left="0" w:firstLine="0"/>
        <w:jc w:val="both"/>
        <w:rPr>
          <w:rFonts w:eastAsiaTheme="minorEastAsia"/>
          <w:sz w:val="28"/>
          <w:szCs w:val="28"/>
          <w:lang w:val="ro-RO"/>
        </w:rPr>
      </w:pPr>
      <w:r w:rsidRPr="00B52DD7">
        <w:rPr>
          <w:rFonts w:eastAsiaTheme="minorEastAsia"/>
          <w:sz w:val="28"/>
          <w:szCs w:val="28"/>
          <w:lang w:val="ro-RO"/>
        </w:rPr>
        <w:t xml:space="preserve">Hotărîrea Guvernului nr. 1151  din  02.09.2002 </w:t>
      </w:r>
      <w:r w:rsidR="009F212F" w:rsidRPr="00B52DD7">
        <w:rPr>
          <w:rFonts w:eastAsiaTheme="minorEastAsia"/>
          <w:sz w:val="28"/>
          <w:szCs w:val="28"/>
          <w:lang w:val="ro-RO"/>
        </w:rPr>
        <w:t>„D</w:t>
      </w:r>
      <w:r w:rsidRPr="00B52DD7">
        <w:rPr>
          <w:rFonts w:eastAsiaTheme="minorEastAsia"/>
          <w:sz w:val="28"/>
          <w:szCs w:val="28"/>
          <w:lang w:val="ro-RO"/>
        </w:rPr>
        <w:t>espre aprobarea Regulamentului cu privire la normativele de cheltuieli pentru desfăşurarea conferinţelor, simpozioanelor, festivalurilor etc. de către instituţiile publice finanţat</w:t>
      </w:r>
      <w:r w:rsidR="008B373A" w:rsidRPr="00B52DD7">
        <w:rPr>
          <w:rFonts w:eastAsiaTheme="minorEastAsia"/>
          <w:sz w:val="28"/>
          <w:szCs w:val="28"/>
          <w:lang w:val="ro-RO"/>
        </w:rPr>
        <w:t>e de la bugetul public naţional</w:t>
      </w:r>
      <w:r w:rsidR="009F212F" w:rsidRPr="00B52DD7">
        <w:rPr>
          <w:rFonts w:eastAsiaTheme="minorEastAsia"/>
          <w:sz w:val="28"/>
          <w:szCs w:val="28"/>
          <w:lang w:val="ro-RO"/>
        </w:rPr>
        <w:t>”</w:t>
      </w:r>
      <w:r w:rsidR="00303ED8" w:rsidRPr="00B52DD7">
        <w:rPr>
          <w:rFonts w:eastAsiaTheme="minorEastAsia"/>
          <w:sz w:val="28"/>
          <w:szCs w:val="28"/>
          <w:lang w:val="ro-RO"/>
        </w:rPr>
        <w:t xml:space="preserve"> (</w:t>
      </w:r>
      <w:r w:rsidRPr="00B52DD7">
        <w:rPr>
          <w:rFonts w:eastAsiaTheme="minorEastAsia"/>
          <w:sz w:val="28"/>
          <w:szCs w:val="28"/>
          <w:lang w:val="ro-RO"/>
        </w:rPr>
        <w:t>Monitorul Oficial al R</w:t>
      </w:r>
      <w:r w:rsidR="00AE535E" w:rsidRPr="00B52DD7">
        <w:rPr>
          <w:rFonts w:eastAsiaTheme="minorEastAsia"/>
          <w:sz w:val="28"/>
          <w:szCs w:val="28"/>
          <w:lang w:val="ro-RO"/>
        </w:rPr>
        <w:t>epublicii M</w:t>
      </w:r>
      <w:r w:rsidR="00EF11CE" w:rsidRPr="00B52DD7">
        <w:rPr>
          <w:rFonts w:eastAsiaTheme="minorEastAsia"/>
          <w:sz w:val="28"/>
          <w:szCs w:val="28"/>
          <w:lang w:val="ro-RO"/>
        </w:rPr>
        <w:t xml:space="preserve">oldova, </w:t>
      </w:r>
      <w:r w:rsidRPr="00B52DD7">
        <w:rPr>
          <w:rFonts w:eastAsiaTheme="minorEastAsia"/>
          <w:sz w:val="28"/>
          <w:szCs w:val="28"/>
          <w:lang w:val="ro-RO"/>
        </w:rPr>
        <w:t>2002</w:t>
      </w:r>
      <w:r w:rsidR="005C155C" w:rsidRPr="00B52DD7">
        <w:rPr>
          <w:rFonts w:eastAsiaTheme="minorEastAsia"/>
          <w:sz w:val="28"/>
          <w:szCs w:val="28"/>
          <w:lang w:val="ro-RO"/>
        </w:rPr>
        <w:t>, nr.126-127 art.1278</w:t>
      </w:r>
      <w:r w:rsidRPr="00B52DD7">
        <w:rPr>
          <w:rFonts w:eastAsiaTheme="minorEastAsia"/>
          <w:sz w:val="28"/>
          <w:szCs w:val="28"/>
          <w:lang w:val="ro-RO"/>
        </w:rPr>
        <w:t>)</w:t>
      </w:r>
      <w:r w:rsidR="001145D5" w:rsidRPr="00B52DD7">
        <w:rPr>
          <w:rFonts w:eastAsiaTheme="minorEastAsia"/>
          <w:sz w:val="28"/>
          <w:szCs w:val="28"/>
          <w:lang w:val="ro-RO"/>
        </w:rPr>
        <w:t xml:space="preserve"> se modifică și se completează după cum urmează: </w:t>
      </w:r>
    </w:p>
    <w:p w:rsidR="0062464B" w:rsidRPr="00B52DD7" w:rsidRDefault="00020A10" w:rsidP="00020A10">
      <w:pPr>
        <w:pStyle w:val="tt"/>
        <w:spacing w:before="0" w:beforeAutospacing="0" w:after="0" w:afterAutospacing="0"/>
        <w:ind w:firstLine="426"/>
        <w:jc w:val="both"/>
        <w:rPr>
          <w:rFonts w:eastAsiaTheme="minorEastAsia"/>
          <w:sz w:val="28"/>
          <w:szCs w:val="28"/>
          <w:lang w:val="ro-RO"/>
        </w:rPr>
      </w:pPr>
      <w:r w:rsidRPr="00B52DD7">
        <w:rPr>
          <w:rFonts w:eastAsiaTheme="minorEastAsia"/>
          <w:sz w:val="28"/>
          <w:szCs w:val="28"/>
          <w:lang w:val="ro-RO"/>
        </w:rPr>
        <w:t xml:space="preserve">1.1 </w:t>
      </w:r>
      <w:r w:rsidR="007F1050" w:rsidRPr="00B52DD7">
        <w:rPr>
          <w:rFonts w:eastAsiaTheme="minorEastAsia"/>
          <w:sz w:val="28"/>
          <w:szCs w:val="28"/>
          <w:lang w:val="ro-RO"/>
        </w:rPr>
        <w:t xml:space="preserve">În </w:t>
      </w:r>
      <w:r w:rsidR="0062464B" w:rsidRPr="00B52DD7">
        <w:rPr>
          <w:rFonts w:eastAsiaTheme="minorEastAsia"/>
          <w:sz w:val="28"/>
          <w:szCs w:val="28"/>
          <w:lang w:val="ro-RO"/>
        </w:rPr>
        <w:t>clauza de emitere a hotărîrii, sintagma „din mijloace bugetare și speciale” se substitui</w:t>
      </w:r>
      <w:r w:rsidR="006C370D" w:rsidRPr="00B52DD7">
        <w:rPr>
          <w:rFonts w:eastAsiaTheme="minorEastAsia"/>
          <w:sz w:val="28"/>
          <w:szCs w:val="28"/>
          <w:lang w:val="ro-RO"/>
        </w:rPr>
        <w:t>e</w:t>
      </w:r>
      <w:r w:rsidR="0062464B" w:rsidRPr="00B52DD7">
        <w:rPr>
          <w:rFonts w:eastAsiaTheme="minorEastAsia"/>
          <w:sz w:val="28"/>
          <w:szCs w:val="28"/>
          <w:lang w:val="ro-RO"/>
        </w:rPr>
        <w:t xml:space="preserve"> prin sintagma „din contul alocațiilor bugetare”;</w:t>
      </w:r>
    </w:p>
    <w:p w:rsidR="008E249B" w:rsidRPr="00B52DD7" w:rsidRDefault="00020A10" w:rsidP="00020A10">
      <w:pPr>
        <w:pStyle w:val="tt"/>
        <w:spacing w:before="0" w:beforeAutospacing="0" w:after="0" w:afterAutospacing="0"/>
        <w:ind w:firstLine="426"/>
        <w:jc w:val="both"/>
        <w:rPr>
          <w:rFonts w:eastAsiaTheme="minorEastAsia"/>
          <w:sz w:val="28"/>
          <w:szCs w:val="28"/>
          <w:lang w:val="ro-RO"/>
        </w:rPr>
      </w:pPr>
      <w:r w:rsidRPr="00B52DD7">
        <w:rPr>
          <w:sz w:val="28"/>
          <w:szCs w:val="28"/>
          <w:lang w:val="ro-RO"/>
        </w:rPr>
        <w:t xml:space="preserve">1.2 </w:t>
      </w:r>
      <w:r w:rsidR="008E249B" w:rsidRPr="00B52DD7">
        <w:rPr>
          <w:sz w:val="28"/>
          <w:szCs w:val="28"/>
          <w:lang w:val="ro-RO"/>
        </w:rPr>
        <w:t>P</w:t>
      </w:r>
      <w:r w:rsidR="008E249B" w:rsidRPr="00B52DD7">
        <w:rPr>
          <w:sz w:val="28"/>
          <w:szCs w:val="28"/>
          <w:lang w:val="zh-CN"/>
        </w:rPr>
        <w:t xml:space="preserve">unctul 2 </w:t>
      </w:r>
      <w:r w:rsidR="008E249B" w:rsidRPr="00B52DD7">
        <w:rPr>
          <w:sz w:val="28"/>
          <w:szCs w:val="28"/>
          <w:lang w:val="ro-RO"/>
        </w:rPr>
        <w:t xml:space="preserve">din partea dispozitivă a hotărîrii </w:t>
      </w:r>
      <w:r w:rsidR="008E249B" w:rsidRPr="00B52DD7">
        <w:rPr>
          <w:sz w:val="28"/>
          <w:szCs w:val="28"/>
          <w:lang w:val="zh-CN"/>
        </w:rPr>
        <w:t xml:space="preserve">va avea următorul cuprins: </w:t>
      </w:r>
      <w:r w:rsidR="008E249B" w:rsidRPr="00B52DD7">
        <w:rPr>
          <w:sz w:val="28"/>
          <w:szCs w:val="28"/>
          <w:lang w:val="ro-RO"/>
        </w:rPr>
        <w:t xml:space="preserve">„Se stabileşte că cheltuielile ocazionate de organizarea şi desfăşurarea conferinţelor, simpozioanelor, festivalurilor etc. vor fi finanţate din contul şi în limitele alocațiilor bugetare </w:t>
      </w:r>
      <w:r w:rsidRPr="00B52DD7">
        <w:rPr>
          <w:sz w:val="28"/>
          <w:szCs w:val="28"/>
          <w:lang w:val="ro-RO"/>
        </w:rPr>
        <w:t>prevăzute instituţiilor publice care organizează activităţile respective</w:t>
      </w:r>
      <w:r w:rsidR="008E249B" w:rsidRPr="00B52DD7">
        <w:rPr>
          <w:sz w:val="28"/>
          <w:szCs w:val="28"/>
          <w:lang w:val="ro-RO"/>
        </w:rPr>
        <w:t>”;</w:t>
      </w:r>
      <w:r w:rsidR="0062464B" w:rsidRPr="00B52DD7">
        <w:rPr>
          <w:rFonts w:eastAsiaTheme="minorEastAsia"/>
          <w:sz w:val="28"/>
          <w:szCs w:val="28"/>
          <w:lang w:val="ro-RO"/>
        </w:rPr>
        <w:t xml:space="preserve">   </w:t>
      </w:r>
    </w:p>
    <w:p w:rsidR="008E249B" w:rsidRPr="00B52DD7" w:rsidRDefault="00020A10" w:rsidP="00020A10">
      <w:pPr>
        <w:pStyle w:val="tt"/>
        <w:spacing w:before="0" w:beforeAutospacing="0" w:after="0" w:afterAutospacing="0"/>
        <w:ind w:firstLine="426"/>
        <w:jc w:val="both"/>
        <w:rPr>
          <w:sz w:val="28"/>
          <w:szCs w:val="28"/>
          <w:lang w:val="ro-RO"/>
        </w:rPr>
      </w:pPr>
      <w:r w:rsidRPr="00B52DD7">
        <w:rPr>
          <w:sz w:val="28"/>
          <w:szCs w:val="28"/>
          <w:lang w:val="ro-RO"/>
        </w:rPr>
        <w:t xml:space="preserve">1.3 </w:t>
      </w:r>
      <w:r w:rsidR="008E249B" w:rsidRPr="00B52DD7">
        <w:rPr>
          <w:sz w:val="28"/>
          <w:szCs w:val="28"/>
          <w:lang w:val="ro-RO"/>
        </w:rPr>
        <w:t>În partea introductivă a Regulamentului, expresia „și extrabugetare (speciale)”</w:t>
      </w:r>
      <w:r w:rsidR="00303ED8" w:rsidRPr="00B52DD7">
        <w:rPr>
          <w:sz w:val="28"/>
          <w:szCs w:val="28"/>
          <w:lang w:val="ro-RO"/>
        </w:rPr>
        <w:t xml:space="preserve"> </w:t>
      </w:r>
      <w:r w:rsidR="008E249B" w:rsidRPr="00B52DD7">
        <w:rPr>
          <w:sz w:val="28"/>
          <w:szCs w:val="28"/>
          <w:lang w:val="ro-RO"/>
        </w:rPr>
        <w:t xml:space="preserve">se </w:t>
      </w:r>
      <w:r w:rsidR="00372857">
        <w:rPr>
          <w:sz w:val="28"/>
          <w:szCs w:val="28"/>
          <w:lang w:val="ro-RO"/>
        </w:rPr>
        <w:t>exclude</w:t>
      </w:r>
      <w:r w:rsidR="008E249B" w:rsidRPr="00B52DD7">
        <w:rPr>
          <w:sz w:val="28"/>
          <w:szCs w:val="28"/>
          <w:lang w:val="ro-RO"/>
        </w:rPr>
        <w:t>;</w:t>
      </w:r>
    </w:p>
    <w:p w:rsidR="00270C52" w:rsidRPr="00B52DD7" w:rsidRDefault="00A822A9" w:rsidP="00A822A9">
      <w:pPr>
        <w:pStyle w:val="tt"/>
        <w:spacing w:before="0" w:beforeAutospacing="0" w:after="0" w:afterAutospacing="0"/>
        <w:ind w:firstLine="426"/>
        <w:jc w:val="both"/>
        <w:rPr>
          <w:sz w:val="28"/>
          <w:szCs w:val="28"/>
          <w:lang w:val="ro-RO"/>
        </w:rPr>
      </w:pPr>
      <w:r w:rsidRPr="00B52DD7">
        <w:rPr>
          <w:sz w:val="28"/>
          <w:szCs w:val="28"/>
          <w:lang w:val="ro-RO"/>
        </w:rPr>
        <w:t>1.4 În</w:t>
      </w:r>
      <w:r w:rsidR="00726966" w:rsidRPr="00B52DD7">
        <w:rPr>
          <w:sz w:val="28"/>
          <w:szCs w:val="28"/>
          <w:lang w:val="ro-RO"/>
        </w:rPr>
        <w:t xml:space="preserve"> punctul 1 din Regulament, cuvintele „precum şi la întocmirea planurilor de finanţare şi a devizelor de venituri şi cheltuieli pe mijloace speciale,” se exclud</w:t>
      </w:r>
      <w:r w:rsidR="00FB7D83" w:rsidRPr="00B52DD7">
        <w:rPr>
          <w:sz w:val="28"/>
          <w:szCs w:val="28"/>
          <w:lang w:val="ro-RO"/>
        </w:rPr>
        <w:t>;</w:t>
      </w:r>
    </w:p>
    <w:p w:rsidR="00FB7D83" w:rsidRPr="00B52DD7" w:rsidRDefault="00816D46" w:rsidP="00816D46">
      <w:pPr>
        <w:pStyle w:val="tt"/>
        <w:spacing w:before="0" w:beforeAutospacing="0" w:after="0" w:afterAutospacing="0"/>
        <w:ind w:firstLine="426"/>
        <w:jc w:val="both"/>
        <w:rPr>
          <w:sz w:val="28"/>
          <w:szCs w:val="28"/>
          <w:lang w:val="ro-RO"/>
        </w:rPr>
      </w:pPr>
      <w:r w:rsidRPr="00B52DD7">
        <w:rPr>
          <w:sz w:val="28"/>
          <w:szCs w:val="28"/>
          <w:lang w:val="ro-RO"/>
        </w:rPr>
        <w:t>1.5 În</w:t>
      </w:r>
      <w:r w:rsidR="00FB7D83" w:rsidRPr="00B52DD7">
        <w:rPr>
          <w:sz w:val="28"/>
          <w:szCs w:val="28"/>
          <w:lang w:val="ro-RO"/>
        </w:rPr>
        <w:t xml:space="preserve"> punctul 3 din Regulament, cuvântul „consfătuiri” se exclude;</w:t>
      </w:r>
    </w:p>
    <w:p w:rsidR="00FB7D83" w:rsidRPr="00B52DD7" w:rsidRDefault="003332B5" w:rsidP="003332B5">
      <w:pPr>
        <w:pStyle w:val="tt"/>
        <w:spacing w:before="0" w:beforeAutospacing="0" w:after="0" w:afterAutospacing="0"/>
        <w:ind w:firstLine="426"/>
        <w:jc w:val="both"/>
        <w:rPr>
          <w:sz w:val="28"/>
          <w:szCs w:val="28"/>
          <w:lang w:val="ro-RO"/>
        </w:rPr>
      </w:pPr>
      <w:r w:rsidRPr="00B52DD7">
        <w:rPr>
          <w:sz w:val="28"/>
          <w:szCs w:val="28"/>
          <w:lang w:val="ro-RO"/>
        </w:rPr>
        <w:t>1.6 În</w:t>
      </w:r>
      <w:r w:rsidR="006C370D" w:rsidRPr="00B52DD7">
        <w:rPr>
          <w:sz w:val="28"/>
          <w:szCs w:val="28"/>
          <w:lang w:val="ro-RO"/>
        </w:rPr>
        <w:t xml:space="preserve"> punctul 4 din Regulament, sintagma „ministere și alte autorități administrative centrale” se</w:t>
      </w:r>
      <w:r w:rsidR="000F17C5" w:rsidRPr="00B52DD7">
        <w:rPr>
          <w:sz w:val="28"/>
          <w:szCs w:val="28"/>
          <w:lang w:val="ro-RO"/>
        </w:rPr>
        <w:t xml:space="preserve"> </w:t>
      </w:r>
      <w:r w:rsidRPr="00B52DD7">
        <w:rPr>
          <w:sz w:val="28"/>
          <w:szCs w:val="28"/>
          <w:lang w:val="ro-RO"/>
        </w:rPr>
        <w:t>substituie prin</w:t>
      </w:r>
      <w:r w:rsidR="000F17C5" w:rsidRPr="00B52DD7">
        <w:rPr>
          <w:sz w:val="28"/>
          <w:szCs w:val="28"/>
          <w:lang w:val="ro-RO"/>
        </w:rPr>
        <w:t xml:space="preserve"> „autoritățile administrației publice centrale”, iar expresia „primirea și deservirea delegațiilor oficiale străine și a anumitor persoane” se substituie prin expresia „deservirea delegațiilor și persoanelor oficiale străine”;</w:t>
      </w:r>
    </w:p>
    <w:p w:rsidR="00F341CC" w:rsidRPr="00B52DD7" w:rsidRDefault="003332B5" w:rsidP="003332B5">
      <w:pPr>
        <w:pStyle w:val="tt"/>
        <w:spacing w:before="0" w:beforeAutospacing="0" w:after="0" w:afterAutospacing="0"/>
        <w:ind w:firstLine="426"/>
        <w:jc w:val="both"/>
        <w:rPr>
          <w:sz w:val="28"/>
          <w:szCs w:val="28"/>
          <w:lang w:val="ro-RO"/>
        </w:rPr>
      </w:pPr>
      <w:r w:rsidRPr="00B52DD7">
        <w:rPr>
          <w:sz w:val="28"/>
          <w:szCs w:val="28"/>
          <w:lang w:val="ro-RO"/>
        </w:rPr>
        <w:t xml:space="preserve">1.7 </w:t>
      </w:r>
      <w:r w:rsidR="000F17C5" w:rsidRPr="00B52DD7">
        <w:rPr>
          <w:sz w:val="28"/>
          <w:szCs w:val="28"/>
          <w:lang w:val="ro-RO"/>
        </w:rPr>
        <w:t xml:space="preserve">Tabelul din punctul 5, se </w:t>
      </w:r>
      <w:r w:rsidRPr="00B52DD7">
        <w:rPr>
          <w:sz w:val="28"/>
          <w:szCs w:val="28"/>
          <w:lang w:val="ro-RO"/>
        </w:rPr>
        <w:t>expune</w:t>
      </w:r>
      <w:r w:rsidR="000F17C5" w:rsidRPr="00B52DD7">
        <w:rPr>
          <w:sz w:val="28"/>
          <w:szCs w:val="28"/>
          <w:lang w:val="ro-RO"/>
        </w:rPr>
        <w:t xml:space="preserve"> în următoarea redacție:</w:t>
      </w:r>
      <w:r w:rsidR="006975D3" w:rsidRPr="00B52DD7">
        <w:rPr>
          <w:sz w:val="28"/>
          <w:szCs w:val="28"/>
          <w:lang w:val="ro-RO"/>
        </w:rPr>
        <w:t xml:space="preserve">  </w:t>
      </w:r>
    </w:p>
    <w:tbl>
      <w:tblPr>
        <w:tblW w:w="9091" w:type="dxa"/>
        <w:jc w:val="center"/>
        <w:tblInd w:w="1409" w:type="dxa"/>
        <w:tblCellMar>
          <w:top w:w="15" w:type="dxa"/>
          <w:left w:w="15" w:type="dxa"/>
          <w:bottom w:w="15" w:type="dxa"/>
          <w:right w:w="15" w:type="dxa"/>
        </w:tblCellMar>
        <w:tblLook w:val="04A0"/>
      </w:tblPr>
      <w:tblGrid>
        <w:gridCol w:w="4253"/>
        <w:gridCol w:w="2148"/>
        <w:gridCol w:w="1044"/>
        <w:gridCol w:w="1044"/>
        <w:gridCol w:w="602"/>
      </w:tblGrid>
      <w:tr w:rsidR="00474F1E" w:rsidRPr="00372857" w:rsidTr="000F17C5">
        <w:trPr>
          <w:jc w:val="center"/>
        </w:trPr>
        <w:tc>
          <w:tcPr>
            <w:tcW w:w="6401" w:type="dxa"/>
            <w:gridSpan w:val="2"/>
            <w:tcBorders>
              <w:top w:val="nil"/>
              <w:left w:val="nil"/>
              <w:bottom w:val="nil"/>
              <w:right w:val="nil"/>
            </w:tcBorders>
            <w:tcMar>
              <w:top w:w="15" w:type="dxa"/>
              <w:left w:w="35" w:type="dxa"/>
              <w:bottom w:w="15" w:type="dxa"/>
              <w:right w:w="35" w:type="dxa"/>
            </w:tcMar>
            <w:hideMark/>
          </w:tcPr>
          <w:p w:rsidR="000F17C5" w:rsidRPr="00B52DD7" w:rsidRDefault="000F17C5" w:rsidP="003E7908">
            <w:pPr>
              <w:rPr>
                <w:rFonts w:eastAsia="Times New Roman"/>
                <w:sz w:val="20"/>
                <w:szCs w:val="20"/>
                <w:lang w:val="fr-FR"/>
              </w:rPr>
            </w:pPr>
            <w:r w:rsidRPr="00B52DD7">
              <w:rPr>
                <w:rFonts w:eastAsia="Times New Roman"/>
                <w:sz w:val="20"/>
                <w:szCs w:val="20"/>
                <w:lang w:val="fr-FR"/>
              </w:rPr>
              <w:t> </w:t>
            </w:r>
          </w:p>
        </w:tc>
        <w:tc>
          <w:tcPr>
            <w:tcW w:w="0" w:type="auto"/>
            <w:gridSpan w:val="3"/>
            <w:tcBorders>
              <w:top w:val="nil"/>
              <w:left w:val="nil"/>
              <w:bottom w:val="nil"/>
              <w:right w:val="nil"/>
            </w:tcBorders>
            <w:tcMar>
              <w:top w:w="15" w:type="dxa"/>
              <w:left w:w="35" w:type="dxa"/>
              <w:bottom w:w="15" w:type="dxa"/>
              <w:right w:w="35" w:type="dxa"/>
            </w:tcMar>
            <w:hideMark/>
          </w:tcPr>
          <w:p w:rsidR="000F17C5" w:rsidRPr="00B52DD7" w:rsidRDefault="000F17C5" w:rsidP="000F17C5">
            <w:pPr>
              <w:jc w:val="right"/>
              <w:rPr>
                <w:rFonts w:eastAsia="Times New Roman"/>
                <w:sz w:val="20"/>
                <w:szCs w:val="20"/>
                <w:lang w:val="fr-FR"/>
              </w:rPr>
            </w:pPr>
          </w:p>
        </w:tc>
      </w:tr>
      <w:tr w:rsidR="006975D3" w:rsidRPr="00372857" w:rsidTr="000F17C5">
        <w:trPr>
          <w:jc w:val="center"/>
        </w:trPr>
        <w:tc>
          <w:tcPr>
            <w:tcW w:w="4253" w:type="dxa"/>
            <w:vMerge w:val="restart"/>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FF627F" w:rsidRPr="00B52DD7" w:rsidRDefault="00FF627F" w:rsidP="003E7908">
            <w:pPr>
              <w:jc w:val="center"/>
              <w:rPr>
                <w:rFonts w:eastAsia="Times New Roman"/>
                <w:b/>
                <w:bCs/>
                <w:sz w:val="20"/>
                <w:szCs w:val="20"/>
                <w:lang w:val="ro-RO"/>
              </w:rPr>
            </w:pPr>
          </w:p>
          <w:p w:rsidR="000F17C5" w:rsidRPr="00B52DD7" w:rsidRDefault="000F17C5" w:rsidP="003E7908">
            <w:pPr>
              <w:jc w:val="center"/>
              <w:rPr>
                <w:rFonts w:eastAsia="Times New Roman"/>
                <w:b/>
                <w:bCs/>
                <w:sz w:val="20"/>
                <w:szCs w:val="20"/>
              </w:rPr>
            </w:pPr>
            <w:r w:rsidRPr="00B52DD7">
              <w:rPr>
                <w:rFonts w:eastAsia="Times New Roman"/>
                <w:b/>
                <w:bCs/>
                <w:sz w:val="20"/>
                <w:szCs w:val="20"/>
              </w:rPr>
              <w:t>Categoriile de cheltuieli</w:t>
            </w:r>
          </w:p>
        </w:tc>
        <w:tc>
          <w:tcPr>
            <w:tcW w:w="2148" w:type="dxa"/>
            <w:vMerge w:val="restart"/>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FF627F" w:rsidRPr="00B52DD7" w:rsidRDefault="00FF627F" w:rsidP="00E85558">
            <w:pPr>
              <w:jc w:val="center"/>
              <w:rPr>
                <w:rFonts w:eastAsia="Times New Roman"/>
                <w:b/>
                <w:bCs/>
                <w:sz w:val="20"/>
                <w:szCs w:val="20"/>
                <w:lang w:val="ro-RO"/>
              </w:rPr>
            </w:pPr>
          </w:p>
          <w:p w:rsidR="000F17C5" w:rsidRPr="00B52DD7" w:rsidRDefault="000F17C5" w:rsidP="00E85558">
            <w:pPr>
              <w:jc w:val="center"/>
              <w:rPr>
                <w:rFonts w:eastAsia="Times New Roman"/>
                <w:b/>
                <w:bCs/>
                <w:sz w:val="20"/>
                <w:szCs w:val="20"/>
              </w:rPr>
            </w:pPr>
            <w:r w:rsidRPr="00B52DD7">
              <w:rPr>
                <w:rFonts w:eastAsia="Times New Roman"/>
                <w:b/>
                <w:bCs/>
                <w:sz w:val="20"/>
                <w:szCs w:val="20"/>
              </w:rPr>
              <w:t>Note</w:t>
            </w:r>
          </w:p>
        </w:tc>
        <w:tc>
          <w:tcPr>
            <w:tcW w:w="0" w:type="auto"/>
            <w:gridSpan w:val="3"/>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3332B5">
            <w:pPr>
              <w:jc w:val="center"/>
              <w:rPr>
                <w:rFonts w:eastAsia="Times New Roman"/>
                <w:sz w:val="20"/>
                <w:szCs w:val="20"/>
                <w:lang w:val="ro-RO"/>
              </w:rPr>
            </w:pPr>
            <w:r w:rsidRPr="00B52DD7">
              <w:rPr>
                <w:rFonts w:eastAsia="Times New Roman"/>
                <w:b/>
                <w:bCs/>
                <w:sz w:val="20"/>
                <w:szCs w:val="20"/>
                <w:lang w:val="fr-FR"/>
              </w:rPr>
              <w:t>Volumele maxime de cheltuieli</w:t>
            </w:r>
            <w:r w:rsidR="006975D3" w:rsidRPr="00B52DD7">
              <w:rPr>
                <w:rFonts w:eastAsia="Times New Roman"/>
                <w:b/>
                <w:bCs/>
                <w:sz w:val="20"/>
                <w:szCs w:val="20"/>
                <w:lang w:val="ro-RO"/>
              </w:rPr>
              <w:t xml:space="preserve">, </w:t>
            </w:r>
            <w:r w:rsidR="002459F1" w:rsidRPr="00B52DD7">
              <w:rPr>
                <w:rFonts w:eastAsia="Times New Roman"/>
                <w:b/>
                <w:bCs/>
                <w:sz w:val="20"/>
                <w:szCs w:val="20"/>
                <w:lang w:val="ro-RO"/>
              </w:rPr>
              <w:t>conform</w:t>
            </w:r>
            <w:r w:rsidR="006975D3" w:rsidRPr="00B52DD7">
              <w:rPr>
                <w:rFonts w:eastAsia="Times New Roman"/>
                <w:b/>
                <w:bCs/>
                <w:sz w:val="20"/>
                <w:szCs w:val="20"/>
                <w:lang w:val="ro-RO"/>
              </w:rPr>
              <w:t xml:space="preserve"> nivelul</w:t>
            </w:r>
            <w:r w:rsidR="002459F1" w:rsidRPr="00B52DD7">
              <w:rPr>
                <w:rFonts w:eastAsia="Times New Roman"/>
                <w:b/>
                <w:bCs/>
                <w:sz w:val="20"/>
                <w:szCs w:val="20"/>
                <w:lang w:val="ro-RO"/>
              </w:rPr>
              <w:t xml:space="preserve">ui de </w:t>
            </w:r>
            <w:r w:rsidR="006975D3" w:rsidRPr="00B52DD7">
              <w:rPr>
                <w:rFonts w:eastAsia="Times New Roman"/>
                <w:b/>
                <w:bCs/>
                <w:sz w:val="20"/>
                <w:szCs w:val="20"/>
                <w:lang w:val="ro-RO"/>
              </w:rPr>
              <w:t>desfășur</w:t>
            </w:r>
            <w:r w:rsidR="002459F1" w:rsidRPr="00B52DD7">
              <w:rPr>
                <w:rFonts w:eastAsia="Times New Roman"/>
                <w:b/>
                <w:bCs/>
                <w:sz w:val="20"/>
                <w:szCs w:val="20"/>
                <w:lang w:val="ro-RO"/>
              </w:rPr>
              <w:t>are</w:t>
            </w:r>
            <w:r w:rsidR="006975D3" w:rsidRPr="00B52DD7">
              <w:rPr>
                <w:rFonts w:eastAsia="Times New Roman"/>
                <w:b/>
                <w:bCs/>
                <w:sz w:val="20"/>
                <w:szCs w:val="20"/>
                <w:lang w:val="ro-RO"/>
              </w:rPr>
              <w:t>,  lei</w:t>
            </w:r>
          </w:p>
        </w:tc>
      </w:tr>
      <w:tr w:rsidR="00474F1E" w:rsidRPr="00B52DD7" w:rsidTr="000F17C5">
        <w:trPr>
          <w:jc w:val="center"/>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F17C5" w:rsidRPr="00B52DD7" w:rsidRDefault="000F17C5" w:rsidP="006975D3">
            <w:pPr>
              <w:jc w:val="center"/>
              <w:rPr>
                <w:rFonts w:eastAsia="Times New Roman"/>
                <w:b/>
                <w:bCs/>
                <w:sz w:val="20"/>
                <w:szCs w:val="20"/>
                <w:lang w:val="fr-FR"/>
              </w:rPr>
            </w:pPr>
          </w:p>
        </w:tc>
        <w:tc>
          <w:tcPr>
            <w:tcW w:w="2148" w:type="dxa"/>
            <w:vMerge/>
            <w:tcBorders>
              <w:top w:val="single" w:sz="4" w:space="0" w:color="000000"/>
              <w:left w:val="single" w:sz="4" w:space="0" w:color="000000"/>
              <w:bottom w:val="single" w:sz="4" w:space="0" w:color="000000"/>
              <w:right w:val="single" w:sz="4" w:space="0" w:color="000000"/>
            </w:tcBorders>
            <w:vAlign w:val="center"/>
            <w:hideMark/>
          </w:tcPr>
          <w:p w:rsidR="000F17C5" w:rsidRPr="00B52DD7" w:rsidRDefault="000F17C5" w:rsidP="00E85558">
            <w:pPr>
              <w:jc w:val="center"/>
              <w:rPr>
                <w:rFonts w:eastAsia="Times New Roman"/>
                <w:b/>
                <w:bCs/>
                <w:sz w:val="20"/>
                <w:szCs w:val="20"/>
                <w:lang w:val="fr-FR"/>
              </w:rPr>
            </w:pP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6975D3" w:rsidP="009C0423">
            <w:pPr>
              <w:jc w:val="center"/>
              <w:rPr>
                <w:rFonts w:eastAsia="Times New Roman"/>
                <w:sz w:val="20"/>
                <w:szCs w:val="20"/>
                <w:lang w:val="ro-RO"/>
              </w:rPr>
            </w:pPr>
            <w:r w:rsidRPr="00B52DD7">
              <w:rPr>
                <w:rFonts w:eastAsia="Times New Roman"/>
                <w:b/>
                <w:bCs/>
                <w:sz w:val="20"/>
                <w:szCs w:val="20"/>
                <w:lang w:val="ro-RO"/>
              </w:rPr>
              <w:t>gr.</w:t>
            </w:r>
            <w:r w:rsidR="000F17C5" w:rsidRPr="00B52DD7">
              <w:rPr>
                <w:rFonts w:eastAsia="Times New Roman"/>
                <w:b/>
                <w:bCs/>
                <w:sz w:val="20"/>
                <w:szCs w:val="20"/>
                <w:lang w:val="fr-FR"/>
              </w:rPr>
              <w:t>I</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6975D3" w:rsidP="009C0423">
            <w:pPr>
              <w:jc w:val="center"/>
              <w:rPr>
                <w:rFonts w:eastAsia="Times New Roman"/>
                <w:sz w:val="20"/>
                <w:szCs w:val="20"/>
                <w:lang w:val="fr-FR"/>
              </w:rPr>
            </w:pPr>
            <w:r w:rsidRPr="00B52DD7">
              <w:rPr>
                <w:rFonts w:eastAsia="Times New Roman"/>
                <w:b/>
                <w:bCs/>
                <w:sz w:val="20"/>
                <w:szCs w:val="20"/>
                <w:lang w:val="fr-FR"/>
              </w:rPr>
              <w:t>gr.</w:t>
            </w:r>
            <w:r w:rsidR="000F17C5" w:rsidRPr="00B52DD7">
              <w:rPr>
                <w:rFonts w:eastAsia="Times New Roman"/>
                <w:b/>
                <w:bCs/>
                <w:sz w:val="20"/>
                <w:szCs w:val="20"/>
                <w:lang w:val="fr-FR"/>
              </w:rPr>
              <w:t>I</w:t>
            </w:r>
            <w:r w:rsidRPr="00B52DD7">
              <w:rPr>
                <w:rFonts w:eastAsia="Times New Roman"/>
                <w:b/>
                <w:bCs/>
                <w:sz w:val="20"/>
                <w:szCs w:val="20"/>
                <w:lang w:val="fr-FR"/>
              </w:rPr>
              <w:t>I</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6975D3" w:rsidP="009C0423">
            <w:pPr>
              <w:jc w:val="center"/>
              <w:rPr>
                <w:rFonts w:eastAsia="Times New Roman"/>
                <w:sz w:val="20"/>
                <w:szCs w:val="20"/>
                <w:lang w:val="fr-FR"/>
              </w:rPr>
            </w:pPr>
            <w:r w:rsidRPr="00B52DD7">
              <w:rPr>
                <w:rFonts w:eastAsia="Times New Roman"/>
                <w:b/>
                <w:bCs/>
                <w:sz w:val="20"/>
                <w:szCs w:val="20"/>
                <w:lang w:val="fr-FR"/>
              </w:rPr>
              <w:t>g</w:t>
            </w:r>
            <w:r w:rsidR="000F17C5" w:rsidRPr="00B52DD7">
              <w:rPr>
                <w:rFonts w:eastAsia="Times New Roman"/>
                <w:b/>
                <w:bCs/>
                <w:sz w:val="20"/>
                <w:szCs w:val="20"/>
                <w:lang w:val="fr-FR"/>
              </w:rPr>
              <w:t>r</w:t>
            </w:r>
            <w:r w:rsidRPr="00B52DD7">
              <w:rPr>
                <w:rFonts w:eastAsia="Times New Roman"/>
                <w:b/>
                <w:bCs/>
                <w:sz w:val="20"/>
                <w:szCs w:val="20"/>
                <w:lang w:val="fr-FR"/>
              </w:rPr>
              <w:t>.</w:t>
            </w:r>
            <w:r w:rsidR="000F17C5" w:rsidRPr="00B52DD7">
              <w:rPr>
                <w:rFonts w:eastAsia="Times New Roman"/>
                <w:b/>
                <w:bCs/>
                <w:sz w:val="20"/>
                <w:szCs w:val="20"/>
                <w:lang w:val="fr-FR"/>
              </w:rPr>
              <w:t>lll</w:t>
            </w:r>
          </w:p>
        </w:tc>
      </w:tr>
      <w:tr w:rsidR="00474F1E" w:rsidRPr="00B52DD7" w:rsidTr="000F17C5">
        <w:trPr>
          <w:jc w:val="center"/>
        </w:trPr>
        <w:tc>
          <w:tcPr>
            <w:tcW w:w="425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3E7908">
            <w:pPr>
              <w:jc w:val="center"/>
              <w:rPr>
                <w:rFonts w:eastAsia="Times New Roman"/>
                <w:b/>
                <w:bCs/>
                <w:sz w:val="20"/>
                <w:szCs w:val="20"/>
                <w:lang w:val="fr-FR"/>
              </w:rPr>
            </w:pPr>
            <w:r w:rsidRPr="00B52DD7">
              <w:rPr>
                <w:rFonts w:eastAsia="Times New Roman"/>
                <w:b/>
                <w:bCs/>
                <w:sz w:val="20"/>
                <w:szCs w:val="20"/>
                <w:lang w:val="fr-FR"/>
              </w:rPr>
              <w:t>1</w:t>
            </w:r>
          </w:p>
        </w:tc>
        <w:tc>
          <w:tcPr>
            <w:tcW w:w="2148"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E85558">
            <w:pPr>
              <w:jc w:val="center"/>
              <w:rPr>
                <w:rFonts w:eastAsia="Times New Roman"/>
                <w:b/>
                <w:bCs/>
                <w:sz w:val="20"/>
                <w:szCs w:val="20"/>
                <w:lang w:val="fr-FR"/>
              </w:rPr>
            </w:pPr>
            <w:r w:rsidRPr="00B52DD7">
              <w:rPr>
                <w:rFonts w:eastAsia="Times New Roman"/>
                <w:b/>
                <w:bCs/>
                <w:sz w:val="20"/>
                <w:szCs w:val="20"/>
                <w:lang w:val="fr-FR"/>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9C0423">
            <w:pPr>
              <w:jc w:val="center"/>
              <w:rPr>
                <w:rFonts w:eastAsia="Times New Roman"/>
                <w:sz w:val="20"/>
                <w:szCs w:val="20"/>
                <w:lang w:val="fr-FR"/>
              </w:rPr>
            </w:pPr>
            <w:r w:rsidRPr="00B52DD7">
              <w:rPr>
                <w:rFonts w:eastAsia="Times New Roman"/>
                <w:b/>
                <w:bCs/>
                <w:sz w:val="20"/>
                <w:szCs w:val="20"/>
                <w:lang w:val="fr-FR"/>
              </w:rPr>
              <w:t>3</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9C0423">
            <w:pPr>
              <w:jc w:val="center"/>
              <w:rPr>
                <w:rFonts w:eastAsia="Times New Roman"/>
                <w:sz w:val="20"/>
                <w:szCs w:val="20"/>
                <w:lang w:val="fr-FR"/>
              </w:rPr>
            </w:pPr>
            <w:r w:rsidRPr="00B52DD7">
              <w:rPr>
                <w:rFonts w:eastAsia="Times New Roman"/>
                <w:b/>
                <w:bCs/>
                <w:sz w:val="20"/>
                <w:szCs w:val="20"/>
                <w:lang w:val="fr-FR"/>
              </w:rPr>
              <w:t>4</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9C0423">
            <w:pPr>
              <w:jc w:val="center"/>
              <w:rPr>
                <w:rFonts w:eastAsia="Times New Roman"/>
                <w:sz w:val="20"/>
                <w:szCs w:val="20"/>
                <w:lang w:val="fr-FR"/>
              </w:rPr>
            </w:pPr>
            <w:r w:rsidRPr="00B52DD7">
              <w:rPr>
                <w:rFonts w:eastAsia="Times New Roman"/>
                <w:b/>
                <w:bCs/>
                <w:sz w:val="20"/>
                <w:szCs w:val="20"/>
                <w:lang w:val="fr-FR"/>
              </w:rPr>
              <w:t>5</w:t>
            </w:r>
          </w:p>
        </w:tc>
      </w:tr>
      <w:tr w:rsidR="00474F1E" w:rsidRPr="00B52DD7" w:rsidTr="000F17C5">
        <w:trPr>
          <w:jc w:val="center"/>
        </w:trPr>
        <w:tc>
          <w:tcPr>
            <w:tcW w:w="425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93511B">
            <w:pPr>
              <w:rPr>
                <w:rFonts w:eastAsia="Times New Roman"/>
                <w:sz w:val="20"/>
                <w:szCs w:val="20"/>
                <w:lang w:val="fr-FR"/>
              </w:rPr>
            </w:pPr>
            <w:r w:rsidRPr="00B52DD7">
              <w:rPr>
                <w:rFonts w:eastAsia="Times New Roman"/>
                <w:sz w:val="20"/>
                <w:szCs w:val="20"/>
                <w:lang w:val="fr-FR"/>
              </w:rPr>
              <w:t xml:space="preserve">1. </w:t>
            </w:r>
            <w:r w:rsidR="00E03BE0" w:rsidRPr="00B52DD7">
              <w:rPr>
                <w:rFonts w:eastAsia="Times New Roman"/>
                <w:sz w:val="20"/>
                <w:szCs w:val="20"/>
                <w:lang w:val="ro-RO"/>
              </w:rPr>
              <w:t xml:space="preserve">Buchete de flori </w:t>
            </w:r>
            <w:r w:rsidR="0093511B" w:rsidRPr="00B52DD7">
              <w:rPr>
                <w:rFonts w:eastAsia="Times New Roman"/>
                <w:sz w:val="20"/>
                <w:szCs w:val="20"/>
                <w:lang w:val="ro-RO"/>
              </w:rPr>
              <w:t>pentru înmînare participanților,</w:t>
            </w:r>
            <w:r w:rsidR="00E03BE0" w:rsidRPr="00B52DD7">
              <w:rPr>
                <w:rFonts w:eastAsia="Times New Roman"/>
                <w:sz w:val="20"/>
                <w:szCs w:val="20"/>
                <w:lang w:val="fr-FR"/>
              </w:rPr>
              <w:t xml:space="preserve"> </w:t>
            </w:r>
            <w:r w:rsidR="008A6D5B" w:rsidRPr="00B52DD7">
              <w:rPr>
                <w:rFonts w:eastAsia="Times New Roman"/>
                <w:sz w:val="20"/>
                <w:szCs w:val="20"/>
                <w:lang w:val="ro-RO"/>
              </w:rPr>
              <w:t xml:space="preserve">flori pentru amenajarea sălii în care se vor desfăşura </w:t>
            </w:r>
            <w:r w:rsidRPr="00B52DD7">
              <w:rPr>
                <w:rFonts w:eastAsia="Times New Roman"/>
                <w:sz w:val="20"/>
                <w:szCs w:val="20"/>
                <w:lang w:val="fr-FR"/>
              </w:rPr>
              <w:t>întrunir</w:t>
            </w:r>
            <w:r w:rsidR="008A6D5B" w:rsidRPr="00B52DD7">
              <w:rPr>
                <w:rFonts w:eastAsia="Times New Roman"/>
                <w:sz w:val="20"/>
                <w:szCs w:val="20"/>
                <w:lang w:val="fr-FR"/>
              </w:rPr>
              <w:t>ile</w:t>
            </w:r>
          </w:p>
        </w:tc>
        <w:tc>
          <w:tcPr>
            <w:tcW w:w="2148" w:type="dxa"/>
            <w:tcBorders>
              <w:top w:val="single" w:sz="4" w:space="0" w:color="000000"/>
              <w:left w:val="single" w:sz="4" w:space="0" w:color="000000"/>
              <w:bottom w:val="single" w:sz="4" w:space="0" w:color="000000"/>
              <w:right w:val="single" w:sz="4" w:space="0" w:color="000000"/>
            </w:tcBorders>
            <w:noWrap/>
            <w:tcMar>
              <w:top w:w="15" w:type="dxa"/>
              <w:left w:w="35" w:type="dxa"/>
              <w:bottom w:w="15" w:type="dxa"/>
              <w:right w:w="35" w:type="dxa"/>
            </w:tcMar>
            <w:hideMark/>
          </w:tcPr>
          <w:p w:rsidR="00811CD3" w:rsidRPr="00B52DD7" w:rsidRDefault="00811CD3" w:rsidP="00E85558">
            <w:pPr>
              <w:jc w:val="center"/>
              <w:rPr>
                <w:rFonts w:eastAsia="Times New Roman"/>
                <w:sz w:val="20"/>
                <w:szCs w:val="20"/>
                <w:lang w:val="fr-FR"/>
              </w:rPr>
            </w:pPr>
          </w:p>
          <w:p w:rsidR="000F17C5" w:rsidRPr="00B52DD7" w:rsidRDefault="00E85558" w:rsidP="00E85558">
            <w:pPr>
              <w:jc w:val="center"/>
              <w:rPr>
                <w:rFonts w:eastAsia="Times New Roman"/>
                <w:sz w:val="20"/>
                <w:szCs w:val="20"/>
                <w:lang w:val="fr-FR"/>
              </w:rPr>
            </w:pPr>
            <w:r w:rsidRPr="00B52DD7">
              <w:rPr>
                <w:rFonts w:eastAsia="Times New Roman"/>
                <w:sz w:val="20"/>
                <w:szCs w:val="20"/>
                <w:lang w:val="fr-FR"/>
              </w:rPr>
              <w:t>p</w:t>
            </w:r>
            <w:r w:rsidR="000F17C5" w:rsidRPr="00B52DD7">
              <w:rPr>
                <w:rFonts w:eastAsia="Times New Roman"/>
                <w:sz w:val="20"/>
                <w:szCs w:val="20"/>
                <w:lang w:val="fr-FR"/>
              </w:rPr>
              <w:t>entru o zi de întrunire</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907B39" w:rsidRPr="00B52DD7" w:rsidRDefault="00907B39" w:rsidP="009C0423">
            <w:pPr>
              <w:jc w:val="center"/>
              <w:rPr>
                <w:rFonts w:eastAsia="Times New Roman"/>
                <w:sz w:val="20"/>
                <w:szCs w:val="20"/>
                <w:lang w:val="ro-RO"/>
              </w:rPr>
            </w:pPr>
          </w:p>
          <w:p w:rsidR="000F17C5" w:rsidRPr="00B52DD7" w:rsidRDefault="00FF627F" w:rsidP="009C0423">
            <w:pPr>
              <w:jc w:val="center"/>
              <w:rPr>
                <w:rFonts w:eastAsia="Times New Roman"/>
                <w:sz w:val="20"/>
                <w:szCs w:val="20"/>
              </w:rPr>
            </w:pPr>
            <w:r w:rsidRPr="00B52DD7">
              <w:rPr>
                <w:rFonts w:eastAsia="Times New Roman"/>
                <w:sz w:val="20"/>
                <w:szCs w:val="20"/>
                <w:lang w:val="ro-RO"/>
              </w:rPr>
              <w:t>6</w:t>
            </w:r>
            <w:r w:rsidR="000F17C5" w:rsidRPr="00B52DD7">
              <w:rPr>
                <w:rFonts w:eastAsia="Times New Roman"/>
                <w:sz w:val="20"/>
                <w:szCs w:val="20"/>
              </w:rPr>
              <w:t>00</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907B39" w:rsidRPr="00B52DD7" w:rsidRDefault="00907B39" w:rsidP="009C0423">
            <w:pPr>
              <w:jc w:val="center"/>
              <w:rPr>
                <w:rFonts w:eastAsia="Times New Roman"/>
                <w:sz w:val="20"/>
                <w:szCs w:val="20"/>
                <w:lang w:val="ro-RO"/>
              </w:rPr>
            </w:pPr>
          </w:p>
          <w:p w:rsidR="000F17C5" w:rsidRPr="00B52DD7" w:rsidRDefault="00FF627F" w:rsidP="009C0423">
            <w:pPr>
              <w:jc w:val="center"/>
              <w:rPr>
                <w:rFonts w:eastAsia="Times New Roman"/>
                <w:sz w:val="20"/>
                <w:szCs w:val="20"/>
              </w:rPr>
            </w:pPr>
            <w:r w:rsidRPr="00B52DD7">
              <w:rPr>
                <w:rFonts w:eastAsia="Times New Roman"/>
                <w:sz w:val="20"/>
                <w:szCs w:val="20"/>
                <w:lang w:val="ro-RO"/>
              </w:rPr>
              <w:t>350</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907B39" w:rsidRPr="00B52DD7" w:rsidRDefault="00907B39" w:rsidP="009C0423">
            <w:pPr>
              <w:jc w:val="center"/>
              <w:rPr>
                <w:rFonts w:eastAsia="Times New Roman"/>
                <w:sz w:val="20"/>
                <w:szCs w:val="20"/>
                <w:lang w:val="ro-RO"/>
              </w:rPr>
            </w:pPr>
          </w:p>
          <w:p w:rsidR="000F17C5" w:rsidRPr="00B52DD7" w:rsidRDefault="00FF627F" w:rsidP="009C0423">
            <w:pPr>
              <w:jc w:val="center"/>
              <w:rPr>
                <w:rFonts w:eastAsia="Times New Roman"/>
                <w:sz w:val="20"/>
                <w:szCs w:val="20"/>
                <w:lang w:val="ro-RO"/>
              </w:rPr>
            </w:pPr>
            <w:r w:rsidRPr="00B52DD7">
              <w:rPr>
                <w:rFonts w:eastAsia="Times New Roman"/>
                <w:sz w:val="20"/>
                <w:szCs w:val="20"/>
                <w:lang w:val="ro-RO"/>
              </w:rPr>
              <w:t>200</w:t>
            </w:r>
          </w:p>
        </w:tc>
      </w:tr>
      <w:tr w:rsidR="00474F1E" w:rsidRPr="00B52DD7" w:rsidTr="00E85558">
        <w:trPr>
          <w:trHeight w:val="609"/>
          <w:jc w:val="center"/>
        </w:trPr>
        <w:tc>
          <w:tcPr>
            <w:tcW w:w="425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193C83" w:rsidRPr="00B52DD7" w:rsidRDefault="000F17C5" w:rsidP="003E7908">
            <w:pPr>
              <w:rPr>
                <w:rFonts w:eastAsia="Times New Roman"/>
                <w:sz w:val="20"/>
                <w:szCs w:val="20"/>
                <w:lang w:val="ro-RO"/>
              </w:rPr>
            </w:pPr>
            <w:r w:rsidRPr="00372857">
              <w:rPr>
                <w:rFonts w:eastAsia="Times New Roman"/>
                <w:sz w:val="20"/>
                <w:szCs w:val="20"/>
                <w:lang w:val="en-US"/>
              </w:rPr>
              <w:t xml:space="preserve">2. </w:t>
            </w:r>
            <w:r w:rsidRPr="00B52DD7">
              <w:rPr>
                <w:rFonts w:eastAsia="Times New Roman"/>
                <w:sz w:val="20"/>
                <w:szCs w:val="20"/>
                <w:lang w:val="en-US"/>
              </w:rPr>
              <w:t>Cheltuieli</w:t>
            </w:r>
            <w:r w:rsidRPr="00372857">
              <w:rPr>
                <w:rFonts w:eastAsia="Times New Roman"/>
                <w:sz w:val="20"/>
                <w:szCs w:val="20"/>
                <w:lang w:val="en-US"/>
              </w:rPr>
              <w:t xml:space="preserve"> </w:t>
            </w:r>
            <w:r w:rsidRPr="00B52DD7">
              <w:rPr>
                <w:rFonts w:eastAsia="Times New Roman"/>
                <w:sz w:val="20"/>
                <w:szCs w:val="20"/>
                <w:lang w:val="en-US"/>
              </w:rPr>
              <w:t>pentru</w:t>
            </w:r>
            <w:r w:rsidRPr="00372857">
              <w:rPr>
                <w:rFonts w:eastAsia="Times New Roman"/>
                <w:sz w:val="20"/>
                <w:szCs w:val="20"/>
                <w:lang w:val="en-US"/>
              </w:rPr>
              <w:t xml:space="preserve"> </w:t>
            </w:r>
            <w:r w:rsidRPr="00B52DD7">
              <w:rPr>
                <w:rFonts w:eastAsia="Times New Roman"/>
                <w:sz w:val="20"/>
                <w:szCs w:val="20"/>
                <w:lang w:val="en-US"/>
              </w:rPr>
              <w:t>b</w:t>
            </w:r>
            <w:r w:rsidRPr="00372857">
              <w:rPr>
                <w:rFonts w:eastAsia="Times New Roman"/>
                <w:sz w:val="20"/>
                <w:szCs w:val="20"/>
                <w:lang w:val="en-US"/>
              </w:rPr>
              <w:t>ă</w:t>
            </w:r>
            <w:r w:rsidRPr="00B52DD7">
              <w:rPr>
                <w:rFonts w:eastAsia="Times New Roman"/>
                <w:sz w:val="20"/>
                <w:szCs w:val="20"/>
                <w:lang w:val="en-US"/>
              </w:rPr>
              <w:t>uturi</w:t>
            </w:r>
            <w:r w:rsidRPr="00372857">
              <w:rPr>
                <w:rFonts w:eastAsia="Times New Roman"/>
                <w:sz w:val="20"/>
                <w:szCs w:val="20"/>
                <w:lang w:val="en-US"/>
              </w:rPr>
              <w:t xml:space="preserve">, </w:t>
            </w:r>
            <w:r w:rsidRPr="00B52DD7">
              <w:rPr>
                <w:rFonts w:eastAsia="Times New Roman"/>
                <w:sz w:val="20"/>
                <w:szCs w:val="20"/>
                <w:lang w:val="en-US"/>
              </w:rPr>
              <w:t>cafea</w:t>
            </w:r>
            <w:r w:rsidRPr="00372857">
              <w:rPr>
                <w:rFonts w:eastAsia="Times New Roman"/>
                <w:sz w:val="20"/>
                <w:szCs w:val="20"/>
                <w:lang w:val="en-US"/>
              </w:rPr>
              <w:t xml:space="preserve">, </w:t>
            </w:r>
            <w:r w:rsidRPr="00B52DD7">
              <w:rPr>
                <w:rFonts w:eastAsia="Times New Roman"/>
                <w:sz w:val="20"/>
                <w:szCs w:val="20"/>
                <w:lang w:val="en-US"/>
              </w:rPr>
              <w:t>ap</w:t>
            </w:r>
            <w:r w:rsidRPr="00372857">
              <w:rPr>
                <w:rFonts w:eastAsia="Times New Roman"/>
                <w:sz w:val="20"/>
                <w:szCs w:val="20"/>
                <w:lang w:val="en-US"/>
              </w:rPr>
              <w:t xml:space="preserve">ă </w:t>
            </w:r>
            <w:r w:rsidRPr="00B52DD7">
              <w:rPr>
                <w:rFonts w:eastAsia="Times New Roman"/>
                <w:sz w:val="20"/>
                <w:szCs w:val="20"/>
                <w:lang w:val="en-US"/>
              </w:rPr>
              <w:t>mineral</w:t>
            </w:r>
            <w:r w:rsidRPr="00372857">
              <w:rPr>
                <w:rFonts w:eastAsia="Times New Roman"/>
                <w:sz w:val="20"/>
                <w:szCs w:val="20"/>
                <w:lang w:val="en-US"/>
              </w:rPr>
              <w:t xml:space="preserve">ă, </w:t>
            </w:r>
            <w:r w:rsidRPr="00B52DD7">
              <w:rPr>
                <w:rFonts w:eastAsia="Times New Roman"/>
                <w:sz w:val="20"/>
                <w:szCs w:val="20"/>
                <w:lang w:val="en-US"/>
              </w:rPr>
              <w:t>gust</w:t>
            </w:r>
            <w:r w:rsidRPr="00372857">
              <w:rPr>
                <w:rFonts w:eastAsia="Times New Roman"/>
                <w:sz w:val="20"/>
                <w:szCs w:val="20"/>
                <w:lang w:val="en-US"/>
              </w:rPr>
              <w:t>ă</w:t>
            </w:r>
            <w:r w:rsidRPr="00B52DD7">
              <w:rPr>
                <w:rFonts w:eastAsia="Times New Roman"/>
                <w:sz w:val="20"/>
                <w:szCs w:val="20"/>
                <w:lang w:val="en-US"/>
              </w:rPr>
              <w:t>ri</w:t>
            </w:r>
            <w:r w:rsidRPr="00372857">
              <w:rPr>
                <w:rFonts w:eastAsia="Times New Roman"/>
                <w:sz w:val="20"/>
                <w:szCs w:val="20"/>
                <w:lang w:val="en-US"/>
              </w:rPr>
              <w:t xml:space="preserve"> î</w:t>
            </w:r>
            <w:r w:rsidRPr="00B52DD7">
              <w:rPr>
                <w:rFonts w:eastAsia="Times New Roman"/>
                <w:sz w:val="20"/>
                <w:szCs w:val="20"/>
                <w:lang w:val="en-US"/>
              </w:rPr>
              <w:t>n</w:t>
            </w:r>
            <w:r w:rsidRPr="00372857">
              <w:rPr>
                <w:rFonts w:eastAsia="Times New Roman"/>
                <w:sz w:val="20"/>
                <w:szCs w:val="20"/>
                <w:lang w:val="en-US"/>
              </w:rPr>
              <w:t xml:space="preserve"> </w:t>
            </w:r>
            <w:r w:rsidRPr="00B52DD7">
              <w:rPr>
                <w:rFonts w:eastAsia="Times New Roman"/>
                <w:sz w:val="20"/>
                <w:szCs w:val="20"/>
                <w:lang w:val="en-US"/>
              </w:rPr>
              <w:t>timpul</w:t>
            </w:r>
            <w:r w:rsidRPr="00372857">
              <w:rPr>
                <w:rFonts w:eastAsia="Times New Roman"/>
                <w:sz w:val="20"/>
                <w:szCs w:val="20"/>
                <w:lang w:val="en-US"/>
              </w:rPr>
              <w:t xml:space="preserve"> </w:t>
            </w:r>
            <w:r w:rsidRPr="00B52DD7">
              <w:rPr>
                <w:rFonts w:eastAsia="Times New Roman"/>
                <w:sz w:val="20"/>
                <w:szCs w:val="20"/>
                <w:lang w:val="en-US"/>
              </w:rPr>
              <w:t>pauze</w:t>
            </w:r>
            <w:r w:rsidR="00193C83" w:rsidRPr="00B52DD7">
              <w:rPr>
                <w:rFonts w:eastAsia="Times New Roman"/>
                <w:sz w:val="20"/>
                <w:szCs w:val="20"/>
                <w:lang w:val="ro-RO"/>
              </w:rPr>
              <w:t xml:space="preserve">lor </w:t>
            </w:r>
          </w:p>
        </w:tc>
        <w:tc>
          <w:tcPr>
            <w:tcW w:w="2148"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FF627F" w:rsidRPr="00B52DD7" w:rsidRDefault="00E85558" w:rsidP="00E85558">
            <w:pPr>
              <w:jc w:val="center"/>
              <w:rPr>
                <w:rFonts w:eastAsia="Times New Roman"/>
                <w:sz w:val="20"/>
                <w:szCs w:val="20"/>
                <w:lang w:val="fr-FR"/>
              </w:rPr>
            </w:pPr>
            <w:r w:rsidRPr="00B52DD7">
              <w:rPr>
                <w:rFonts w:eastAsia="Times New Roman"/>
                <w:sz w:val="20"/>
                <w:szCs w:val="20"/>
                <w:lang w:val="fr-FR"/>
              </w:rPr>
              <w:t>p</w:t>
            </w:r>
            <w:r w:rsidR="000F17C5" w:rsidRPr="00B52DD7">
              <w:rPr>
                <w:rFonts w:eastAsia="Times New Roman"/>
                <w:sz w:val="20"/>
                <w:szCs w:val="20"/>
                <w:lang w:val="fr-FR"/>
              </w:rPr>
              <w:t>entru un participant</w:t>
            </w:r>
            <w:r w:rsidR="00FF627F" w:rsidRPr="00B52DD7">
              <w:rPr>
                <w:rFonts w:eastAsia="Times New Roman"/>
                <w:sz w:val="20"/>
                <w:szCs w:val="20"/>
                <w:lang w:val="fr-FR"/>
              </w:rPr>
              <w:t>,</w:t>
            </w:r>
          </w:p>
          <w:p w:rsidR="000F17C5" w:rsidRPr="00B52DD7" w:rsidRDefault="000F17C5" w:rsidP="00E85558">
            <w:pPr>
              <w:jc w:val="center"/>
              <w:rPr>
                <w:rFonts w:eastAsia="Times New Roman"/>
                <w:sz w:val="20"/>
                <w:szCs w:val="20"/>
                <w:lang w:val="fr-FR"/>
              </w:rPr>
            </w:pPr>
            <w:r w:rsidRPr="00B52DD7">
              <w:rPr>
                <w:rFonts w:eastAsia="Times New Roman"/>
                <w:sz w:val="20"/>
                <w:szCs w:val="20"/>
                <w:lang w:val="fr-FR"/>
              </w:rPr>
              <w:t>pe zi</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FF627F" w:rsidP="009C0423">
            <w:pPr>
              <w:jc w:val="center"/>
              <w:rPr>
                <w:rFonts w:eastAsia="Times New Roman"/>
                <w:sz w:val="20"/>
                <w:szCs w:val="20"/>
              </w:rPr>
            </w:pPr>
            <w:r w:rsidRPr="00B52DD7">
              <w:rPr>
                <w:rFonts w:eastAsia="Times New Roman"/>
                <w:sz w:val="20"/>
                <w:szCs w:val="20"/>
                <w:lang w:val="ro-RO"/>
              </w:rPr>
              <w:t>4</w:t>
            </w:r>
            <w:r w:rsidR="000F17C5" w:rsidRPr="00B52DD7">
              <w:rPr>
                <w:rFonts w:eastAsia="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FF627F" w:rsidP="009C0423">
            <w:pPr>
              <w:jc w:val="center"/>
              <w:rPr>
                <w:rFonts w:eastAsia="Times New Roman"/>
                <w:sz w:val="20"/>
                <w:szCs w:val="20"/>
                <w:lang w:val="ro-RO"/>
              </w:rPr>
            </w:pPr>
            <w:r w:rsidRPr="00B52DD7">
              <w:rPr>
                <w:rFonts w:eastAsia="Times New Roman"/>
                <w:sz w:val="20"/>
                <w:szCs w:val="20"/>
                <w:lang w:val="ro-RO"/>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FF627F" w:rsidP="009C0423">
            <w:pPr>
              <w:jc w:val="center"/>
              <w:rPr>
                <w:rFonts w:eastAsia="Times New Roman"/>
                <w:sz w:val="20"/>
                <w:szCs w:val="20"/>
                <w:lang w:val="ro-RO"/>
              </w:rPr>
            </w:pPr>
            <w:r w:rsidRPr="00B52DD7">
              <w:rPr>
                <w:rFonts w:eastAsia="Times New Roman"/>
                <w:sz w:val="20"/>
                <w:szCs w:val="20"/>
                <w:lang w:val="ro-RO"/>
              </w:rPr>
              <w:t>20</w:t>
            </w:r>
          </w:p>
        </w:tc>
      </w:tr>
      <w:tr w:rsidR="00474F1E" w:rsidRPr="00B52DD7" w:rsidTr="00D54501">
        <w:trPr>
          <w:trHeight w:val="288"/>
          <w:jc w:val="center"/>
        </w:trPr>
        <w:tc>
          <w:tcPr>
            <w:tcW w:w="425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3E7908">
            <w:pPr>
              <w:rPr>
                <w:rFonts w:eastAsia="Times New Roman"/>
                <w:sz w:val="20"/>
                <w:szCs w:val="20"/>
              </w:rPr>
            </w:pPr>
            <w:r w:rsidRPr="00B52DD7">
              <w:rPr>
                <w:rFonts w:eastAsia="Times New Roman"/>
                <w:sz w:val="20"/>
                <w:szCs w:val="20"/>
              </w:rPr>
              <w:t xml:space="preserve">3. </w:t>
            </w:r>
            <w:r w:rsidR="001772A5" w:rsidRPr="00B52DD7">
              <w:rPr>
                <w:rFonts w:eastAsia="Times New Roman"/>
                <w:sz w:val="20"/>
                <w:szCs w:val="20"/>
                <w:lang w:val="ro-RO"/>
              </w:rPr>
              <w:t>Articole de cancelarie</w:t>
            </w:r>
          </w:p>
        </w:tc>
        <w:tc>
          <w:tcPr>
            <w:tcW w:w="2148"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E85558" w:rsidP="00E85558">
            <w:pPr>
              <w:jc w:val="center"/>
              <w:rPr>
                <w:rFonts w:eastAsia="Times New Roman"/>
                <w:sz w:val="20"/>
                <w:szCs w:val="20"/>
              </w:rPr>
            </w:pPr>
            <w:r w:rsidRPr="00B52DD7">
              <w:rPr>
                <w:rFonts w:eastAsia="Times New Roman"/>
                <w:sz w:val="20"/>
                <w:szCs w:val="20"/>
                <w:lang w:val="ro-RO"/>
              </w:rPr>
              <w:t>p</w:t>
            </w:r>
            <w:r w:rsidR="000F17C5" w:rsidRPr="00B52DD7">
              <w:rPr>
                <w:rFonts w:eastAsia="Times New Roman"/>
                <w:sz w:val="20"/>
                <w:szCs w:val="20"/>
              </w:rPr>
              <w:t>entru un participant</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9C0423" w:rsidP="009C0423">
            <w:pPr>
              <w:jc w:val="center"/>
              <w:rPr>
                <w:rFonts w:eastAsia="Times New Roman"/>
                <w:sz w:val="20"/>
                <w:szCs w:val="20"/>
              </w:rPr>
            </w:pPr>
            <w:r w:rsidRPr="00B52DD7">
              <w:rPr>
                <w:rFonts w:eastAsia="Times New Roman"/>
                <w:sz w:val="20"/>
                <w:szCs w:val="20"/>
                <w:lang w:val="ro-RO"/>
              </w:rPr>
              <w:t>110</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9C0423" w:rsidP="009C0423">
            <w:pPr>
              <w:jc w:val="center"/>
              <w:rPr>
                <w:rFonts w:eastAsia="Times New Roman"/>
                <w:sz w:val="20"/>
                <w:szCs w:val="20"/>
              </w:rPr>
            </w:pPr>
            <w:r w:rsidRPr="00B52DD7">
              <w:rPr>
                <w:rFonts w:eastAsia="Times New Roman"/>
                <w:sz w:val="20"/>
                <w:szCs w:val="20"/>
                <w:lang w:val="ro-RO"/>
              </w:rPr>
              <w:t>8</w:t>
            </w:r>
            <w:r w:rsidR="000F17C5" w:rsidRPr="00B52DD7">
              <w:rPr>
                <w:rFonts w:eastAsia="Times New Roman"/>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9C0423" w:rsidP="009C0423">
            <w:pPr>
              <w:jc w:val="center"/>
              <w:rPr>
                <w:rFonts w:eastAsia="Times New Roman"/>
                <w:sz w:val="20"/>
                <w:szCs w:val="20"/>
                <w:lang w:val="ro-RO"/>
              </w:rPr>
            </w:pPr>
            <w:r w:rsidRPr="00B52DD7">
              <w:rPr>
                <w:rFonts w:eastAsia="Times New Roman"/>
                <w:sz w:val="20"/>
                <w:szCs w:val="20"/>
                <w:lang w:val="ro-RO"/>
              </w:rPr>
              <w:t>60</w:t>
            </w:r>
          </w:p>
        </w:tc>
      </w:tr>
      <w:tr w:rsidR="00474F1E" w:rsidRPr="00372857" w:rsidTr="000F17C5">
        <w:trPr>
          <w:jc w:val="center"/>
        </w:trPr>
        <w:tc>
          <w:tcPr>
            <w:tcW w:w="425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3E7908">
            <w:pPr>
              <w:rPr>
                <w:rFonts w:eastAsia="Times New Roman"/>
                <w:sz w:val="20"/>
                <w:szCs w:val="20"/>
                <w:lang w:val="fr-FR"/>
              </w:rPr>
            </w:pPr>
            <w:r w:rsidRPr="00B52DD7">
              <w:rPr>
                <w:rFonts w:eastAsia="Times New Roman"/>
                <w:sz w:val="20"/>
                <w:szCs w:val="20"/>
                <w:lang w:val="fr-FR"/>
              </w:rPr>
              <w:t>4. Servicii editoriale şi de multiplicare, inclusiv:</w:t>
            </w:r>
          </w:p>
        </w:tc>
        <w:tc>
          <w:tcPr>
            <w:tcW w:w="4838" w:type="dxa"/>
            <w:gridSpan w:val="4"/>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9C0423">
            <w:pPr>
              <w:jc w:val="center"/>
              <w:rPr>
                <w:rFonts w:eastAsia="Times New Roman"/>
                <w:sz w:val="20"/>
                <w:szCs w:val="20"/>
                <w:lang w:val="fr-FR"/>
              </w:rPr>
            </w:pPr>
          </w:p>
        </w:tc>
      </w:tr>
      <w:tr w:rsidR="00474F1E" w:rsidRPr="00B52DD7" w:rsidTr="000F17C5">
        <w:trPr>
          <w:jc w:val="center"/>
        </w:trPr>
        <w:tc>
          <w:tcPr>
            <w:tcW w:w="425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904487" w:rsidP="007F62AD">
            <w:pPr>
              <w:pStyle w:val="NormalWeb"/>
              <w:rPr>
                <w:i/>
                <w:sz w:val="20"/>
                <w:szCs w:val="20"/>
                <w:lang w:val="fr-FR"/>
              </w:rPr>
            </w:pPr>
            <w:r w:rsidRPr="00B52DD7">
              <w:rPr>
                <w:i/>
                <w:sz w:val="20"/>
                <w:szCs w:val="20"/>
                <w:lang w:val="fr-FR"/>
              </w:rPr>
              <w:t>4.1</w:t>
            </w:r>
            <w:r w:rsidR="009C0423" w:rsidRPr="00B52DD7">
              <w:rPr>
                <w:i/>
                <w:sz w:val="20"/>
                <w:szCs w:val="20"/>
                <w:lang w:val="fr-FR"/>
              </w:rPr>
              <w:t xml:space="preserve"> </w:t>
            </w:r>
            <w:r w:rsidR="000F17C5" w:rsidRPr="00B52DD7">
              <w:rPr>
                <w:i/>
                <w:sz w:val="20"/>
                <w:szCs w:val="20"/>
                <w:lang w:val="fr-FR"/>
              </w:rPr>
              <w:t>costul editării unei pagini pentru broşură (cel mult 50 pagini de formatul A4 pentru un participant)</w:t>
            </w:r>
          </w:p>
        </w:tc>
        <w:tc>
          <w:tcPr>
            <w:tcW w:w="2148"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E85558" w:rsidP="00E85558">
            <w:pPr>
              <w:jc w:val="center"/>
              <w:rPr>
                <w:rFonts w:eastAsia="Times New Roman"/>
                <w:sz w:val="20"/>
                <w:szCs w:val="20"/>
                <w:lang w:val="fr-FR"/>
              </w:rPr>
            </w:pPr>
            <w:r w:rsidRPr="00B52DD7">
              <w:rPr>
                <w:rFonts w:eastAsia="Times New Roman"/>
                <w:sz w:val="20"/>
                <w:szCs w:val="20"/>
                <w:lang w:val="ro-RO"/>
              </w:rPr>
              <w:t>p</w:t>
            </w:r>
            <w:r w:rsidR="000F17C5" w:rsidRPr="00B52DD7">
              <w:rPr>
                <w:rFonts w:eastAsia="Times New Roman"/>
                <w:sz w:val="20"/>
                <w:szCs w:val="20"/>
                <w:lang w:val="fr-FR"/>
              </w:rPr>
              <w:t>entru un participant</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904487" w:rsidP="009C0423">
            <w:pPr>
              <w:jc w:val="center"/>
              <w:rPr>
                <w:rFonts w:eastAsia="Times New Roman"/>
                <w:sz w:val="20"/>
                <w:szCs w:val="20"/>
                <w:lang w:val="fr-FR"/>
              </w:rPr>
            </w:pPr>
            <w:r w:rsidRPr="00B52DD7">
              <w:rPr>
                <w:rFonts w:eastAsia="Times New Roman"/>
                <w:sz w:val="20"/>
                <w:szCs w:val="20"/>
                <w:lang w:val="fr-FR"/>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904487" w:rsidP="009C0423">
            <w:pPr>
              <w:jc w:val="center"/>
              <w:rPr>
                <w:rFonts w:eastAsia="Times New Roman"/>
                <w:sz w:val="20"/>
                <w:szCs w:val="20"/>
                <w:lang w:val="fr-FR"/>
              </w:rPr>
            </w:pPr>
            <w:r w:rsidRPr="00B52DD7">
              <w:rPr>
                <w:rFonts w:eastAsia="Times New Roman"/>
                <w:sz w:val="20"/>
                <w:szCs w:val="20"/>
                <w:lang w:val="fr-FR"/>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904487" w:rsidP="009C0423">
            <w:pPr>
              <w:jc w:val="center"/>
              <w:rPr>
                <w:rFonts w:eastAsia="Times New Roman"/>
                <w:sz w:val="20"/>
                <w:szCs w:val="20"/>
                <w:lang w:val="fr-FR"/>
              </w:rPr>
            </w:pPr>
            <w:r w:rsidRPr="00B52DD7">
              <w:rPr>
                <w:rFonts w:eastAsia="Times New Roman"/>
                <w:sz w:val="20"/>
                <w:szCs w:val="20"/>
                <w:lang w:val="fr-FR"/>
              </w:rPr>
              <w:t>1</w:t>
            </w:r>
          </w:p>
        </w:tc>
      </w:tr>
      <w:tr w:rsidR="00474F1E" w:rsidRPr="00B52DD7" w:rsidTr="00D54501">
        <w:trPr>
          <w:trHeight w:val="280"/>
          <w:jc w:val="center"/>
        </w:trPr>
        <w:tc>
          <w:tcPr>
            <w:tcW w:w="425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9C0423" w:rsidP="00904487">
            <w:pPr>
              <w:pStyle w:val="NormalWeb"/>
              <w:rPr>
                <w:i/>
                <w:sz w:val="20"/>
                <w:szCs w:val="20"/>
                <w:lang w:val="fr-FR"/>
              </w:rPr>
            </w:pPr>
            <w:r w:rsidRPr="00B52DD7">
              <w:rPr>
                <w:i/>
                <w:sz w:val="20"/>
                <w:szCs w:val="20"/>
                <w:lang w:val="ro-RO"/>
              </w:rPr>
              <w:t>4.</w:t>
            </w:r>
            <w:r w:rsidR="00904487" w:rsidRPr="00B52DD7">
              <w:rPr>
                <w:i/>
                <w:sz w:val="20"/>
                <w:szCs w:val="20"/>
                <w:lang w:val="ro-RO"/>
              </w:rPr>
              <w:t>2</w:t>
            </w:r>
            <w:r w:rsidRPr="00B52DD7">
              <w:rPr>
                <w:i/>
                <w:sz w:val="20"/>
                <w:szCs w:val="20"/>
                <w:lang w:val="ro-RO"/>
              </w:rPr>
              <w:t xml:space="preserve"> </w:t>
            </w:r>
            <w:r w:rsidR="000F17C5" w:rsidRPr="00B52DD7">
              <w:rPr>
                <w:i/>
                <w:sz w:val="20"/>
                <w:szCs w:val="20"/>
                <w:lang w:val="fr-FR"/>
              </w:rPr>
              <w:t>editarea (achiziţionarea) diplomelor</w:t>
            </w:r>
          </w:p>
        </w:tc>
        <w:tc>
          <w:tcPr>
            <w:tcW w:w="2148"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E85558" w:rsidP="00E85558">
            <w:pPr>
              <w:jc w:val="center"/>
              <w:rPr>
                <w:rFonts w:eastAsia="Times New Roman"/>
                <w:sz w:val="20"/>
                <w:szCs w:val="20"/>
                <w:lang w:val="fr-FR"/>
              </w:rPr>
            </w:pPr>
            <w:r w:rsidRPr="00B52DD7">
              <w:rPr>
                <w:rFonts w:eastAsia="Times New Roman"/>
                <w:sz w:val="20"/>
                <w:szCs w:val="20"/>
                <w:lang w:val="ro-RO"/>
              </w:rPr>
              <w:t>p</w:t>
            </w:r>
            <w:r w:rsidR="000F17C5" w:rsidRPr="00B52DD7">
              <w:rPr>
                <w:rFonts w:eastAsia="Times New Roman"/>
                <w:sz w:val="20"/>
                <w:szCs w:val="20"/>
                <w:lang w:val="fr-FR"/>
              </w:rPr>
              <w:t>entru o diplomă</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9C0423">
            <w:pPr>
              <w:jc w:val="center"/>
              <w:rPr>
                <w:rFonts w:eastAsia="Times New Roman"/>
                <w:sz w:val="20"/>
                <w:szCs w:val="20"/>
                <w:lang w:val="fr-FR"/>
              </w:rPr>
            </w:pPr>
            <w:r w:rsidRPr="00B52DD7">
              <w:rPr>
                <w:rFonts w:eastAsia="Times New Roman"/>
                <w:sz w:val="20"/>
                <w:szCs w:val="20"/>
                <w:lang w:val="fr-FR"/>
              </w:rPr>
              <w:t>35</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9C0423">
            <w:pPr>
              <w:jc w:val="center"/>
              <w:rPr>
                <w:rFonts w:eastAsia="Times New Roman"/>
                <w:sz w:val="20"/>
                <w:szCs w:val="20"/>
                <w:lang w:val="fr-FR"/>
              </w:rPr>
            </w:pPr>
            <w:r w:rsidRPr="00B52DD7">
              <w:rPr>
                <w:rFonts w:eastAsia="Times New Roman"/>
                <w:sz w:val="20"/>
                <w:szCs w:val="20"/>
                <w:lang w:val="fr-FR"/>
              </w:rPr>
              <w:t>25</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9C0423">
            <w:pPr>
              <w:jc w:val="center"/>
              <w:rPr>
                <w:rFonts w:eastAsia="Times New Roman"/>
                <w:sz w:val="20"/>
                <w:szCs w:val="20"/>
                <w:lang w:val="fr-FR"/>
              </w:rPr>
            </w:pPr>
            <w:r w:rsidRPr="00B52DD7">
              <w:rPr>
                <w:rFonts w:eastAsia="Times New Roman"/>
                <w:sz w:val="20"/>
                <w:szCs w:val="20"/>
                <w:lang w:val="fr-FR"/>
              </w:rPr>
              <w:t>20</w:t>
            </w:r>
          </w:p>
        </w:tc>
      </w:tr>
      <w:tr w:rsidR="00474F1E" w:rsidRPr="00B52DD7" w:rsidTr="000F17C5">
        <w:trPr>
          <w:jc w:val="center"/>
        </w:trPr>
        <w:tc>
          <w:tcPr>
            <w:tcW w:w="425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3E7908">
            <w:pPr>
              <w:rPr>
                <w:rFonts w:eastAsia="Times New Roman"/>
                <w:sz w:val="20"/>
                <w:szCs w:val="20"/>
              </w:rPr>
            </w:pPr>
            <w:r w:rsidRPr="00B52DD7">
              <w:rPr>
                <w:rFonts w:eastAsia="Times New Roman"/>
                <w:sz w:val="20"/>
                <w:szCs w:val="20"/>
                <w:lang w:val="fr-FR"/>
              </w:rPr>
              <w:t>5. Editarea/confecţio</w:t>
            </w:r>
            <w:r w:rsidRPr="00B52DD7">
              <w:rPr>
                <w:rFonts w:eastAsia="Times New Roman"/>
                <w:sz w:val="20"/>
                <w:szCs w:val="20"/>
              </w:rPr>
              <w:t>narea afişelor:</w:t>
            </w:r>
          </w:p>
        </w:tc>
        <w:tc>
          <w:tcPr>
            <w:tcW w:w="2148" w:type="dxa"/>
            <w:vMerge w:val="restart"/>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840A43" w:rsidRPr="00B52DD7" w:rsidRDefault="00840A43" w:rsidP="00E85558">
            <w:pPr>
              <w:jc w:val="center"/>
              <w:rPr>
                <w:rFonts w:eastAsia="Times New Roman"/>
                <w:sz w:val="20"/>
                <w:szCs w:val="20"/>
                <w:lang w:val="ro-RO"/>
              </w:rPr>
            </w:pPr>
          </w:p>
          <w:p w:rsidR="000F17C5" w:rsidRPr="00B52DD7" w:rsidRDefault="00E85558" w:rsidP="00E85558">
            <w:pPr>
              <w:jc w:val="center"/>
              <w:rPr>
                <w:rFonts w:eastAsia="Times New Roman"/>
                <w:sz w:val="20"/>
                <w:szCs w:val="20"/>
              </w:rPr>
            </w:pPr>
            <w:r w:rsidRPr="00B52DD7">
              <w:rPr>
                <w:rFonts w:eastAsia="Times New Roman"/>
                <w:sz w:val="20"/>
                <w:szCs w:val="20"/>
                <w:lang w:val="ro-RO"/>
              </w:rPr>
              <w:t>p</w:t>
            </w:r>
            <w:r w:rsidR="000F17C5" w:rsidRPr="00B52DD7">
              <w:rPr>
                <w:rFonts w:eastAsia="Times New Roman"/>
                <w:sz w:val="20"/>
                <w:szCs w:val="20"/>
              </w:rPr>
              <w:t>entru un afiş</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9C0423">
            <w:pPr>
              <w:jc w:val="center"/>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9C0423">
            <w:pPr>
              <w:jc w:val="center"/>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9C0423">
            <w:pPr>
              <w:jc w:val="center"/>
              <w:rPr>
                <w:rFonts w:eastAsia="Times New Roman"/>
                <w:sz w:val="20"/>
                <w:szCs w:val="20"/>
              </w:rPr>
            </w:pPr>
          </w:p>
        </w:tc>
      </w:tr>
      <w:tr w:rsidR="00474F1E" w:rsidRPr="00B52DD7" w:rsidTr="000F17C5">
        <w:trPr>
          <w:jc w:val="center"/>
        </w:trPr>
        <w:tc>
          <w:tcPr>
            <w:tcW w:w="425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9A1363" w:rsidP="003E7908">
            <w:pPr>
              <w:pStyle w:val="NormalWeb"/>
              <w:rPr>
                <w:i/>
                <w:sz w:val="20"/>
                <w:szCs w:val="20"/>
              </w:rPr>
            </w:pPr>
            <w:r w:rsidRPr="00B52DD7">
              <w:rPr>
                <w:i/>
                <w:sz w:val="20"/>
                <w:szCs w:val="20"/>
                <w:lang w:val="ro-RO"/>
              </w:rPr>
              <w:t xml:space="preserve">5.1 </w:t>
            </w:r>
            <w:r w:rsidR="000F17C5" w:rsidRPr="00B52DD7">
              <w:rPr>
                <w:i/>
                <w:sz w:val="20"/>
                <w:szCs w:val="20"/>
              </w:rPr>
              <w:t>pe suport de hîrtie</w:t>
            </w:r>
          </w:p>
        </w:tc>
        <w:tc>
          <w:tcPr>
            <w:tcW w:w="2148" w:type="dxa"/>
            <w:vMerge/>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hideMark/>
          </w:tcPr>
          <w:p w:rsidR="000F17C5" w:rsidRPr="00B52DD7" w:rsidRDefault="000F17C5" w:rsidP="00E85558">
            <w:pPr>
              <w:jc w:val="center"/>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9C0423">
            <w:pPr>
              <w:jc w:val="center"/>
              <w:rPr>
                <w:rFonts w:eastAsia="Times New Roman"/>
                <w:sz w:val="20"/>
                <w:szCs w:val="20"/>
              </w:rPr>
            </w:pPr>
            <w:r w:rsidRPr="00B52DD7">
              <w:rPr>
                <w:rFonts w:eastAsia="Times New Roman"/>
                <w:sz w:val="20"/>
                <w:szCs w:val="20"/>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9C0423">
            <w:pPr>
              <w:jc w:val="center"/>
              <w:rPr>
                <w:rFonts w:eastAsia="Times New Roman"/>
                <w:sz w:val="20"/>
                <w:szCs w:val="20"/>
              </w:rPr>
            </w:pPr>
            <w:r w:rsidRPr="00B52DD7">
              <w:rPr>
                <w:rFonts w:eastAsia="Times New Roman"/>
                <w:sz w:val="20"/>
                <w:szCs w:val="20"/>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9C0423">
            <w:pPr>
              <w:jc w:val="center"/>
              <w:rPr>
                <w:rFonts w:eastAsia="Times New Roman"/>
                <w:sz w:val="20"/>
                <w:szCs w:val="20"/>
              </w:rPr>
            </w:pPr>
            <w:r w:rsidRPr="00B52DD7">
              <w:rPr>
                <w:rFonts w:eastAsia="Times New Roman"/>
                <w:sz w:val="20"/>
                <w:szCs w:val="20"/>
              </w:rPr>
              <w:t>-</w:t>
            </w:r>
          </w:p>
        </w:tc>
      </w:tr>
      <w:tr w:rsidR="00474F1E" w:rsidRPr="00B52DD7" w:rsidTr="000F17C5">
        <w:trPr>
          <w:jc w:val="center"/>
        </w:trPr>
        <w:tc>
          <w:tcPr>
            <w:tcW w:w="425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9A1363" w:rsidP="003E7908">
            <w:pPr>
              <w:pStyle w:val="NormalWeb"/>
              <w:rPr>
                <w:i/>
                <w:sz w:val="20"/>
                <w:szCs w:val="20"/>
              </w:rPr>
            </w:pPr>
            <w:r w:rsidRPr="00B52DD7">
              <w:rPr>
                <w:i/>
                <w:sz w:val="20"/>
                <w:szCs w:val="20"/>
                <w:lang w:val="ro-RO"/>
              </w:rPr>
              <w:t xml:space="preserve">5.2 </w:t>
            </w:r>
            <w:r w:rsidR="000F17C5" w:rsidRPr="00B52DD7">
              <w:rPr>
                <w:i/>
                <w:sz w:val="20"/>
                <w:szCs w:val="20"/>
              </w:rPr>
              <w:t>din alte materiale</w:t>
            </w:r>
          </w:p>
        </w:tc>
        <w:tc>
          <w:tcPr>
            <w:tcW w:w="2148" w:type="dxa"/>
            <w:vMerge/>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hideMark/>
          </w:tcPr>
          <w:p w:rsidR="000F17C5" w:rsidRPr="00B52DD7" w:rsidRDefault="000F17C5" w:rsidP="00E85558">
            <w:pPr>
              <w:jc w:val="center"/>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9C0423">
            <w:pPr>
              <w:jc w:val="center"/>
              <w:rPr>
                <w:rFonts w:eastAsia="Times New Roman"/>
                <w:sz w:val="20"/>
                <w:szCs w:val="20"/>
              </w:rPr>
            </w:pPr>
            <w:r w:rsidRPr="00B52DD7">
              <w:rPr>
                <w:rFonts w:eastAsia="Times New Roman"/>
                <w:sz w:val="20"/>
                <w:szCs w:val="20"/>
              </w:rPr>
              <w:t>200</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9C0423">
            <w:pPr>
              <w:jc w:val="center"/>
              <w:rPr>
                <w:rFonts w:eastAsia="Times New Roman"/>
                <w:sz w:val="20"/>
                <w:szCs w:val="20"/>
              </w:rPr>
            </w:pPr>
            <w:r w:rsidRPr="00B52DD7">
              <w:rPr>
                <w:rFonts w:eastAsia="Times New Roman"/>
                <w:sz w:val="20"/>
                <w:szCs w:val="20"/>
              </w:rPr>
              <w:t>200</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9C0423">
            <w:pPr>
              <w:jc w:val="center"/>
              <w:rPr>
                <w:rFonts w:eastAsia="Times New Roman"/>
                <w:sz w:val="20"/>
                <w:szCs w:val="20"/>
              </w:rPr>
            </w:pPr>
            <w:r w:rsidRPr="00B52DD7">
              <w:rPr>
                <w:rFonts w:eastAsia="Times New Roman"/>
                <w:sz w:val="20"/>
                <w:szCs w:val="20"/>
              </w:rPr>
              <w:t>-</w:t>
            </w:r>
          </w:p>
        </w:tc>
      </w:tr>
      <w:tr w:rsidR="00474F1E" w:rsidRPr="00B52DD7" w:rsidTr="000F17C5">
        <w:trPr>
          <w:jc w:val="center"/>
        </w:trPr>
        <w:tc>
          <w:tcPr>
            <w:tcW w:w="425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3E7908">
            <w:pPr>
              <w:rPr>
                <w:rFonts w:eastAsia="Times New Roman"/>
                <w:sz w:val="20"/>
                <w:szCs w:val="20"/>
              </w:rPr>
            </w:pPr>
            <w:r w:rsidRPr="00B52DD7">
              <w:rPr>
                <w:rFonts w:eastAsia="Times New Roman"/>
                <w:sz w:val="20"/>
                <w:szCs w:val="20"/>
              </w:rPr>
              <w:t>6. Alte cheltuieli:</w:t>
            </w:r>
          </w:p>
        </w:tc>
        <w:tc>
          <w:tcPr>
            <w:tcW w:w="4838" w:type="dxa"/>
            <w:gridSpan w:val="4"/>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9C0423">
            <w:pPr>
              <w:jc w:val="center"/>
              <w:rPr>
                <w:rFonts w:eastAsia="Times New Roman"/>
                <w:sz w:val="20"/>
                <w:szCs w:val="20"/>
              </w:rPr>
            </w:pPr>
          </w:p>
        </w:tc>
      </w:tr>
      <w:tr w:rsidR="00474F1E" w:rsidRPr="00B52DD7" w:rsidTr="000F17C5">
        <w:trPr>
          <w:jc w:val="center"/>
        </w:trPr>
        <w:tc>
          <w:tcPr>
            <w:tcW w:w="425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2C5878" w:rsidP="003E7908">
            <w:pPr>
              <w:pStyle w:val="NormalWeb"/>
              <w:rPr>
                <w:i/>
                <w:sz w:val="20"/>
                <w:szCs w:val="20"/>
              </w:rPr>
            </w:pPr>
            <w:r w:rsidRPr="00B52DD7">
              <w:rPr>
                <w:i/>
                <w:sz w:val="20"/>
                <w:szCs w:val="20"/>
                <w:lang w:val="ro-RO"/>
              </w:rPr>
              <w:t xml:space="preserve">6.1 </w:t>
            </w:r>
            <w:r w:rsidR="000F17C5" w:rsidRPr="00B52DD7">
              <w:rPr>
                <w:i/>
                <w:sz w:val="20"/>
                <w:szCs w:val="20"/>
              </w:rPr>
              <w:t>anunţ în presă</w:t>
            </w:r>
          </w:p>
        </w:tc>
        <w:tc>
          <w:tcPr>
            <w:tcW w:w="2148"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E85558" w:rsidP="00E85558">
            <w:pPr>
              <w:jc w:val="center"/>
              <w:rPr>
                <w:rFonts w:eastAsia="Times New Roman"/>
                <w:sz w:val="20"/>
                <w:szCs w:val="20"/>
              </w:rPr>
            </w:pPr>
            <w:r w:rsidRPr="00B52DD7">
              <w:rPr>
                <w:rFonts w:eastAsia="Times New Roman"/>
                <w:sz w:val="20"/>
                <w:szCs w:val="20"/>
                <w:lang w:val="ro-RO"/>
              </w:rPr>
              <w:t>p</w:t>
            </w:r>
            <w:r w:rsidR="000F17C5" w:rsidRPr="00B52DD7">
              <w:rPr>
                <w:rFonts w:eastAsia="Times New Roman"/>
                <w:sz w:val="20"/>
                <w:szCs w:val="20"/>
              </w:rPr>
              <w:t>entru o întrunire</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5700B4">
            <w:pPr>
              <w:jc w:val="center"/>
              <w:rPr>
                <w:rFonts w:eastAsia="Times New Roman"/>
                <w:sz w:val="20"/>
                <w:szCs w:val="20"/>
                <w:lang w:val="ro-RO"/>
              </w:rPr>
            </w:pPr>
            <w:r w:rsidRPr="00B52DD7">
              <w:rPr>
                <w:rFonts w:eastAsia="Times New Roman"/>
                <w:sz w:val="20"/>
                <w:szCs w:val="20"/>
              </w:rPr>
              <w:t>1</w:t>
            </w:r>
            <w:r w:rsidR="005700B4" w:rsidRPr="00B52DD7">
              <w:rPr>
                <w:rFonts w:eastAsia="Times New Roman"/>
                <w:sz w:val="20"/>
                <w:szCs w:val="20"/>
                <w:lang w:val="ro-RO"/>
              </w:rPr>
              <w:t>65</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5700B4">
            <w:pPr>
              <w:jc w:val="center"/>
              <w:rPr>
                <w:rFonts w:eastAsia="Times New Roman"/>
                <w:sz w:val="20"/>
                <w:szCs w:val="20"/>
                <w:lang w:val="ro-RO"/>
              </w:rPr>
            </w:pPr>
            <w:r w:rsidRPr="00B52DD7">
              <w:rPr>
                <w:rFonts w:eastAsia="Times New Roman"/>
                <w:sz w:val="20"/>
                <w:szCs w:val="20"/>
              </w:rPr>
              <w:t>1</w:t>
            </w:r>
            <w:r w:rsidR="005700B4" w:rsidRPr="00B52DD7">
              <w:rPr>
                <w:rFonts w:eastAsia="Times New Roman"/>
                <w:sz w:val="20"/>
                <w:szCs w:val="20"/>
                <w:lang w:val="ro-RO"/>
              </w:rPr>
              <w:t>65</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9C0423">
            <w:pPr>
              <w:jc w:val="center"/>
              <w:rPr>
                <w:rFonts w:eastAsia="Times New Roman"/>
                <w:sz w:val="20"/>
                <w:szCs w:val="20"/>
              </w:rPr>
            </w:pPr>
            <w:r w:rsidRPr="00B52DD7">
              <w:rPr>
                <w:rFonts w:eastAsia="Times New Roman"/>
                <w:sz w:val="20"/>
                <w:szCs w:val="20"/>
              </w:rPr>
              <w:t>-</w:t>
            </w:r>
          </w:p>
        </w:tc>
      </w:tr>
      <w:tr w:rsidR="00474F1E" w:rsidRPr="00B52DD7" w:rsidTr="000F17C5">
        <w:trPr>
          <w:jc w:val="center"/>
        </w:trPr>
        <w:tc>
          <w:tcPr>
            <w:tcW w:w="425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2C5878" w:rsidP="003E7908">
            <w:pPr>
              <w:pStyle w:val="NormalWeb"/>
              <w:rPr>
                <w:i/>
                <w:sz w:val="20"/>
                <w:szCs w:val="20"/>
              </w:rPr>
            </w:pPr>
            <w:r w:rsidRPr="00B52DD7">
              <w:rPr>
                <w:i/>
                <w:sz w:val="20"/>
                <w:szCs w:val="20"/>
                <w:lang w:val="ro-RO"/>
              </w:rPr>
              <w:t xml:space="preserve">6.2 </w:t>
            </w:r>
            <w:r w:rsidR="000F17C5" w:rsidRPr="00B52DD7">
              <w:rPr>
                <w:i/>
                <w:sz w:val="20"/>
                <w:szCs w:val="20"/>
              </w:rPr>
              <w:t>anunţ la radio/TV</w:t>
            </w:r>
          </w:p>
        </w:tc>
        <w:tc>
          <w:tcPr>
            <w:tcW w:w="2148"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E85558" w:rsidP="00E85558">
            <w:pPr>
              <w:jc w:val="center"/>
              <w:rPr>
                <w:rFonts w:eastAsia="Times New Roman"/>
                <w:sz w:val="20"/>
                <w:szCs w:val="20"/>
              </w:rPr>
            </w:pPr>
            <w:r w:rsidRPr="00B52DD7">
              <w:rPr>
                <w:rFonts w:eastAsia="Times New Roman"/>
                <w:sz w:val="20"/>
                <w:szCs w:val="20"/>
                <w:lang w:val="ro-RO"/>
              </w:rPr>
              <w:t>p</w:t>
            </w:r>
            <w:r w:rsidR="000F17C5" w:rsidRPr="00B52DD7">
              <w:rPr>
                <w:rFonts w:eastAsia="Times New Roman"/>
                <w:sz w:val="20"/>
                <w:szCs w:val="20"/>
              </w:rPr>
              <w:t>entru un minut</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474F1E" w:rsidP="00474F1E">
            <w:pPr>
              <w:jc w:val="center"/>
              <w:rPr>
                <w:rFonts w:eastAsia="Times New Roman"/>
                <w:sz w:val="20"/>
                <w:szCs w:val="20"/>
              </w:rPr>
            </w:pPr>
            <w:r w:rsidRPr="00B52DD7">
              <w:rPr>
                <w:rFonts w:eastAsia="Times New Roman"/>
                <w:sz w:val="20"/>
                <w:szCs w:val="20"/>
                <w:lang w:val="ro-RO"/>
              </w:rPr>
              <w:t>330</w:t>
            </w:r>
            <w:r w:rsidR="000F17C5" w:rsidRPr="00B52DD7">
              <w:rPr>
                <w:rFonts w:eastAsia="Times New Roman"/>
                <w:sz w:val="20"/>
                <w:szCs w:val="20"/>
              </w:rPr>
              <w:t>/</w:t>
            </w:r>
            <w:r w:rsidRPr="00B52DD7">
              <w:rPr>
                <w:rFonts w:eastAsia="Times New Roman"/>
                <w:sz w:val="20"/>
                <w:szCs w:val="20"/>
                <w:lang w:val="ro-RO"/>
              </w:rPr>
              <w:t>100</w:t>
            </w:r>
            <w:r w:rsidR="000F17C5" w:rsidRPr="00B52DD7">
              <w:rPr>
                <w:rFonts w:eastAsia="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474F1E" w:rsidP="00474F1E">
            <w:pPr>
              <w:jc w:val="center"/>
              <w:rPr>
                <w:rFonts w:eastAsia="Times New Roman"/>
                <w:sz w:val="20"/>
                <w:szCs w:val="20"/>
              </w:rPr>
            </w:pPr>
            <w:r w:rsidRPr="00B52DD7">
              <w:rPr>
                <w:rFonts w:eastAsia="Times New Roman"/>
                <w:sz w:val="20"/>
                <w:szCs w:val="20"/>
                <w:lang w:val="ro-RO"/>
              </w:rPr>
              <w:t>330</w:t>
            </w:r>
            <w:r w:rsidR="000F17C5" w:rsidRPr="00B52DD7">
              <w:rPr>
                <w:rFonts w:eastAsia="Times New Roman"/>
                <w:sz w:val="20"/>
                <w:szCs w:val="20"/>
              </w:rPr>
              <w:t>/</w:t>
            </w:r>
            <w:r w:rsidRPr="00B52DD7">
              <w:rPr>
                <w:rFonts w:eastAsia="Times New Roman"/>
                <w:sz w:val="20"/>
                <w:szCs w:val="20"/>
                <w:lang w:val="ro-RO"/>
              </w:rPr>
              <w:t>100</w:t>
            </w:r>
            <w:r w:rsidR="000F17C5" w:rsidRPr="00B52DD7">
              <w:rPr>
                <w:rFonts w:eastAsia="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9C0423">
            <w:pPr>
              <w:jc w:val="center"/>
              <w:rPr>
                <w:rFonts w:eastAsia="Times New Roman"/>
                <w:sz w:val="20"/>
                <w:szCs w:val="20"/>
              </w:rPr>
            </w:pPr>
            <w:r w:rsidRPr="00B52DD7">
              <w:rPr>
                <w:rFonts w:eastAsia="Times New Roman"/>
                <w:sz w:val="20"/>
                <w:szCs w:val="20"/>
              </w:rPr>
              <w:t>-</w:t>
            </w:r>
          </w:p>
        </w:tc>
      </w:tr>
      <w:tr w:rsidR="00474F1E" w:rsidRPr="00B52DD7" w:rsidTr="000F17C5">
        <w:trPr>
          <w:jc w:val="center"/>
        </w:trPr>
        <w:tc>
          <w:tcPr>
            <w:tcW w:w="425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3E7908">
            <w:pPr>
              <w:rPr>
                <w:rFonts w:eastAsia="Times New Roman"/>
                <w:sz w:val="20"/>
                <w:szCs w:val="20"/>
              </w:rPr>
            </w:pPr>
            <w:r w:rsidRPr="00B52DD7">
              <w:rPr>
                <w:rFonts w:eastAsia="Times New Roman"/>
                <w:sz w:val="20"/>
                <w:szCs w:val="20"/>
              </w:rPr>
              <w:t>7. Servicii:</w:t>
            </w:r>
          </w:p>
        </w:tc>
        <w:tc>
          <w:tcPr>
            <w:tcW w:w="4838" w:type="dxa"/>
            <w:gridSpan w:val="4"/>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0F17C5" w:rsidP="009C0423">
            <w:pPr>
              <w:jc w:val="center"/>
              <w:rPr>
                <w:rFonts w:eastAsia="Times New Roman"/>
                <w:sz w:val="20"/>
                <w:szCs w:val="20"/>
              </w:rPr>
            </w:pPr>
          </w:p>
        </w:tc>
      </w:tr>
      <w:tr w:rsidR="00474F1E" w:rsidRPr="00B52DD7" w:rsidTr="000F17C5">
        <w:trPr>
          <w:jc w:val="center"/>
        </w:trPr>
        <w:tc>
          <w:tcPr>
            <w:tcW w:w="425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2C5878" w:rsidP="003E7908">
            <w:pPr>
              <w:pStyle w:val="NormalWeb"/>
              <w:rPr>
                <w:i/>
                <w:sz w:val="20"/>
                <w:szCs w:val="20"/>
              </w:rPr>
            </w:pPr>
            <w:r w:rsidRPr="00B52DD7">
              <w:rPr>
                <w:i/>
                <w:sz w:val="20"/>
                <w:szCs w:val="20"/>
                <w:lang w:val="ro-RO"/>
              </w:rPr>
              <w:t xml:space="preserve">7.1 </w:t>
            </w:r>
            <w:r w:rsidR="000F17C5" w:rsidRPr="00B52DD7">
              <w:rPr>
                <w:i/>
                <w:sz w:val="20"/>
                <w:szCs w:val="20"/>
              </w:rPr>
              <w:t>foto</w:t>
            </w:r>
          </w:p>
        </w:tc>
        <w:tc>
          <w:tcPr>
            <w:tcW w:w="2148"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E85558" w:rsidP="00E85558">
            <w:pPr>
              <w:jc w:val="center"/>
              <w:rPr>
                <w:rFonts w:eastAsia="Times New Roman"/>
                <w:sz w:val="20"/>
                <w:szCs w:val="20"/>
                <w:lang w:val="fr-FR"/>
              </w:rPr>
            </w:pPr>
            <w:r w:rsidRPr="00B52DD7">
              <w:rPr>
                <w:rFonts w:eastAsia="Times New Roman"/>
                <w:sz w:val="20"/>
                <w:szCs w:val="20"/>
                <w:lang w:val="fr-FR"/>
              </w:rPr>
              <w:t>p</w:t>
            </w:r>
            <w:r w:rsidR="000F17C5" w:rsidRPr="00B52DD7">
              <w:rPr>
                <w:rFonts w:eastAsia="Times New Roman"/>
                <w:sz w:val="20"/>
                <w:szCs w:val="20"/>
                <w:lang w:val="fr-FR"/>
              </w:rPr>
              <w:t>entru o zi de întrunire</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983F7B" w:rsidP="009C0423">
            <w:pPr>
              <w:jc w:val="center"/>
              <w:rPr>
                <w:rFonts w:eastAsia="Times New Roman"/>
                <w:sz w:val="20"/>
                <w:szCs w:val="20"/>
              </w:rPr>
            </w:pPr>
            <w:r w:rsidRPr="00B52DD7">
              <w:rPr>
                <w:rFonts w:eastAsia="Times New Roman"/>
                <w:sz w:val="20"/>
                <w:szCs w:val="20"/>
                <w:lang w:val="ro-RO"/>
              </w:rPr>
              <w:t>33</w:t>
            </w:r>
            <w:r w:rsidR="000F17C5" w:rsidRPr="00B52DD7">
              <w:rPr>
                <w:rFonts w:eastAsia="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983F7B" w:rsidP="009C0423">
            <w:pPr>
              <w:jc w:val="center"/>
              <w:rPr>
                <w:rFonts w:eastAsia="Times New Roman"/>
                <w:sz w:val="20"/>
                <w:szCs w:val="20"/>
              </w:rPr>
            </w:pPr>
            <w:r w:rsidRPr="00B52DD7">
              <w:rPr>
                <w:rFonts w:eastAsia="Times New Roman"/>
                <w:sz w:val="20"/>
                <w:szCs w:val="20"/>
                <w:lang w:val="ro-RO"/>
              </w:rPr>
              <w:t>2</w:t>
            </w:r>
            <w:r w:rsidR="000F17C5" w:rsidRPr="00B52DD7">
              <w:rPr>
                <w:rFonts w:eastAsia="Times New Roman"/>
                <w:sz w:val="20"/>
                <w:szCs w:val="20"/>
              </w:rPr>
              <w:t>50</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983F7B" w:rsidP="00983F7B">
            <w:pPr>
              <w:jc w:val="center"/>
              <w:rPr>
                <w:rFonts w:eastAsia="Times New Roman"/>
                <w:sz w:val="20"/>
                <w:szCs w:val="20"/>
              </w:rPr>
            </w:pPr>
            <w:r w:rsidRPr="00B52DD7">
              <w:rPr>
                <w:rFonts w:eastAsia="Times New Roman"/>
                <w:sz w:val="20"/>
                <w:szCs w:val="20"/>
                <w:lang w:val="ro-RO"/>
              </w:rPr>
              <w:t>170</w:t>
            </w:r>
          </w:p>
        </w:tc>
      </w:tr>
      <w:tr w:rsidR="00474F1E" w:rsidRPr="00B52DD7" w:rsidTr="000F17C5">
        <w:trPr>
          <w:jc w:val="center"/>
        </w:trPr>
        <w:tc>
          <w:tcPr>
            <w:tcW w:w="425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2C5878" w:rsidP="003E7908">
            <w:pPr>
              <w:pStyle w:val="NormalWeb"/>
              <w:rPr>
                <w:i/>
                <w:sz w:val="20"/>
                <w:szCs w:val="20"/>
              </w:rPr>
            </w:pPr>
            <w:r w:rsidRPr="00B52DD7">
              <w:rPr>
                <w:i/>
                <w:sz w:val="20"/>
                <w:szCs w:val="20"/>
                <w:lang w:val="ro-RO"/>
              </w:rPr>
              <w:t xml:space="preserve">7.2 </w:t>
            </w:r>
            <w:r w:rsidR="000F17C5" w:rsidRPr="00B52DD7">
              <w:rPr>
                <w:i/>
                <w:sz w:val="20"/>
                <w:szCs w:val="20"/>
              </w:rPr>
              <w:t>video</w:t>
            </w:r>
          </w:p>
        </w:tc>
        <w:tc>
          <w:tcPr>
            <w:tcW w:w="2148"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E85558" w:rsidP="00E85558">
            <w:pPr>
              <w:jc w:val="center"/>
              <w:rPr>
                <w:rFonts w:eastAsia="Times New Roman"/>
                <w:sz w:val="20"/>
                <w:szCs w:val="20"/>
              </w:rPr>
            </w:pPr>
            <w:r w:rsidRPr="00B52DD7">
              <w:rPr>
                <w:rFonts w:eastAsia="Times New Roman"/>
                <w:sz w:val="20"/>
                <w:szCs w:val="20"/>
                <w:lang w:val="ro-RO"/>
              </w:rPr>
              <w:t>p</w:t>
            </w:r>
            <w:r w:rsidR="000F17C5" w:rsidRPr="00B52DD7">
              <w:rPr>
                <w:rFonts w:eastAsia="Times New Roman"/>
                <w:sz w:val="20"/>
                <w:szCs w:val="20"/>
              </w:rPr>
              <w:t>entru o acţiune</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D37767" w:rsidP="009C0423">
            <w:pPr>
              <w:jc w:val="center"/>
              <w:rPr>
                <w:rFonts w:eastAsia="Times New Roman"/>
                <w:sz w:val="20"/>
                <w:szCs w:val="20"/>
              </w:rPr>
            </w:pPr>
            <w:r w:rsidRPr="00B52DD7">
              <w:rPr>
                <w:rFonts w:eastAsia="Times New Roman"/>
                <w:sz w:val="20"/>
                <w:szCs w:val="20"/>
                <w:lang w:val="ro-RO"/>
              </w:rPr>
              <w:t>10</w:t>
            </w:r>
            <w:r w:rsidR="000F17C5" w:rsidRPr="00B52DD7">
              <w:rPr>
                <w:rFonts w:eastAsia="Times New Roman"/>
                <w:sz w:val="20"/>
                <w:szCs w:val="20"/>
              </w:rPr>
              <w:t>00</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D37767" w:rsidP="009C0423">
            <w:pPr>
              <w:jc w:val="center"/>
              <w:rPr>
                <w:rFonts w:eastAsia="Times New Roman"/>
                <w:sz w:val="20"/>
                <w:szCs w:val="20"/>
              </w:rPr>
            </w:pPr>
            <w:r w:rsidRPr="00B52DD7">
              <w:rPr>
                <w:rFonts w:eastAsia="Times New Roman"/>
                <w:sz w:val="20"/>
                <w:szCs w:val="20"/>
                <w:lang w:val="ro-RO"/>
              </w:rPr>
              <w:t>7</w:t>
            </w:r>
            <w:r w:rsidR="000F17C5" w:rsidRPr="00B52DD7">
              <w:rPr>
                <w:rFonts w:eastAsia="Times New Roman"/>
                <w:sz w:val="20"/>
                <w:szCs w:val="20"/>
              </w:rPr>
              <w:t>50</w:t>
            </w:r>
          </w:p>
        </w:tc>
        <w:tc>
          <w:tcPr>
            <w:tcW w:w="0" w:type="auto"/>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0F17C5" w:rsidRPr="00B52DD7" w:rsidRDefault="00D37767" w:rsidP="009C0423">
            <w:pPr>
              <w:jc w:val="center"/>
              <w:rPr>
                <w:rFonts w:eastAsia="Times New Roman"/>
                <w:sz w:val="20"/>
                <w:szCs w:val="20"/>
              </w:rPr>
            </w:pPr>
            <w:r w:rsidRPr="00B52DD7">
              <w:rPr>
                <w:rFonts w:eastAsia="Times New Roman"/>
                <w:sz w:val="20"/>
                <w:szCs w:val="20"/>
                <w:lang w:val="ro-RO"/>
              </w:rPr>
              <w:t>5</w:t>
            </w:r>
            <w:r w:rsidR="000F17C5" w:rsidRPr="00B52DD7">
              <w:rPr>
                <w:rFonts w:eastAsia="Times New Roman"/>
                <w:sz w:val="20"/>
                <w:szCs w:val="20"/>
              </w:rPr>
              <w:t>00</w:t>
            </w:r>
          </w:p>
        </w:tc>
      </w:tr>
      <w:tr w:rsidR="000F17C5" w:rsidRPr="00B52DD7" w:rsidTr="000F17C5">
        <w:trPr>
          <w:jc w:val="center"/>
        </w:trPr>
        <w:tc>
          <w:tcPr>
            <w:tcW w:w="9091" w:type="dxa"/>
            <w:gridSpan w:val="5"/>
            <w:tcBorders>
              <w:top w:val="nil"/>
              <w:left w:val="nil"/>
              <w:bottom w:val="nil"/>
              <w:right w:val="nil"/>
            </w:tcBorders>
            <w:tcMar>
              <w:top w:w="15" w:type="dxa"/>
              <w:left w:w="35" w:type="dxa"/>
              <w:bottom w:w="15" w:type="dxa"/>
              <w:right w:w="35" w:type="dxa"/>
            </w:tcMar>
            <w:hideMark/>
          </w:tcPr>
          <w:p w:rsidR="00406855" w:rsidRPr="00B52DD7" w:rsidRDefault="000F17C5" w:rsidP="00515179">
            <w:pPr>
              <w:rPr>
                <w:sz w:val="28"/>
                <w:szCs w:val="28"/>
                <w:lang w:val="ro-RO"/>
              </w:rPr>
            </w:pPr>
            <w:r w:rsidRPr="00B52DD7">
              <w:rPr>
                <w:rFonts w:eastAsia="Times New Roman"/>
                <w:sz w:val="20"/>
                <w:szCs w:val="20"/>
              </w:rPr>
              <w:t> </w:t>
            </w:r>
          </w:p>
        </w:tc>
      </w:tr>
    </w:tbl>
    <w:p w:rsidR="00225257" w:rsidRPr="00B52DD7" w:rsidRDefault="00225257" w:rsidP="00225257">
      <w:pPr>
        <w:pStyle w:val="tt"/>
        <w:spacing w:before="0" w:beforeAutospacing="0" w:after="0" w:afterAutospacing="0"/>
        <w:ind w:firstLine="426"/>
        <w:jc w:val="both"/>
        <w:rPr>
          <w:sz w:val="28"/>
          <w:szCs w:val="28"/>
          <w:lang w:val="ro-RO"/>
        </w:rPr>
      </w:pPr>
      <w:r w:rsidRPr="00B52DD7">
        <w:rPr>
          <w:sz w:val="28"/>
          <w:szCs w:val="28"/>
          <w:lang w:val="ro-RO"/>
        </w:rPr>
        <w:t>1.8 Se propune excluderea elementului structural „Note” din textul prezentei Hotărîri</w:t>
      </w:r>
      <w:r w:rsidR="0062381B" w:rsidRPr="00B52DD7">
        <w:rPr>
          <w:sz w:val="28"/>
          <w:szCs w:val="28"/>
          <w:lang w:val="ro-RO"/>
        </w:rPr>
        <w:t xml:space="preserve"> de Guvern, precum și </w:t>
      </w:r>
      <w:r w:rsidR="00F80BA3" w:rsidRPr="00B52DD7">
        <w:rPr>
          <w:sz w:val="28"/>
          <w:szCs w:val="28"/>
          <w:lang w:val="ro-RO"/>
        </w:rPr>
        <w:t>re</w:t>
      </w:r>
      <w:r w:rsidR="0062381B" w:rsidRPr="00B52DD7">
        <w:rPr>
          <w:sz w:val="28"/>
          <w:szCs w:val="28"/>
          <w:lang w:val="ro-RO"/>
        </w:rPr>
        <w:t>numerotarea acestora conform prevederilor cadrului normativ în vigoare</w:t>
      </w:r>
      <w:r w:rsidR="00ED5C63" w:rsidRPr="00B52DD7">
        <w:rPr>
          <w:sz w:val="28"/>
          <w:szCs w:val="28"/>
          <w:lang w:val="ro-RO"/>
        </w:rPr>
        <w:t>;</w:t>
      </w:r>
    </w:p>
    <w:p w:rsidR="001C5C3C" w:rsidRPr="00B52DD7" w:rsidRDefault="001C5C3C" w:rsidP="009F212F">
      <w:pPr>
        <w:pStyle w:val="tt"/>
        <w:numPr>
          <w:ilvl w:val="0"/>
          <w:numId w:val="5"/>
        </w:numPr>
        <w:spacing w:before="0" w:beforeAutospacing="0" w:after="0" w:afterAutospacing="0"/>
        <w:ind w:left="0" w:firstLine="0"/>
        <w:jc w:val="both"/>
        <w:rPr>
          <w:rFonts w:eastAsiaTheme="minorEastAsia"/>
          <w:sz w:val="28"/>
          <w:szCs w:val="28"/>
          <w:lang w:val="ro-RO"/>
        </w:rPr>
      </w:pPr>
      <w:r w:rsidRPr="00B52DD7">
        <w:rPr>
          <w:rFonts w:eastAsiaTheme="minorEastAsia"/>
          <w:sz w:val="28"/>
          <w:szCs w:val="28"/>
          <w:lang w:val="ro-RO"/>
        </w:rPr>
        <w:t>Hotărîrea Guvernului nr. 1</w:t>
      </w:r>
      <w:r w:rsidR="00525883" w:rsidRPr="00B52DD7">
        <w:rPr>
          <w:rFonts w:eastAsiaTheme="minorEastAsia"/>
          <w:sz w:val="28"/>
          <w:szCs w:val="28"/>
          <w:lang w:val="ro-RO"/>
        </w:rPr>
        <w:t>362  din  2</w:t>
      </w:r>
      <w:r w:rsidRPr="00B52DD7">
        <w:rPr>
          <w:rFonts w:eastAsiaTheme="minorEastAsia"/>
          <w:sz w:val="28"/>
          <w:szCs w:val="28"/>
          <w:lang w:val="ro-RO"/>
        </w:rPr>
        <w:t>2.</w:t>
      </w:r>
      <w:r w:rsidR="00525883" w:rsidRPr="00B52DD7">
        <w:rPr>
          <w:rFonts w:eastAsiaTheme="minorEastAsia"/>
          <w:sz w:val="28"/>
          <w:szCs w:val="28"/>
          <w:lang w:val="ro-RO"/>
        </w:rPr>
        <w:t>12</w:t>
      </w:r>
      <w:r w:rsidRPr="00B52DD7">
        <w:rPr>
          <w:rFonts w:eastAsiaTheme="minorEastAsia"/>
          <w:sz w:val="28"/>
          <w:szCs w:val="28"/>
          <w:lang w:val="ro-RO"/>
        </w:rPr>
        <w:t>.200</w:t>
      </w:r>
      <w:r w:rsidR="00525883" w:rsidRPr="00B52DD7">
        <w:rPr>
          <w:rFonts w:eastAsiaTheme="minorEastAsia"/>
          <w:sz w:val="28"/>
          <w:szCs w:val="28"/>
          <w:lang w:val="ro-RO"/>
        </w:rPr>
        <w:t>5</w:t>
      </w:r>
      <w:r w:rsidRPr="00B52DD7">
        <w:rPr>
          <w:rFonts w:eastAsiaTheme="minorEastAsia"/>
          <w:sz w:val="28"/>
          <w:szCs w:val="28"/>
          <w:lang w:val="ro-RO"/>
        </w:rPr>
        <w:t xml:space="preserve"> </w:t>
      </w:r>
      <w:r w:rsidR="009F212F" w:rsidRPr="00B52DD7">
        <w:rPr>
          <w:rFonts w:eastAsiaTheme="minorEastAsia"/>
          <w:sz w:val="28"/>
          <w:szCs w:val="28"/>
          <w:lang w:val="ro-RO"/>
        </w:rPr>
        <w:t>„C</w:t>
      </w:r>
      <w:r w:rsidR="00525883" w:rsidRPr="00B52DD7">
        <w:rPr>
          <w:rFonts w:eastAsiaTheme="minorEastAsia"/>
          <w:sz w:val="28"/>
          <w:szCs w:val="28"/>
          <w:lang w:val="ro-RO"/>
        </w:rPr>
        <w:t>u p</w:t>
      </w:r>
      <w:r w:rsidR="00176BF9" w:rsidRPr="00B52DD7">
        <w:rPr>
          <w:rFonts w:eastAsiaTheme="minorEastAsia"/>
          <w:sz w:val="28"/>
          <w:szCs w:val="28"/>
          <w:lang w:val="ro-RO"/>
        </w:rPr>
        <w:t>r</w:t>
      </w:r>
      <w:r w:rsidR="00525883" w:rsidRPr="00B52DD7">
        <w:rPr>
          <w:rFonts w:eastAsiaTheme="minorEastAsia"/>
          <w:sz w:val="28"/>
          <w:szCs w:val="28"/>
          <w:lang w:val="ro-RO"/>
        </w:rPr>
        <w:t>ivire la ap</w:t>
      </w:r>
      <w:r w:rsidRPr="00B52DD7">
        <w:rPr>
          <w:rFonts w:eastAsiaTheme="minorEastAsia"/>
          <w:sz w:val="28"/>
          <w:szCs w:val="28"/>
          <w:lang w:val="ro-RO"/>
        </w:rPr>
        <w:t xml:space="preserve">robarea </w:t>
      </w:r>
      <w:r w:rsidR="00525883" w:rsidRPr="00B52DD7">
        <w:rPr>
          <w:rFonts w:eastAsiaTheme="minorEastAsia"/>
          <w:sz w:val="28"/>
          <w:szCs w:val="28"/>
          <w:lang w:val="ro-RO"/>
        </w:rPr>
        <w:t>Normativelor vizînd numărul abonamentelor de telefoane de serviciu, faxuri, telefoane mobile pentru colaboratorii autorităților administrației publice (cu excepția legăturii telefonice guvernamentale)</w:t>
      </w:r>
      <w:r w:rsidR="009F212F" w:rsidRPr="00B52DD7">
        <w:rPr>
          <w:rFonts w:eastAsiaTheme="minorEastAsia"/>
          <w:sz w:val="28"/>
          <w:szCs w:val="28"/>
          <w:lang w:val="ro-RO"/>
        </w:rPr>
        <w:t>”</w:t>
      </w:r>
      <w:r w:rsidR="008B373A" w:rsidRPr="00B52DD7">
        <w:rPr>
          <w:rFonts w:eastAsiaTheme="minorEastAsia"/>
          <w:sz w:val="28"/>
          <w:szCs w:val="28"/>
          <w:lang w:val="ro-RO"/>
        </w:rPr>
        <w:t xml:space="preserve">, </w:t>
      </w:r>
      <w:r w:rsidR="00303ED8" w:rsidRPr="00B52DD7">
        <w:rPr>
          <w:rFonts w:eastAsiaTheme="minorEastAsia"/>
          <w:sz w:val="28"/>
          <w:szCs w:val="28"/>
          <w:lang w:val="ro-RO"/>
        </w:rPr>
        <w:t>(</w:t>
      </w:r>
      <w:r w:rsidRPr="00B52DD7">
        <w:rPr>
          <w:rFonts w:eastAsiaTheme="minorEastAsia"/>
          <w:sz w:val="28"/>
          <w:szCs w:val="28"/>
          <w:lang w:val="ro-RO"/>
        </w:rPr>
        <w:t>Monitorul Oficial al Republicii Moldova</w:t>
      </w:r>
      <w:r w:rsidR="00EF11CE" w:rsidRPr="00B52DD7">
        <w:rPr>
          <w:rFonts w:eastAsiaTheme="minorEastAsia"/>
          <w:sz w:val="28"/>
          <w:szCs w:val="28"/>
          <w:lang w:val="ro-RO"/>
        </w:rPr>
        <w:t xml:space="preserve">, 2005, </w:t>
      </w:r>
      <w:r w:rsidRPr="00B52DD7">
        <w:rPr>
          <w:rFonts w:eastAsiaTheme="minorEastAsia"/>
          <w:sz w:val="28"/>
          <w:szCs w:val="28"/>
          <w:lang w:val="ro-RO"/>
        </w:rPr>
        <w:t>nr.1</w:t>
      </w:r>
      <w:r w:rsidR="00EF11CE" w:rsidRPr="00B52DD7">
        <w:rPr>
          <w:rFonts w:eastAsiaTheme="minorEastAsia"/>
          <w:sz w:val="28"/>
          <w:szCs w:val="28"/>
          <w:lang w:val="ro-RO"/>
        </w:rPr>
        <w:t>7</w:t>
      </w:r>
      <w:r w:rsidRPr="00B52DD7">
        <w:rPr>
          <w:rFonts w:eastAsiaTheme="minorEastAsia"/>
          <w:sz w:val="28"/>
          <w:szCs w:val="28"/>
          <w:lang w:val="ro-RO"/>
        </w:rPr>
        <w:t>6-1</w:t>
      </w:r>
      <w:r w:rsidR="00EF11CE" w:rsidRPr="00B52DD7">
        <w:rPr>
          <w:rFonts w:eastAsiaTheme="minorEastAsia"/>
          <w:sz w:val="28"/>
          <w:szCs w:val="28"/>
          <w:lang w:val="ro-RO"/>
        </w:rPr>
        <w:t>81,</w:t>
      </w:r>
      <w:r w:rsidRPr="00B52DD7">
        <w:rPr>
          <w:rFonts w:eastAsiaTheme="minorEastAsia"/>
          <w:sz w:val="28"/>
          <w:szCs w:val="28"/>
          <w:lang w:val="ro-RO"/>
        </w:rPr>
        <w:t xml:space="preserve"> art.1</w:t>
      </w:r>
      <w:r w:rsidR="00EF11CE" w:rsidRPr="00B52DD7">
        <w:rPr>
          <w:rFonts w:eastAsiaTheme="minorEastAsia"/>
          <w:sz w:val="28"/>
          <w:szCs w:val="28"/>
          <w:lang w:val="ro-RO"/>
        </w:rPr>
        <w:t>469</w:t>
      </w:r>
      <w:r w:rsidRPr="00B52DD7">
        <w:rPr>
          <w:rFonts w:eastAsiaTheme="minorEastAsia"/>
          <w:sz w:val="28"/>
          <w:szCs w:val="28"/>
          <w:lang w:val="ro-RO"/>
        </w:rPr>
        <w:t xml:space="preserve">) se modifică și se completează după cum urmează: </w:t>
      </w:r>
    </w:p>
    <w:p w:rsidR="00221B9A" w:rsidRPr="00B52DD7" w:rsidRDefault="0080358F" w:rsidP="0080358F">
      <w:pPr>
        <w:pStyle w:val="tt"/>
        <w:numPr>
          <w:ilvl w:val="1"/>
          <w:numId w:val="5"/>
        </w:numPr>
        <w:spacing w:before="0" w:beforeAutospacing="0" w:after="0" w:afterAutospacing="0"/>
        <w:jc w:val="both"/>
        <w:rPr>
          <w:rFonts w:eastAsiaTheme="minorEastAsia"/>
          <w:sz w:val="28"/>
          <w:szCs w:val="28"/>
          <w:lang w:val="ro-RO"/>
        </w:rPr>
      </w:pPr>
      <w:r w:rsidRPr="00B52DD7">
        <w:rPr>
          <w:rFonts w:eastAsiaTheme="minorEastAsia"/>
          <w:sz w:val="28"/>
          <w:szCs w:val="28"/>
          <w:lang w:val="ro-RO"/>
        </w:rPr>
        <w:t xml:space="preserve">  </w:t>
      </w:r>
      <w:r w:rsidR="00221B9A" w:rsidRPr="00B52DD7">
        <w:rPr>
          <w:rFonts w:eastAsiaTheme="minorEastAsia"/>
          <w:sz w:val="28"/>
          <w:szCs w:val="28"/>
          <w:lang w:val="ro-RO"/>
        </w:rPr>
        <w:t>Punctul 3 din partea dispozitivă se exclude;</w:t>
      </w:r>
    </w:p>
    <w:p w:rsidR="00625B97" w:rsidRPr="00B52DD7" w:rsidRDefault="0080358F" w:rsidP="0080358F">
      <w:pPr>
        <w:pStyle w:val="tt"/>
        <w:numPr>
          <w:ilvl w:val="1"/>
          <w:numId w:val="5"/>
        </w:numPr>
        <w:spacing w:before="0" w:beforeAutospacing="0" w:after="0" w:afterAutospacing="0"/>
        <w:jc w:val="both"/>
        <w:rPr>
          <w:rFonts w:eastAsiaTheme="minorEastAsia"/>
          <w:sz w:val="28"/>
          <w:szCs w:val="28"/>
          <w:lang w:val="ro-RO"/>
        </w:rPr>
      </w:pPr>
      <w:r w:rsidRPr="00B52DD7">
        <w:rPr>
          <w:rFonts w:eastAsiaTheme="minorEastAsia"/>
          <w:sz w:val="28"/>
          <w:szCs w:val="28"/>
          <w:lang w:val="ro-RO"/>
        </w:rPr>
        <w:t xml:space="preserve">  </w:t>
      </w:r>
      <w:r w:rsidR="00C75E2D" w:rsidRPr="00B52DD7">
        <w:rPr>
          <w:rFonts w:eastAsiaTheme="minorEastAsia"/>
          <w:sz w:val="28"/>
          <w:szCs w:val="28"/>
          <w:lang w:val="ro-RO"/>
        </w:rPr>
        <w:t xml:space="preserve">Pe tot parcursul textului, </w:t>
      </w:r>
      <w:r w:rsidR="001A1E50" w:rsidRPr="00B52DD7">
        <w:rPr>
          <w:rFonts w:eastAsiaTheme="minorEastAsia"/>
          <w:sz w:val="28"/>
          <w:szCs w:val="28"/>
          <w:lang w:val="ro-RO"/>
        </w:rPr>
        <w:t xml:space="preserve">cuvîntul „colaboratorii” </w:t>
      </w:r>
      <w:r w:rsidR="00D1716D" w:rsidRPr="00B52DD7">
        <w:rPr>
          <w:rFonts w:eastAsiaTheme="minorEastAsia"/>
          <w:sz w:val="28"/>
          <w:szCs w:val="28"/>
          <w:lang w:val="ro-RO"/>
        </w:rPr>
        <w:t xml:space="preserve">se substituie </w:t>
      </w:r>
      <w:r w:rsidR="001A1E50" w:rsidRPr="00B52DD7">
        <w:rPr>
          <w:rFonts w:eastAsiaTheme="minorEastAsia"/>
          <w:sz w:val="28"/>
          <w:szCs w:val="28"/>
          <w:lang w:val="ro-RO"/>
        </w:rPr>
        <w:t xml:space="preserve">prin </w:t>
      </w:r>
      <w:r w:rsidR="00D1716D" w:rsidRPr="00B52DD7">
        <w:rPr>
          <w:rFonts w:eastAsiaTheme="minorEastAsia"/>
          <w:sz w:val="28"/>
          <w:szCs w:val="28"/>
          <w:lang w:val="ro-RO"/>
        </w:rPr>
        <w:t xml:space="preserve">sintagma </w:t>
      </w:r>
      <w:r w:rsidR="001A1E50" w:rsidRPr="00B52DD7">
        <w:rPr>
          <w:rFonts w:eastAsiaTheme="minorEastAsia"/>
          <w:sz w:val="28"/>
          <w:szCs w:val="28"/>
          <w:lang w:val="ro-RO"/>
        </w:rPr>
        <w:t>„angajaţii”</w:t>
      </w:r>
      <w:r w:rsidR="00623C5B" w:rsidRPr="00B52DD7">
        <w:rPr>
          <w:rFonts w:eastAsiaTheme="minorEastAsia"/>
          <w:sz w:val="28"/>
          <w:szCs w:val="28"/>
          <w:lang w:val="ro-RO"/>
        </w:rPr>
        <w:t>,</w:t>
      </w:r>
      <w:r w:rsidR="001A1E50" w:rsidRPr="00B52DD7">
        <w:rPr>
          <w:rFonts w:eastAsiaTheme="minorEastAsia"/>
          <w:sz w:val="28"/>
          <w:szCs w:val="28"/>
          <w:lang w:val="ro-RO"/>
        </w:rPr>
        <w:t xml:space="preserve"> </w:t>
      </w:r>
      <w:r w:rsidR="00C75E2D" w:rsidRPr="00B52DD7">
        <w:rPr>
          <w:rFonts w:eastAsiaTheme="minorEastAsia"/>
          <w:sz w:val="28"/>
          <w:szCs w:val="28"/>
          <w:lang w:val="ro-RO"/>
        </w:rPr>
        <w:t>la forma gramaticală corespunzătoare;</w:t>
      </w:r>
    </w:p>
    <w:p w:rsidR="00C9797C" w:rsidRPr="00B52DD7" w:rsidRDefault="00254BA0" w:rsidP="00254BA0">
      <w:pPr>
        <w:pStyle w:val="tt"/>
        <w:spacing w:before="0" w:beforeAutospacing="0" w:after="0" w:afterAutospacing="0"/>
        <w:ind w:firstLine="708"/>
        <w:jc w:val="both"/>
        <w:rPr>
          <w:rFonts w:eastAsiaTheme="minorEastAsia"/>
          <w:sz w:val="28"/>
          <w:szCs w:val="28"/>
          <w:lang w:val="ro-RO"/>
        </w:rPr>
      </w:pPr>
      <w:r w:rsidRPr="00B52DD7">
        <w:rPr>
          <w:rFonts w:eastAsiaTheme="minorEastAsia"/>
          <w:sz w:val="28"/>
          <w:szCs w:val="28"/>
          <w:lang w:val="ro-RO"/>
        </w:rPr>
        <w:t xml:space="preserve">2.3 </w:t>
      </w:r>
      <w:r w:rsidR="00625B97" w:rsidRPr="00B52DD7">
        <w:rPr>
          <w:rFonts w:eastAsiaTheme="minorEastAsia"/>
          <w:sz w:val="28"/>
          <w:szCs w:val="28"/>
          <w:lang w:val="ro-RO"/>
        </w:rPr>
        <w:t>Anexa la prezenta hotărîre a Guvernului se prezintă în următoarea redacție</w:t>
      </w:r>
      <w:r w:rsidR="00C9797C" w:rsidRPr="00B52DD7">
        <w:rPr>
          <w:rFonts w:eastAsiaTheme="minorEastAsia"/>
          <w:sz w:val="28"/>
          <w:szCs w:val="28"/>
          <w:lang w:val="ro-RO"/>
        </w:rPr>
        <w:t>:</w:t>
      </w:r>
    </w:p>
    <w:p w:rsidR="00515179" w:rsidRPr="00B52DD7" w:rsidRDefault="00C9797C" w:rsidP="00515179">
      <w:pPr>
        <w:pStyle w:val="cb"/>
        <w:rPr>
          <w:lang w:val="fr-FR"/>
        </w:rPr>
      </w:pPr>
      <w:r w:rsidRPr="00B52DD7">
        <w:rPr>
          <w:sz w:val="28"/>
          <w:szCs w:val="28"/>
          <w:lang w:val="ro-RO"/>
        </w:rPr>
        <w:t>„</w:t>
      </w:r>
      <w:r w:rsidR="00515179" w:rsidRPr="00B52DD7">
        <w:rPr>
          <w:lang w:val="fr-FR"/>
        </w:rPr>
        <w:t xml:space="preserve">Normative </w:t>
      </w:r>
    </w:p>
    <w:p w:rsidR="00515179" w:rsidRPr="00B52DD7" w:rsidRDefault="00515179" w:rsidP="00515179">
      <w:pPr>
        <w:pStyle w:val="cb"/>
        <w:rPr>
          <w:lang w:val="fr-FR"/>
        </w:rPr>
      </w:pPr>
      <w:r w:rsidRPr="00B52DD7">
        <w:rPr>
          <w:lang w:val="fr-FR"/>
        </w:rPr>
        <w:t xml:space="preserve">vizînd numărul abonamentelor de telefoane de serviciu, faxuri, telefoane </w:t>
      </w:r>
    </w:p>
    <w:p w:rsidR="00515179" w:rsidRPr="00B52DD7" w:rsidRDefault="00515179" w:rsidP="00515179">
      <w:pPr>
        <w:pStyle w:val="cb"/>
        <w:rPr>
          <w:lang w:val="fr-FR"/>
        </w:rPr>
      </w:pPr>
      <w:r w:rsidRPr="00B52DD7">
        <w:rPr>
          <w:lang w:val="fr-FR"/>
        </w:rPr>
        <w:t xml:space="preserve">mobile pentru colaboratorii autorităţilor administraţiei publice </w:t>
      </w:r>
    </w:p>
    <w:p w:rsidR="00515179" w:rsidRPr="00B52DD7" w:rsidRDefault="00515179" w:rsidP="00515179">
      <w:pPr>
        <w:pStyle w:val="cb"/>
        <w:rPr>
          <w:lang w:val="fr-FR"/>
        </w:rPr>
      </w:pPr>
      <w:r w:rsidRPr="00B52DD7">
        <w:rPr>
          <w:lang w:val="fr-FR"/>
        </w:rPr>
        <w:t xml:space="preserve">(cu excepţia legăturii telefonice guvernamentale) </w:t>
      </w:r>
    </w:p>
    <w:p w:rsidR="00515179" w:rsidRPr="00B52DD7" w:rsidRDefault="00515179" w:rsidP="00515179">
      <w:pPr>
        <w:pStyle w:val="NormalWeb"/>
        <w:rPr>
          <w:lang w:val="fr-FR"/>
        </w:rPr>
      </w:pPr>
      <w:r w:rsidRPr="00B52DD7">
        <w:rPr>
          <w:lang w:val="fr-FR"/>
        </w:rPr>
        <w:t xml:space="preserve">Prezentele Normative reglementează numărul abonamentelor de telefoane, faxuri, telefoane mobile pentru utilizare în exerciţiul funcţiunii de către colaboratorii Cancelariei de Stat, ministerelor, altor autorităţi administrative centrale de pe lîngă Guvern, subdiviziunilor lor teritoriale. </w:t>
      </w:r>
    </w:p>
    <w:p w:rsidR="00515179" w:rsidRPr="00B52DD7" w:rsidRDefault="00515179" w:rsidP="00515179">
      <w:pPr>
        <w:pStyle w:val="NormalWeb"/>
        <w:rPr>
          <w:lang w:val="fr-FR"/>
        </w:rPr>
      </w:pPr>
      <w:r w:rsidRPr="00B52DD7">
        <w:rPr>
          <w:lang w:val="fr-FR"/>
        </w:rPr>
        <w:t xml:space="preserve">Se stabilesc următoarele normative de asigurare cu mijloace de legătură telefonică: </w:t>
      </w:r>
    </w:p>
    <w:p w:rsidR="00515179" w:rsidRPr="00B52DD7" w:rsidRDefault="00515179" w:rsidP="00515179">
      <w:pPr>
        <w:pStyle w:val="NormalWeb"/>
        <w:rPr>
          <w:lang w:val="fr-FR"/>
        </w:rPr>
      </w:pPr>
      <w:r w:rsidRPr="00B52DD7">
        <w:rPr>
          <w:b/>
          <w:bCs/>
          <w:lang w:val="fr-FR"/>
        </w:rPr>
        <w:t>1)</w:t>
      </w:r>
      <w:r w:rsidRPr="00B52DD7">
        <w:rPr>
          <w:lang w:val="fr-FR"/>
        </w:rPr>
        <w:t xml:space="preserve"> pentru funcţionarii Cancelariei de Stat: </w:t>
      </w:r>
    </w:p>
    <w:p w:rsidR="00515179" w:rsidRPr="00B52DD7" w:rsidRDefault="00515179" w:rsidP="00515179">
      <w:pPr>
        <w:pStyle w:val="NormalWeb"/>
        <w:rPr>
          <w:lang w:val="fr-FR"/>
        </w:rPr>
      </w:pPr>
      <w:r w:rsidRPr="00B52DD7">
        <w:rPr>
          <w:lang w:val="fr-FR"/>
        </w:rPr>
        <w:t xml:space="preserve">a) telefon fix pentru: </w:t>
      </w:r>
    </w:p>
    <w:p w:rsidR="00515179" w:rsidRPr="00B52DD7" w:rsidRDefault="00515179" w:rsidP="00515179">
      <w:pPr>
        <w:pStyle w:val="NormalWeb"/>
        <w:rPr>
          <w:lang w:val="fr-FR"/>
        </w:rPr>
      </w:pPr>
      <w:r w:rsidRPr="00B52DD7">
        <w:rPr>
          <w:lang w:val="fr-FR"/>
        </w:rPr>
        <w:t xml:space="preserve">secretarul general al Guvernului, secretarul general adjunct al Guvernului, consilierii Prim-ministrului, şefii de direcţie - cîte un număr (linie) direct şi un număr în fiecare anticameră; </w:t>
      </w:r>
    </w:p>
    <w:p w:rsidR="00515179" w:rsidRPr="00B52DD7" w:rsidRDefault="00515179" w:rsidP="00515179">
      <w:pPr>
        <w:pStyle w:val="NormalWeb"/>
        <w:rPr>
          <w:lang w:val="fr-FR"/>
        </w:rPr>
      </w:pPr>
      <w:r w:rsidRPr="00B52DD7">
        <w:rPr>
          <w:lang w:val="fr-FR"/>
        </w:rPr>
        <w:lastRenderedPageBreak/>
        <w:t xml:space="preserve">consilierii viceprim-ministrului, consilierul secretarului general al Guvernului, şefii de secţie, şefii adjuncţi de direcţie (secţie); şeful serviciului de presă, purtător de cuvînt - cîte un număr (linie); </w:t>
      </w:r>
    </w:p>
    <w:p w:rsidR="00515179" w:rsidRPr="00B52DD7" w:rsidRDefault="00515179" w:rsidP="00515179">
      <w:pPr>
        <w:pStyle w:val="NormalWeb"/>
        <w:rPr>
          <w:lang w:val="fr-FR"/>
        </w:rPr>
      </w:pPr>
      <w:r w:rsidRPr="00B52DD7">
        <w:rPr>
          <w:lang w:val="fr-FR"/>
        </w:rPr>
        <w:t xml:space="preserve">alt personal - un număr (linie) pentru 1,0-1,5 unităţi de personal; </w:t>
      </w:r>
    </w:p>
    <w:p w:rsidR="00515179" w:rsidRPr="00B52DD7" w:rsidRDefault="00515179" w:rsidP="00515179">
      <w:pPr>
        <w:pStyle w:val="NormalWeb"/>
        <w:rPr>
          <w:lang w:val="fr-FR"/>
        </w:rPr>
      </w:pPr>
      <w:r w:rsidRPr="00B52DD7">
        <w:rPr>
          <w:lang w:val="fr-FR"/>
        </w:rPr>
        <w:t xml:space="preserve">b) telefon mobil - 8 numere (linie); </w:t>
      </w:r>
    </w:p>
    <w:p w:rsidR="00515179" w:rsidRPr="00B52DD7" w:rsidRDefault="00515179" w:rsidP="00515179">
      <w:pPr>
        <w:pStyle w:val="NormalWeb"/>
        <w:rPr>
          <w:lang w:val="fr-FR"/>
        </w:rPr>
      </w:pPr>
      <w:r w:rsidRPr="00B52DD7">
        <w:rPr>
          <w:lang w:val="fr-FR"/>
        </w:rPr>
        <w:t xml:space="preserve">c) telefon/fax - un număr (linie) pentru 20 de colaboratori; </w:t>
      </w:r>
    </w:p>
    <w:p w:rsidR="00515179" w:rsidRPr="00B52DD7" w:rsidRDefault="00515179" w:rsidP="00515179">
      <w:pPr>
        <w:pStyle w:val="NormalWeb"/>
        <w:rPr>
          <w:lang w:val="fr-FR"/>
        </w:rPr>
      </w:pPr>
      <w:r w:rsidRPr="00B52DD7">
        <w:rPr>
          <w:b/>
          <w:bCs/>
          <w:lang w:val="fr-FR"/>
        </w:rPr>
        <w:t>2)</w:t>
      </w:r>
      <w:r w:rsidRPr="00B52DD7">
        <w:rPr>
          <w:lang w:val="fr-FR"/>
        </w:rPr>
        <w:t xml:space="preserve"> pentru funcţionarii aparatului central al ministerului: </w:t>
      </w:r>
    </w:p>
    <w:p w:rsidR="00515179" w:rsidRPr="00B52DD7" w:rsidRDefault="00515179" w:rsidP="00515179">
      <w:pPr>
        <w:pStyle w:val="NormalWeb"/>
        <w:rPr>
          <w:lang w:val="fr-FR"/>
        </w:rPr>
      </w:pPr>
      <w:r w:rsidRPr="00B52DD7">
        <w:rPr>
          <w:lang w:val="fr-FR"/>
        </w:rPr>
        <w:t xml:space="preserve">a) telefon staţionar fix pentru: </w:t>
      </w:r>
    </w:p>
    <w:p w:rsidR="00515179" w:rsidRPr="00B52DD7" w:rsidRDefault="00515179" w:rsidP="00515179">
      <w:pPr>
        <w:pStyle w:val="NormalWeb"/>
        <w:rPr>
          <w:lang w:val="fr-FR"/>
        </w:rPr>
      </w:pPr>
      <w:r w:rsidRPr="00B52DD7">
        <w:rPr>
          <w:lang w:val="fr-FR"/>
        </w:rPr>
        <w:t xml:space="preserve">ministru, secretarul general de stat și secretarii de stat ai ministerului - cîte un număr (linie) direct şi un număr (linie) în fiecare anticameră; </w:t>
      </w:r>
    </w:p>
    <w:p w:rsidR="00515179" w:rsidRPr="00B52DD7" w:rsidRDefault="00515179" w:rsidP="00515179">
      <w:pPr>
        <w:pStyle w:val="NormalWeb"/>
        <w:rPr>
          <w:lang w:val="fr-FR"/>
        </w:rPr>
      </w:pPr>
      <w:r w:rsidRPr="00B52DD7">
        <w:rPr>
          <w:lang w:val="fr-FR"/>
        </w:rPr>
        <w:t xml:space="preserve">alt personal - un număr (linie) pentru 2,0-2,5 colaboratori; </w:t>
      </w:r>
    </w:p>
    <w:p w:rsidR="00515179" w:rsidRPr="00B52DD7" w:rsidRDefault="00515179" w:rsidP="00515179">
      <w:pPr>
        <w:pStyle w:val="NormalWeb"/>
        <w:rPr>
          <w:lang w:val="fr-FR"/>
        </w:rPr>
      </w:pPr>
      <w:r w:rsidRPr="00B52DD7">
        <w:rPr>
          <w:lang w:val="fr-FR"/>
        </w:rPr>
        <w:t xml:space="preserve">b) telefon mobil - </w:t>
      </w:r>
      <w:r w:rsidR="00A92102" w:rsidRPr="00B52DD7">
        <w:rPr>
          <w:lang w:val="fr-FR"/>
        </w:rPr>
        <w:t>numere (linie),</w:t>
      </w:r>
      <w:r w:rsidRPr="00B52DD7">
        <w:rPr>
          <w:lang w:val="fr-FR"/>
        </w:rPr>
        <w:t xml:space="preserve"> în funcţie de numărul de secretari de stat; </w:t>
      </w:r>
    </w:p>
    <w:p w:rsidR="00515179" w:rsidRPr="00B52DD7" w:rsidRDefault="00515179" w:rsidP="00515179">
      <w:pPr>
        <w:pStyle w:val="NormalWeb"/>
        <w:rPr>
          <w:lang w:val="fr-FR"/>
        </w:rPr>
      </w:pPr>
      <w:r w:rsidRPr="00B52DD7">
        <w:rPr>
          <w:lang w:val="fr-FR"/>
        </w:rPr>
        <w:t xml:space="preserve">c) telefon/fax - 1-3 numere (linie). </w:t>
      </w:r>
    </w:p>
    <w:p w:rsidR="00A92102" w:rsidRPr="00B52DD7" w:rsidRDefault="00A92102" w:rsidP="00A92102">
      <w:pPr>
        <w:pStyle w:val="NormalWeb"/>
        <w:rPr>
          <w:lang w:val="fr-FR"/>
        </w:rPr>
      </w:pPr>
      <w:r w:rsidRPr="00B52DD7">
        <w:rPr>
          <w:lang w:val="fr-FR"/>
        </w:rPr>
        <w:t>În caz de necesitate, la decizia conducerii ministerului, abonamente de telefonie mobilă pot fi acordate şefilor de subdiviziuni/funcţionarilor publici pentru cel mult 10 la sută din efectivul aparatului central.</w:t>
      </w:r>
    </w:p>
    <w:p w:rsidR="00515179" w:rsidRPr="00B52DD7" w:rsidRDefault="00A92102" w:rsidP="00515179">
      <w:pPr>
        <w:pStyle w:val="NormalWeb"/>
        <w:rPr>
          <w:lang w:val="fr-FR"/>
        </w:rPr>
      </w:pPr>
      <w:r w:rsidRPr="00B52DD7">
        <w:rPr>
          <w:lang w:val="fr-FR"/>
        </w:rPr>
        <w:t>Totodată, ț</w:t>
      </w:r>
      <w:r w:rsidR="00515179" w:rsidRPr="00B52DD7">
        <w:rPr>
          <w:lang w:val="fr-FR"/>
        </w:rPr>
        <w:t xml:space="preserve">inînd cont de specificul activităţii Ministerului Economiei şi Infrastructurii, Ministerului Afacerilor Externe şi Integrării Europene şi Ministerului Finanţelor, care colaborează în permanenţă cu reprezentanţii organismelor financiare internaţionale, ţărilor donatoare, misiunilor diplomatice şi reprezentanţelor comercial-economice ale Republicii Moldova peste hotare, misiunilor diplomatice şi reprezentanţelor ţărilor străine în Republica Moldova, administraţia zonelor antreprenoriatului liber, în aceste ministere poate fi instalat: </w:t>
      </w:r>
    </w:p>
    <w:p w:rsidR="00515179" w:rsidRPr="00B52DD7" w:rsidRDefault="00515179" w:rsidP="00515179">
      <w:pPr>
        <w:pStyle w:val="NormalWeb"/>
        <w:rPr>
          <w:lang w:val="fr-FR"/>
        </w:rPr>
      </w:pPr>
      <w:r w:rsidRPr="00B52DD7">
        <w:rPr>
          <w:lang w:val="fr-FR"/>
        </w:rPr>
        <w:t xml:space="preserve">a) telefon fix pentru: </w:t>
      </w:r>
    </w:p>
    <w:p w:rsidR="00515179" w:rsidRPr="00B52DD7" w:rsidRDefault="00515179" w:rsidP="00515179">
      <w:pPr>
        <w:pStyle w:val="NormalWeb"/>
        <w:rPr>
          <w:lang w:val="fr-FR"/>
        </w:rPr>
      </w:pPr>
      <w:r w:rsidRPr="00B52DD7">
        <w:rPr>
          <w:lang w:val="fr-FR"/>
        </w:rPr>
        <w:t xml:space="preserve">șef direcție generală, şef direcţie - cîte un număr (linie) direct; </w:t>
      </w:r>
    </w:p>
    <w:p w:rsidR="00515179" w:rsidRPr="00B52DD7" w:rsidRDefault="00515179" w:rsidP="00515179">
      <w:pPr>
        <w:pStyle w:val="NormalWeb"/>
        <w:rPr>
          <w:lang w:val="fr-FR"/>
        </w:rPr>
      </w:pPr>
      <w:r w:rsidRPr="00B52DD7">
        <w:rPr>
          <w:lang w:val="fr-FR"/>
        </w:rPr>
        <w:t xml:space="preserve">alt personal - un număr (linie) pentru 1,5-2,0 colaboratori; </w:t>
      </w:r>
    </w:p>
    <w:p w:rsidR="00515179" w:rsidRPr="00B52DD7" w:rsidRDefault="00515179" w:rsidP="00515179">
      <w:pPr>
        <w:pStyle w:val="NormalWeb"/>
        <w:rPr>
          <w:lang w:val="fr-FR"/>
        </w:rPr>
      </w:pPr>
      <w:r w:rsidRPr="00B52DD7">
        <w:rPr>
          <w:lang w:val="fr-FR"/>
        </w:rPr>
        <w:t xml:space="preserve">b) telefon/fax - suplimentar un număr (linie) pentru 25, 10 şi 25 colaboratori, respectiv; </w:t>
      </w:r>
    </w:p>
    <w:p w:rsidR="00515179" w:rsidRPr="00B52DD7" w:rsidRDefault="00515179" w:rsidP="00515179">
      <w:pPr>
        <w:pStyle w:val="NormalWeb"/>
        <w:rPr>
          <w:lang w:val="fr-FR"/>
        </w:rPr>
      </w:pPr>
      <w:r w:rsidRPr="00B52DD7">
        <w:rPr>
          <w:b/>
          <w:bCs/>
          <w:lang w:val="fr-FR"/>
        </w:rPr>
        <w:t>3)</w:t>
      </w:r>
      <w:r w:rsidRPr="00B52DD7">
        <w:rPr>
          <w:lang w:val="fr-FR"/>
        </w:rPr>
        <w:t xml:space="preserve"> pentru funcţionarii altor autorităţi administrative centrale de pe lîngă Guvern; </w:t>
      </w:r>
    </w:p>
    <w:p w:rsidR="00515179" w:rsidRPr="00B52DD7" w:rsidRDefault="00515179" w:rsidP="00515179">
      <w:pPr>
        <w:pStyle w:val="NormalWeb"/>
        <w:rPr>
          <w:lang w:val="fr-FR"/>
        </w:rPr>
      </w:pPr>
      <w:r w:rsidRPr="00B52DD7">
        <w:rPr>
          <w:lang w:val="fr-FR"/>
        </w:rPr>
        <w:t xml:space="preserve">a) telefon fix pentru: </w:t>
      </w:r>
    </w:p>
    <w:p w:rsidR="00515179" w:rsidRPr="00B52DD7" w:rsidRDefault="00515179" w:rsidP="00515179">
      <w:pPr>
        <w:pStyle w:val="NormalWeb"/>
        <w:rPr>
          <w:lang w:val="fr-FR"/>
        </w:rPr>
      </w:pPr>
      <w:r w:rsidRPr="00B52DD7">
        <w:rPr>
          <w:lang w:val="fr-FR"/>
        </w:rPr>
        <w:t xml:space="preserve">conducătorul autorităţii şi adjunctul lui - cîte un număr (linie) direct şi un număr (linie) în fiecare anticameră; </w:t>
      </w:r>
    </w:p>
    <w:p w:rsidR="00515179" w:rsidRPr="00B52DD7" w:rsidRDefault="00515179" w:rsidP="00515179">
      <w:pPr>
        <w:pStyle w:val="NormalWeb"/>
        <w:rPr>
          <w:lang w:val="fr-FR"/>
        </w:rPr>
      </w:pPr>
      <w:r w:rsidRPr="00B52DD7">
        <w:rPr>
          <w:lang w:val="fr-FR"/>
        </w:rPr>
        <w:t xml:space="preserve">alt personal - un număr (linie) pentru 2,0-2,5 colaboratori; </w:t>
      </w:r>
    </w:p>
    <w:p w:rsidR="00515179" w:rsidRPr="00B52DD7" w:rsidRDefault="00515179" w:rsidP="00515179">
      <w:pPr>
        <w:pStyle w:val="NormalWeb"/>
        <w:rPr>
          <w:lang w:val="fr-FR"/>
        </w:rPr>
      </w:pPr>
      <w:r w:rsidRPr="00B52DD7">
        <w:rPr>
          <w:lang w:val="fr-FR"/>
        </w:rPr>
        <w:t xml:space="preserve">b) telefon mobil - 1-2 numere (linie); </w:t>
      </w:r>
    </w:p>
    <w:p w:rsidR="00515179" w:rsidRPr="00B52DD7" w:rsidRDefault="00515179" w:rsidP="00515179">
      <w:pPr>
        <w:pStyle w:val="NormalWeb"/>
        <w:rPr>
          <w:lang w:val="fr-FR"/>
        </w:rPr>
      </w:pPr>
      <w:r w:rsidRPr="00B52DD7">
        <w:rPr>
          <w:lang w:val="fr-FR"/>
        </w:rPr>
        <w:t xml:space="preserve">c) telefon/fax - 1-2 numere (linie). </w:t>
      </w:r>
    </w:p>
    <w:p w:rsidR="00515179" w:rsidRPr="00B52DD7" w:rsidRDefault="00515179" w:rsidP="00515179">
      <w:pPr>
        <w:pStyle w:val="NormalWeb"/>
        <w:rPr>
          <w:lang w:val="fr-FR"/>
        </w:rPr>
      </w:pPr>
      <w:r w:rsidRPr="00B52DD7">
        <w:rPr>
          <w:b/>
          <w:bCs/>
          <w:lang w:val="fr-FR"/>
        </w:rPr>
        <w:t>4)</w:t>
      </w:r>
      <w:r w:rsidRPr="00B52DD7">
        <w:rPr>
          <w:lang w:val="fr-FR"/>
        </w:rPr>
        <w:t xml:space="preserve"> pentru funcţionarii din aparatul autorităţilor administraţiei publice din subordinea ministerelor, altor autorităţi centrale de specialitate şi serviciilor publice ale acestora desconcentrate în teritoriu: </w:t>
      </w:r>
    </w:p>
    <w:p w:rsidR="00515179" w:rsidRPr="00B52DD7" w:rsidRDefault="00515179" w:rsidP="00515179">
      <w:pPr>
        <w:pStyle w:val="NormalWeb"/>
        <w:rPr>
          <w:lang w:val="fr-FR"/>
        </w:rPr>
      </w:pPr>
      <w:r w:rsidRPr="00B52DD7">
        <w:rPr>
          <w:lang w:val="fr-FR"/>
        </w:rPr>
        <w:t xml:space="preserve">a) telefon fix pentru: </w:t>
      </w:r>
    </w:p>
    <w:p w:rsidR="00515179" w:rsidRPr="00B52DD7" w:rsidRDefault="00515179" w:rsidP="00515179">
      <w:pPr>
        <w:pStyle w:val="NormalWeb"/>
        <w:rPr>
          <w:lang w:val="fr-FR"/>
        </w:rPr>
      </w:pPr>
      <w:r w:rsidRPr="00B52DD7">
        <w:rPr>
          <w:lang w:val="fr-FR"/>
        </w:rPr>
        <w:t xml:space="preserve">conducătorul autorităţii şi adjunctul lui - cîte un număr (linie); </w:t>
      </w:r>
    </w:p>
    <w:p w:rsidR="00515179" w:rsidRPr="00B52DD7" w:rsidRDefault="00515179" w:rsidP="00515179">
      <w:pPr>
        <w:pStyle w:val="NormalWeb"/>
        <w:rPr>
          <w:lang w:val="fr-FR"/>
        </w:rPr>
      </w:pPr>
      <w:r w:rsidRPr="00B52DD7">
        <w:rPr>
          <w:lang w:val="fr-FR"/>
        </w:rPr>
        <w:t xml:space="preserve">alt personal - un număr (linie) pentru 2,5-3 colaboratori; </w:t>
      </w:r>
    </w:p>
    <w:p w:rsidR="00515179" w:rsidRPr="00B52DD7" w:rsidRDefault="00515179" w:rsidP="00515179">
      <w:pPr>
        <w:pStyle w:val="NormalWeb"/>
        <w:rPr>
          <w:lang w:val="fr-FR"/>
        </w:rPr>
      </w:pPr>
      <w:r w:rsidRPr="00B52DD7">
        <w:rPr>
          <w:lang w:val="fr-FR"/>
        </w:rPr>
        <w:t xml:space="preserve">b) telefon/fax - 1 număr (linie). </w:t>
      </w:r>
    </w:p>
    <w:p w:rsidR="00515179" w:rsidRPr="00B52DD7" w:rsidRDefault="00515179" w:rsidP="00515179">
      <w:pPr>
        <w:pStyle w:val="NormalWeb"/>
        <w:rPr>
          <w:lang w:val="fr-FR"/>
        </w:rPr>
      </w:pPr>
      <w:r w:rsidRPr="00B52DD7">
        <w:rPr>
          <w:lang w:val="fr-FR"/>
        </w:rPr>
        <w:t>În cadrul Serviciului Fiscal de Stat, Serviciului Vamal,</w:t>
      </w:r>
      <w:r w:rsidRPr="00B52DD7">
        <w:rPr>
          <w:sz w:val="28"/>
          <w:szCs w:val="28"/>
          <w:lang w:val="ro-RO"/>
        </w:rPr>
        <w:t xml:space="preserve"> </w:t>
      </w:r>
      <w:r w:rsidRPr="00B52DD7">
        <w:rPr>
          <w:lang w:val="fr-FR"/>
        </w:rPr>
        <w:t xml:space="preserve">luînd în considerare specificul activităţii, se instalează: </w:t>
      </w:r>
    </w:p>
    <w:p w:rsidR="00515179" w:rsidRPr="00B52DD7" w:rsidRDefault="00515179" w:rsidP="00515179">
      <w:pPr>
        <w:pStyle w:val="NormalWeb"/>
        <w:rPr>
          <w:lang w:val="fr-FR"/>
        </w:rPr>
      </w:pPr>
      <w:r w:rsidRPr="00B52DD7">
        <w:rPr>
          <w:lang w:val="fr-FR"/>
        </w:rPr>
        <w:t xml:space="preserve">a) telefon fix pentru: </w:t>
      </w:r>
    </w:p>
    <w:p w:rsidR="00515179" w:rsidRPr="00B52DD7" w:rsidRDefault="00515179" w:rsidP="00515179">
      <w:pPr>
        <w:pStyle w:val="NormalWeb"/>
        <w:rPr>
          <w:lang w:val="fr-FR"/>
        </w:rPr>
      </w:pPr>
      <w:r w:rsidRPr="00B52DD7">
        <w:rPr>
          <w:lang w:val="fr-FR"/>
        </w:rPr>
        <w:t xml:space="preserve">conducătorul şi adjuncţii lui - cîte un număr (linie) direct şi un număr (linie) în fiecare anticameră; </w:t>
      </w:r>
    </w:p>
    <w:p w:rsidR="00515179" w:rsidRPr="00B52DD7" w:rsidRDefault="00515179" w:rsidP="00515179">
      <w:pPr>
        <w:pStyle w:val="NormalWeb"/>
        <w:rPr>
          <w:lang w:val="fr-FR"/>
        </w:rPr>
      </w:pPr>
      <w:r w:rsidRPr="00B52DD7">
        <w:rPr>
          <w:lang w:val="fr-FR"/>
        </w:rPr>
        <w:t xml:space="preserve">pentru alt personal - un număr (linie) pentru 2,0-2,5 colaboratori; </w:t>
      </w:r>
    </w:p>
    <w:p w:rsidR="00515179" w:rsidRPr="00B52DD7" w:rsidRDefault="00515179" w:rsidP="00515179">
      <w:pPr>
        <w:pStyle w:val="NormalWeb"/>
        <w:rPr>
          <w:lang w:val="fr-FR"/>
        </w:rPr>
      </w:pPr>
      <w:r w:rsidRPr="00B52DD7">
        <w:rPr>
          <w:lang w:val="fr-FR"/>
        </w:rPr>
        <w:t xml:space="preserve">b) telefoane mobile - pentru şeful şi adjuncţii lui; </w:t>
      </w:r>
    </w:p>
    <w:p w:rsidR="00515179" w:rsidRPr="00B52DD7" w:rsidRDefault="00515179" w:rsidP="00515179">
      <w:pPr>
        <w:pStyle w:val="NormalWeb"/>
        <w:rPr>
          <w:lang w:val="fr-FR"/>
        </w:rPr>
      </w:pPr>
      <w:r w:rsidRPr="00B52DD7">
        <w:rPr>
          <w:lang w:val="fr-FR"/>
        </w:rPr>
        <w:t xml:space="preserve">c) telefon/fax - 1-2 numere (linie); </w:t>
      </w:r>
    </w:p>
    <w:p w:rsidR="00515179" w:rsidRPr="00B52DD7" w:rsidRDefault="00515179" w:rsidP="00515179">
      <w:pPr>
        <w:pStyle w:val="NormalWeb"/>
        <w:rPr>
          <w:lang w:val="fr-FR"/>
        </w:rPr>
      </w:pPr>
      <w:r w:rsidRPr="00B52DD7">
        <w:rPr>
          <w:lang w:val="fr-FR"/>
        </w:rPr>
        <w:t>Pentru colaboratorii Serviciului Vamal, îndeplinirea funcţiilor cărora este nemijlocit legată de deplasări permanente pe teritoriul republicii, pot fi prevăzute abonamente de telefoane mobile în limita de cel mult 70 de numere (linii).</w:t>
      </w:r>
    </w:p>
    <w:p w:rsidR="00515179" w:rsidRPr="00B52DD7" w:rsidRDefault="00515179" w:rsidP="00515179">
      <w:pPr>
        <w:pStyle w:val="NormalWeb"/>
        <w:rPr>
          <w:lang w:val="fr-FR"/>
        </w:rPr>
      </w:pPr>
      <w:r w:rsidRPr="00B52DD7">
        <w:rPr>
          <w:b/>
          <w:bCs/>
          <w:lang w:val="fr-FR"/>
        </w:rPr>
        <w:t>5)</w:t>
      </w:r>
      <w:r w:rsidRPr="00B52DD7">
        <w:rPr>
          <w:lang w:val="fr-FR"/>
        </w:rPr>
        <w:t xml:space="preserve"> pentru funcţionarii Curţii Constituţionale, Curţii Supreme de Justiţie, Procuraturii Generale şi Curţii de Apel: </w:t>
      </w:r>
    </w:p>
    <w:p w:rsidR="00515179" w:rsidRPr="00B52DD7" w:rsidRDefault="00515179" w:rsidP="00515179">
      <w:pPr>
        <w:pStyle w:val="NormalWeb"/>
        <w:rPr>
          <w:lang w:val="fr-FR"/>
        </w:rPr>
      </w:pPr>
      <w:r w:rsidRPr="00B52DD7">
        <w:rPr>
          <w:lang w:val="fr-FR"/>
        </w:rPr>
        <w:t xml:space="preserve">a) telefon fix pentru: </w:t>
      </w:r>
    </w:p>
    <w:p w:rsidR="00515179" w:rsidRPr="00B52DD7" w:rsidRDefault="00515179" w:rsidP="00515179">
      <w:pPr>
        <w:pStyle w:val="NormalWeb"/>
        <w:rPr>
          <w:lang w:val="fr-FR"/>
        </w:rPr>
      </w:pPr>
      <w:r w:rsidRPr="00B52DD7">
        <w:rPr>
          <w:lang w:val="fr-FR"/>
        </w:rPr>
        <w:lastRenderedPageBreak/>
        <w:t xml:space="preserve">conducătorul şi adjunctul lui - cîte un număr (linie) direct şi un număr (linie) în fiecare anticameră; </w:t>
      </w:r>
    </w:p>
    <w:p w:rsidR="00515179" w:rsidRPr="00B52DD7" w:rsidRDefault="00515179" w:rsidP="00515179">
      <w:pPr>
        <w:pStyle w:val="NormalWeb"/>
        <w:rPr>
          <w:lang w:val="fr-FR"/>
        </w:rPr>
      </w:pPr>
      <w:r w:rsidRPr="00B52DD7">
        <w:rPr>
          <w:lang w:val="fr-FR"/>
        </w:rPr>
        <w:t xml:space="preserve">alt personal - un număr (linie) pentru 2,0-2,5 colaboratori; </w:t>
      </w:r>
    </w:p>
    <w:p w:rsidR="00515179" w:rsidRPr="00B52DD7" w:rsidRDefault="00515179" w:rsidP="00515179">
      <w:pPr>
        <w:pStyle w:val="NormalWeb"/>
        <w:rPr>
          <w:lang w:val="en-US"/>
        </w:rPr>
      </w:pPr>
      <w:r w:rsidRPr="00B52DD7">
        <w:rPr>
          <w:lang w:val="en-US"/>
        </w:rPr>
        <w:t xml:space="preserve">b) telefon mobil - 1-3 numere (linie); </w:t>
      </w:r>
    </w:p>
    <w:p w:rsidR="00515179" w:rsidRPr="00B52DD7" w:rsidRDefault="00515179" w:rsidP="00515179">
      <w:pPr>
        <w:pStyle w:val="NormalWeb"/>
        <w:rPr>
          <w:lang w:val="en-US"/>
        </w:rPr>
      </w:pPr>
      <w:r w:rsidRPr="00B52DD7">
        <w:rPr>
          <w:lang w:val="en-US"/>
        </w:rPr>
        <w:t xml:space="preserve">c) telefon/fax - 1-3 numere (linie); </w:t>
      </w:r>
    </w:p>
    <w:p w:rsidR="00515179" w:rsidRPr="00B52DD7" w:rsidRDefault="00515179" w:rsidP="00515179">
      <w:pPr>
        <w:pStyle w:val="NormalWeb"/>
        <w:rPr>
          <w:sz w:val="28"/>
          <w:szCs w:val="28"/>
          <w:lang w:val="ro-RO"/>
        </w:rPr>
      </w:pPr>
      <w:r w:rsidRPr="00B52DD7">
        <w:rPr>
          <w:b/>
          <w:bCs/>
          <w:lang w:val="en-US"/>
        </w:rPr>
        <w:t>6)</w:t>
      </w:r>
      <w:r w:rsidRPr="00B52DD7">
        <w:rPr>
          <w:lang w:val="en-US"/>
        </w:rPr>
        <w:t xml:space="preserve"> pentru funcţionarii organelor procuraturilor specializate, procuraturilor teritoriale și judecătoriilor:</w:t>
      </w:r>
    </w:p>
    <w:p w:rsidR="00515179" w:rsidRPr="00B52DD7" w:rsidRDefault="00515179" w:rsidP="00515179">
      <w:pPr>
        <w:pStyle w:val="NormalWeb"/>
        <w:rPr>
          <w:lang w:val="fr-FR"/>
        </w:rPr>
      </w:pPr>
      <w:r w:rsidRPr="00B52DD7">
        <w:rPr>
          <w:lang w:val="fr-FR"/>
        </w:rPr>
        <w:t xml:space="preserve">a) telefon fix pentru: </w:t>
      </w:r>
    </w:p>
    <w:p w:rsidR="00515179" w:rsidRPr="00B52DD7" w:rsidRDefault="00515179" w:rsidP="00515179">
      <w:pPr>
        <w:pStyle w:val="NormalWeb"/>
        <w:rPr>
          <w:lang w:val="fr-FR"/>
        </w:rPr>
      </w:pPr>
      <w:r w:rsidRPr="00B52DD7">
        <w:rPr>
          <w:lang w:val="fr-FR"/>
        </w:rPr>
        <w:t xml:space="preserve">conducătorul organului şi adjunctul lui - cîte un număr (linie) direct şi un număr (linie) în fiecare anticameră; </w:t>
      </w:r>
    </w:p>
    <w:p w:rsidR="00515179" w:rsidRPr="00B52DD7" w:rsidRDefault="00515179" w:rsidP="00515179">
      <w:pPr>
        <w:pStyle w:val="NormalWeb"/>
        <w:rPr>
          <w:lang w:val="fr-FR"/>
        </w:rPr>
      </w:pPr>
      <w:r w:rsidRPr="00B52DD7">
        <w:rPr>
          <w:lang w:val="fr-FR"/>
        </w:rPr>
        <w:t xml:space="preserve">alt personal - un număr (linie) pentru 2,0-2,5 colaboratori; </w:t>
      </w:r>
    </w:p>
    <w:p w:rsidR="00515179" w:rsidRPr="00B52DD7" w:rsidRDefault="00515179" w:rsidP="00515179">
      <w:pPr>
        <w:pStyle w:val="NormalWeb"/>
        <w:rPr>
          <w:lang w:val="fr-FR"/>
        </w:rPr>
      </w:pPr>
      <w:r w:rsidRPr="00B52DD7">
        <w:rPr>
          <w:lang w:val="fr-FR"/>
        </w:rPr>
        <w:t xml:space="preserve">b) telefon mobil - un număr (linie); </w:t>
      </w:r>
    </w:p>
    <w:p w:rsidR="00515179" w:rsidRPr="00B52DD7" w:rsidRDefault="00515179" w:rsidP="00515179">
      <w:pPr>
        <w:pStyle w:val="NormalWeb"/>
        <w:rPr>
          <w:lang w:val="fr-FR"/>
        </w:rPr>
      </w:pPr>
      <w:r w:rsidRPr="00B52DD7">
        <w:rPr>
          <w:lang w:val="fr-FR"/>
        </w:rPr>
        <w:t xml:space="preserve">c) telefon/fax - 1-2 numere (linie); </w:t>
      </w:r>
    </w:p>
    <w:p w:rsidR="00515179" w:rsidRPr="00B52DD7" w:rsidRDefault="00515179" w:rsidP="00515179">
      <w:pPr>
        <w:pStyle w:val="NormalWeb"/>
        <w:rPr>
          <w:lang w:val="fr-FR"/>
        </w:rPr>
      </w:pPr>
      <w:r w:rsidRPr="00B52DD7">
        <w:rPr>
          <w:b/>
          <w:bCs/>
          <w:lang w:val="fr-FR"/>
        </w:rPr>
        <w:t>7)</w:t>
      </w:r>
      <w:r w:rsidRPr="00B52DD7">
        <w:rPr>
          <w:lang w:val="fr-FR"/>
        </w:rPr>
        <w:t xml:space="preserve"> pentru funcţionarii oficiilor teritoriale ale Cancelariei de Stat: </w:t>
      </w:r>
    </w:p>
    <w:p w:rsidR="00515179" w:rsidRPr="00B52DD7" w:rsidRDefault="00515179" w:rsidP="00515179">
      <w:pPr>
        <w:pStyle w:val="NormalWeb"/>
        <w:rPr>
          <w:lang w:val="fr-FR"/>
        </w:rPr>
      </w:pPr>
      <w:r w:rsidRPr="00B52DD7">
        <w:rPr>
          <w:lang w:val="fr-FR"/>
        </w:rPr>
        <w:t xml:space="preserve">a) telefon fix pentru: </w:t>
      </w:r>
    </w:p>
    <w:p w:rsidR="00515179" w:rsidRPr="00B52DD7" w:rsidRDefault="00515179" w:rsidP="00515179">
      <w:pPr>
        <w:pStyle w:val="NormalWeb"/>
        <w:rPr>
          <w:lang w:val="fr-FR"/>
        </w:rPr>
      </w:pPr>
      <w:r w:rsidRPr="00B52DD7">
        <w:rPr>
          <w:lang w:val="fr-FR"/>
        </w:rPr>
        <w:t xml:space="preserve">şeful oficiului - un număr (linie) direct şi un număr (linie) în anticameră; </w:t>
      </w:r>
    </w:p>
    <w:p w:rsidR="00515179" w:rsidRPr="00B52DD7" w:rsidRDefault="00515179" w:rsidP="00515179">
      <w:pPr>
        <w:pStyle w:val="NormalWeb"/>
        <w:rPr>
          <w:lang w:val="fr-FR"/>
        </w:rPr>
      </w:pPr>
      <w:r w:rsidRPr="00B52DD7">
        <w:rPr>
          <w:lang w:val="fr-FR"/>
        </w:rPr>
        <w:t xml:space="preserve">alt personal - un număr (linie) pentru 2,0 colaboratori; </w:t>
      </w:r>
    </w:p>
    <w:p w:rsidR="00515179" w:rsidRPr="00B52DD7" w:rsidRDefault="00515179" w:rsidP="00515179">
      <w:pPr>
        <w:pStyle w:val="NormalWeb"/>
        <w:rPr>
          <w:lang w:val="fr-FR"/>
        </w:rPr>
      </w:pPr>
      <w:r w:rsidRPr="00B52DD7">
        <w:rPr>
          <w:lang w:val="fr-FR"/>
        </w:rPr>
        <w:t xml:space="preserve">b) telefon/fax - 1-2 numere (linie); </w:t>
      </w:r>
    </w:p>
    <w:p w:rsidR="00515179" w:rsidRPr="00B52DD7" w:rsidRDefault="00515179" w:rsidP="00515179">
      <w:pPr>
        <w:pStyle w:val="NormalWeb"/>
        <w:rPr>
          <w:lang w:val="fr-FR"/>
        </w:rPr>
      </w:pPr>
      <w:r w:rsidRPr="00B52DD7">
        <w:rPr>
          <w:lang w:val="fr-FR"/>
        </w:rPr>
        <w:t> </w:t>
      </w:r>
      <w:r w:rsidR="008615C9" w:rsidRPr="00B52DD7">
        <w:rPr>
          <w:b/>
          <w:bCs/>
          <w:lang w:val="fr-FR"/>
        </w:rPr>
        <w:t>8)</w:t>
      </w:r>
      <w:r w:rsidR="00875244" w:rsidRPr="00B52DD7">
        <w:rPr>
          <w:lang w:val="fr-FR"/>
        </w:rPr>
        <w:t xml:space="preserve"> ț</w:t>
      </w:r>
      <w:r w:rsidRPr="00B52DD7">
        <w:rPr>
          <w:lang w:val="fr-FR"/>
        </w:rPr>
        <w:t xml:space="preserve">inînd cont de specificul activităţii Agentului Guvernamental, Direcției agent guvernamental și Direcției relații internaționale și tratate din cadrul Ministerului Justiţiei, poate fi stabilit: </w:t>
      </w:r>
    </w:p>
    <w:p w:rsidR="00515179" w:rsidRPr="00B52DD7" w:rsidRDefault="00515179" w:rsidP="00515179">
      <w:pPr>
        <w:pStyle w:val="NormalWeb"/>
        <w:rPr>
          <w:lang w:val="fr-FR"/>
        </w:rPr>
      </w:pPr>
      <w:r w:rsidRPr="00B52DD7">
        <w:rPr>
          <w:lang w:val="fr-FR"/>
        </w:rPr>
        <w:t xml:space="preserve">a) telefon fix pentru: </w:t>
      </w:r>
    </w:p>
    <w:p w:rsidR="00515179" w:rsidRPr="00B52DD7" w:rsidRDefault="00515179" w:rsidP="00515179">
      <w:pPr>
        <w:pStyle w:val="NormalWeb"/>
        <w:rPr>
          <w:lang w:val="fr-FR"/>
        </w:rPr>
      </w:pPr>
      <w:r w:rsidRPr="00B52DD7">
        <w:rPr>
          <w:lang w:val="fr-FR"/>
        </w:rPr>
        <w:t xml:space="preserve">şeful direcţiei agent guvernamental - cîte un număr (linie) direct; </w:t>
      </w:r>
    </w:p>
    <w:p w:rsidR="00515179" w:rsidRPr="00B52DD7" w:rsidRDefault="00515179" w:rsidP="00515179">
      <w:pPr>
        <w:pStyle w:val="NormalWeb"/>
        <w:rPr>
          <w:lang w:val="fr-FR"/>
        </w:rPr>
      </w:pPr>
      <w:r w:rsidRPr="00B52DD7">
        <w:rPr>
          <w:lang w:val="fr-FR"/>
        </w:rPr>
        <w:t xml:space="preserve">alt personal - un număr (linie) pentru 1,5-2,0 colaboratori; </w:t>
      </w:r>
    </w:p>
    <w:p w:rsidR="00515179" w:rsidRPr="00B52DD7" w:rsidRDefault="00515179" w:rsidP="00515179">
      <w:pPr>
        <w:pStyle w:val="NormalWeb"/>
        <w:rPr>
          <w:lang w:val="fr-FR"/>
        </w:rPr>
      </w:pPr>
      <w:r w:rsidRPr="00B52DD7">
        <w:rPr>
          <w:lang w:val="fr-FR"/>
        </w:rPr>
        <w:t>b) telefon/fax - cîte un număr pentru Agentul Guvernamental şi şeful Direcției relații internaționale și tratate.</w:t>
      </w:r>
    </w:p>
    <w:p w:rsidR="00AE78FD" w:rsidRPr="00B52DD7" w:rsidRDefault="00920E21" w:rsidP="00B16116">
      <w:pPr>
        <w:pStyle w:val="NormalWeb"/>
        <w:rPr>
          <w:lang w:val="fr-FR"/>
        </w:rPr>
      </w:pPr>
      <w:r w:rsidRPr="00B52DD7">
        <w:rPr>
          <w:b/>
          <w:bCs/>
          <w:lang w:val="fr-FR"/>
        </w:rPr>
        <w:t xml:space="preserve">9) </w:t>
      </w:r>
      <w:r w:rsidR="00E4242F" w:rsidRPr="00B52DD7">
        <w:rPr>
          <w:bCs/>
          <w:lang w:val="fr-FR"/>
        </w:rPr>
        <w:t>a</w:t>
      </w:r>
      <w:r w:rsidR="00515179" w:rsidRPr="00B52DD7">
        <w:rPr>
          <w:lang w:val="fr-FR"/>
        </w:rPr>
        <w:t xml:space="preserve">vînd în vedere specificul activităţii Ministerului Apărării şi al Armatei Naţionale, la decizia ministrului apărării, în coordonare cu Ministerul Finanţelor, pot fi stabilite alte normative privind numărul liniilor de telefoane mobile, în limita mijloacelor alocate. </w:t>
      </w:r>
      <w:r w:rsidR="00625B97" w:rsidRPr="00B52DD7">
        <w:rPr>
          <w:lang w:val="fr-FR"/>
        </w:rPr>
        <w:t>”</w:t>
      </w:r>
    </w:p>
    <w:p w:rsidR="00625B97" w:rsidRPr="00B52DD7" w:rsidRDefault="00625B97" w:rsidP="000F17C5">
      <w:pPr>
        <w:pStyle w:val="tt"/>
        <w:spacing w:before="0" w:beforeAutospacing="0" w:after="0" w:afterAutospacing="0"/>
        <w:jc w:val="both"/>
        <w:rPr>
          <w:rFonts w:eastAsiaTheme="minorEastAsia"/>
          <w:lang w:val="fr-FR"/>
        </w:rPr>
      </w:pPr>
    </w:p>
    <w:p w:rsidR="00F35290" w:rsidRPr="00B52DD7" w:rsidRDefault="00F35290" w:rsidP="006A52C8">
      <w:pPr>
        <w:pStyle w:val="tt"/>
        <w:numPr>
          <w:ilvl w:val="0"/>
          <w:numId w:val="5"/>
        </w:numPr>
        <w:spacing w:before="0" w:beforeAutospacing="0" w:after="0" w:afterAutospacing="0"/>
        <w:ind w:left="0" w:firstLine="0"/>
        <w:jc w:val="both"/>
        <w:rPr>
          <w:rFonts w:eastAsiaTheme="minorEastAsia"/>
          <w:sz w:val="28"/>
          <w:szCs w:val="28"/>
          <w:lang w:val="ro-RO"/>
        </w:rPr>
      </w:pPr>
      <w:r w:rsidRPr="00B52DD7">
        <w:rPr>
          <w:rFonts w:eastAsiaTheme="minorEastAsia"/>
          <w:sz w:val="28"/>
          <w:szCs w:val="28"/>
          <w:lang w:val="ro-RO"/>
        </w:rPr>
        <w:t>Hotărîrea Guvernului nr. 1</w:t>
      </w:r>
      <w:r w:rsidR="00FA6D40" w:rsidRPr="00B52DD7">
        <w:rPr>
          <w:rFonts w:eastAsiaTheme="minorEastAsia"/>
          <w:sz w:val="28"/>
          <w:szCs w:val="28"/>
          <w:lang w:val="ro-RO"/>
        </w:rPr>
        <w:t>404</w:t>
      </w:r>
      <w:r w:rsidRPr="00B52DD7">
        <w:rPr>
          <w:rFonts w:eastAsiaTheme="minorEastAsia"/>
          <w:sz w:val="28"/>
          <w:szCs w:val="28"/>
          <w:lang w:val="ro-RO"/>
        </w:rPr>
        <w:t xml:space="preserve">  din  </w:t>
      </w:r>
      <w:r w:rsidR="00FA6D40" w:rsidRPr="00B52DD7">
        <w:rPr>
          <w:rFonts w:eastAsiaTheme="minorEastAsia"/>
          <w:sz w:val="28"/>
          <w:szCs w:val="28"/>
          <w:lang w:val="ro-RO"/>
        </w:rPr>
        <w:t>30</w:t>
      </w:r>
      <w:r w:rsidRPr="00B52DD7">
        <w:rPr>
          <w:rFonts w:eastAsiaTheme="minorEastAsia"/>
          <w:sz w:val="28"/>
          <w:szCs w:val="28"/>
          <w:lang w:val="ro-RO"/>
        </w:rPr>
        <w:t xml:space="preserve">.12.2005 </w:t>
      </w:r>
      <w:r w:rsidR="006A52C8" w:rsidRPr="00B52DD7">
        <w:rPr>
          <w:rFonts w:eastAsiaTheme="minorEastAsia"/>
          <w:sz w:val="28"/>
          <w:szCs w:val="28"/>
          <w:lang w:val="ro-RO"/>
        </w:rPr>
        <w:t>„P</w:t>
      </w:r>
      <w:r w:rsidRPr="00B52DD7">
        <w:rPr>
          <w:rFonts w:eastAsiaTheme="minorEastAsia"/>
          <w:sz w:val="28"/>
          <w:szCs w:val="28"/>
          <w:lang w:val="ro-RO"/>
        </w:rPr>
        <w:t>rivi</w:t>
      </w:r>
      <w:r w:rsidR="00FA6D40" w:rsidRPr="00B52DD7">
        <w:rPr>
          <w:rFonts w:eastAsiaTheme="minorEastAsia"/>
          <w:sz w:val="28"/>
          <w:szCs w:val="28"/>
          <w:lang w:val="ro-RO"/>
        </w:rPr>
        <w:t>nd reglementarea utilizării autoturismelor de serviciu de către autoritățile administrației publice</w:t>
      </w:r>
      <w:r w:rsidR="006A52C8" w:rsidRPr="00B52DD7">
        <w:rPr>
          <w:rFonts w:eastAsiaTheme="minorEastAsia"/>
          <w:sz w:val="28"/>
          <w:szCs w:val="28"/>
          <w:lang w:val="ro-RO"/>
        </w:rPr>
        <w:t>”</w:t>
      </w:r>
      <w:r w:rsidR="00FA6D40" w:rsidRPr="00B52DD7">
        <w:rPr>
          <w:rFonts w:eastAsiaTheme="minorEastAsia"/>
          <w:sz w:val="28"/>
          <w:szCs w:val="28"/>
          <w:lang w:val="ro-RO"/>
        </w:rPr>
        <w:t xml:space="preserve"> (Monitorul Oficial al Republicii Moldova</w:t>
      </w:r>
      <w:r w:rsidR="005C155C" w:rsidRPr="00B52DD7">
        <w:rPr>
          <w:rFonts w:eastAsiaTheme="minorEastAsia"/>
          <w:sz w:val="28"/>
          <w:szCs w:val="28"/>
          <w:lang w:val="ro-RO"/>
        </w:rPr>
        <w:t>, 2006</w:t>
      </w:r>
      <w:r w:rsidR="00806B3A" w:rsidRPr="00B52DD7">
        <w:rPr>
          <w:rFonts w:eastAsiaTheme="minorEastAsia"/>
          <w:sz w:val="28"/>
          <w:szCs w:val="28"/>
          <w:lang w:val="ro-RO"/>
        </w:rPr>
        <w:t>,</w:t>
      </w:r>
      <w:r w:rsidR="00FA6D40" w:rsidRPr="00B52DD7">
        <w:rPr>
          <w:rFonts w:eastAsiaTheme="minorEastAsia"/>
          <w:sz w:val="28"/>
          <w:szCs w:val="28"/>
          <w:lang w:val="ro-RO"/>
        </w:rPr>
        <w:t xml:space="preserve"> nr. 5-8</w:t>
      </w:r>
      <w:r w:rsidR="00806B3A" w:rsidRPr="00B52DD7">
        <w:rPr>
          <w:rFonts w:eastAsiaTheme="minorEastAsia"/>
          <w:sz w:val="28"/>
          <w:szCs w:val="28"/>
          <w:lang w:val="ro-RO"/>
        </w:rPr>
        <w:t>,</w:t>
      </w:r>
      <w:r w:rsidR="00FA6D40" w:rsidRPr="00B52DD7">
        <w:rPr>
          <w:rFonts w:eastAsiaTheme="minorEastAsia"/>
          <w:sz w:val="28"/>
          <w:szCs w:val="28"/>
          <w:lang w:val="ro-RO"/>
        </w:rPr>
        <w:t xml:space="preserve"> art.32) </w:t>
      </w:r>
      <w:r w:rsidRPr="00B52DD7">
        <w:rPr>
          <w:rFonts w:eastAsiaTheme="minorEastAsia"/>
          <w:sz w:val="28"/>
          <w:szCs w:val="28"/>
          <w:lang w:val="ro-RO"/>
        </w:rPr>
        <w:t xml:space="preserve">se modifică și se completează după cum urmează: </w:t>
      </w:r>
    </w:p>
    <w:p w:rsidR="00EE4E71" w:rsidRPr="00B52DD7" w:rsidRDefault="00EE4E71" w:rsidP="0080358F">
      <w:pPr>
        <w:pStyle w:val="tt"/>
        <w:spacing w:before="0" w:beforeAutospacing="0" w:after="0" w:afterAutospacing="0"/>
        <w:jc w:val="both"/>
        <w:rPr>
          <w:rFonts w:eastAsiaTheme="minorEastAsia"/>
          <w:sz w:val="28"/>
          <w:szCs w:val="28"/>
          <w:lang w:val="ro-RO"/>
        </w:rPr>
      </w:pPr>
    </w:p>
    <w:p w:rsidR="00F017B6" w:rsidRPr="00B52DD7" w:rsidRDefault="0080358F" w:rsidP="00623C5B">
      <w:pPr>
        <w:pStyle w:val="tt"/>
        <w:numPr>
          <w:ilvl w:val="1"/>
          <w:numId w:val="5"/>
        </w:numPr>
        <w:spacing w:before="0" w:beforeAutospacing="0" w:after="0" w:afterAutospacing="0"/>
        <w:jc w:val="both"/>
        <w:rPr>
          <w:rFonts w:eastAsiaTheme="minorEastAsia"/>
          <w:sz w:val="28"/>
          <w:szCs w:val="28"/>
          <w:lang w:val="ro-RO"/>
        </w:rPr>
      </w:pPr>
      <w:r w:rsidRPr="00B52DD7">
        <w:rPr>
          <w:rFonts w:eastAsiaTheme="minorEastAsia"/>
          <w:sz w:val="28"/>
          <w:szCs w:val="28"/>
          <w:lang w:val="ro-RO"/>
        </w:rPr>
        <w:t xml:space="preserve"> </w:t>
      </w:r>
      <w:r w:rsidR="007220BF" w:rsidRPr="00B52DD7">
        <w:rPr>
          <w:rFonts w:eastAsiaTheme="minorEastAsia"/>
          <w:sz w:val="28"/>
          <w:szCs w:val="28"/>
          <w:lang w:val="ro-RO"/>
        </w:rPr>
        <w:t>În p</w:t>
      </w:r>
      <w:r w:rsidR="00F017B6" w:rsidRPr="00B52DD7">
        <w:rPr>
          <w:sz w:val="28"/>
          <w:szCs w:val="28"/>
          <w:lang w:val="zh-CN"/>
        </w:rPr>
        <w:t xml:space="preserve">unctul </w:t>
      </w:r>
      <w:r w:rsidR="00F017B6" w:rsidRPr="00B52DD7">
        <w:rPr>
          <w:sz w:val="28"/>
          <w:szCs w:val="28"/>
          <w:lang w:val="ro-RO"/>
        </w:rPr>
        <w:t>6</w:t>
      </w:r>
      <w:r w:rsidR="00E948AE" w:rsidRPr="00B52DD7">
        <w:rPr>
          <w:sz w:val="28"/>
          <w:szCs w:val="28"/>
          <w:lang w:val="ro-RO"/>
        </w:rPr>
        <w:t>, cuvîntul „mijloacelor” se substituie prin cuvîntul „alocațiilor”</w:t>
      </w:r>
      <w:r w:rsidR="00A835FD" w:rsidRPr="00B52DD7">
        <w:rPr>
          <w:sz w:val="28"/>
          <w:szCs w:val="28"/>
          <w:lang w:val="ro-RO"/>
        </w:rPr>
        <w:t>;</w:t>
      </w:r>
    </w:p>
    <w:p w:rsidR="0002769C" w:rsidRPr="00B52DD7" w:rsidRDefault="00A835FD" w:rsidP="00623C5B">
      <w:pPr>
        <w:pStyle w:val="tt"/>
        <w:numPr>
          <w:ilvl w:val="1"/>
          <w:numId w:val="5"/>
        </w:numPr>
        <w:spacing w:before="0" w:beforeAutospacing="0" w:after="0" w:afterAutospacing="0"/>
        <w:jc w:val="both"/>
        <w:rPr>
          <w:rFonts w:eastAsiaTheme="minorEastAsia"/>
          <w:sz w:val="28"/>
          <w:szCs w:val="28"/>
          <w:lang w:val="ro-RO"/>
        </w:rPr>
      </w:pPr>
      <w:r w:rsidRPr="00B52DD7">
        <w:rPr>
          <w:rFonts w:eastAsiaTheme="minorEastAsia"/>
          <w:sz w:val="28"/>
          <w:szCs w:val="28"/>
          <w:lang w:val="ro-RO"/>
        </w:rPr>
        <w:t xml:space="preserve"> </w:t>
      </w:r>
      <w:r w:rsidR="00E74F47" w:rsidRPr="00B52DD7">
        <w:rPr>
          <w:rFonts w:eastAsiaTheme="minorEastAsia"/>
          <w:sz w:val="28"/>
          <w:szCs w:val="28"/>
          <w:lang w:val="ro-RO"/>
        </w:rPr>
        <w:t>Anexa nr.1 se expune în următoarea redacţie:</w:t>
      </w:r>
    </w:p>
    <w:p w:rsidR="00D1570C" w:rsidRPr="00B52DD7" w:rsidRDefault="00D1570C" w:rsidP="00D1570C">
      <w:pPr>
        <w:pStyle w:val="tt"/>
        <w:spacing w:before="0" w:beforeAutospacing="0" w:after="0" w:afterAutospacing="0"/>
        <w:ind w:left="1068"/>
        <w:jc w:val="both"/>
        <w:rPr>
          <w:rFonts w:eastAsiaTheme="minorEastAsia"/>
          <w:sz w:val="28"/>
          <w:szCs w:val="28"/>
          <w:lang w:val="ro-RO"/>
        </w:rPr>
      </w:pPr>
    </w:p>
    <w:p w:rsidR="00E74F47" w:rsidRPr="00623C5B" w:rsidRDefault="00E74F47" w:rsidP="009445E5">
      <w:pPr>
        <w:pStyle w:val="cb"/>
        <w:rPr>
          <w:lang w:val="fr-FR"/>
        </w:rPr>
      </w:pPr>
      <w:r w:rsidRPr="00B52DD7">
        <w:rPr>
          <w:lang w:val="fr-FR"/>
        </w:rPr>
        <w:t>„N</w:t>
      </w:r>
      <w:r w:rsidR="00623C5B" w:rsidRPr="00B52DD7">
        <w:rPr>
          <w:lang w:val="fr-FR"/>
        </w:rPr>
        <w:t xml:space="preserve">ormele de deservire </w:t>
      </w:r>
      <w:r w:rsidRPr="00B52DD7">
        <w:rPr>
          <w:lang w:val="fr-FR"/>
        </w:rPr>
        <w:t>cu transport de serviciu a conducătorilor ministerelor</w:t>
      </w:r>
      <w:r w:rsidR="009445E5" w:rsidRPr="00B52DD7">
        <w:rPr>
          <w:lang w:val="fr-FR"/>
        </w:rPr>
        <w:t xml:space="preserve"> </w:t>
      </w:r>
      <w:r w:rsidRPr="00B52DD7">
        <w:rPr>
          <w:lang w:val="fr-FR"/>
        </w:rPr>
        <w:t>şi autorităţilor administrative centrale</w:t>
      </w:r>
      <w:r w:rsidR="00402111">
        <w:rPr>
          <w:lang w:val="fr-FR"/>
        </w:rPr>
        <w:t>”</w:t>
      </w:r>
    </w:p>
    <w:p w:rsidR="00E74F47" w:rsidRDefault="00E74F47" w:rsidP="00E74F47">
      <w:pPr>
        <w:pStyle w:val="tt"/>
        <w:spacing w:before="0" w:beforeAutospacing="0" w:after="0" w:afterAutospacing="0"/>
        <w:ind w:firstLine="708"/>
        <w:jc w:val="center"/>
        <w:rPr>
          <w:rFonts w:eastAsiaTheme="minorEastAsia"/>
          <w:b/>
          <w:sz w:val="28"/>
          <w:szCs w:val="28"/>
          <w:lang w:val="ro-RO"/>
        </w:rPr>
      </w:pPr>
    </w:p>
    <w:tbl>
      <w:tblPr>
        <w:tblStyle w:val="TableGrid"/>
        <w:tblW w:w="9622" w:type="dxa"/>
        <w:tblLook w:val="04A0"/>
      </w:tblPr>
      <w:tblGrid>
        <w:gridCol w:w="675"/>
        <w:gridCol w:w="4536"/>
        <w:gridCol w:w="2977"/>
        <w:gridCol w:w="1434"/>
      </w:tblGrid>
      <w:tr w:rsidR="00E74F47" w:rsidRPr="00372857" w:rsidTr="003667DD">
        <w:tc>
          <w:tcPr>
            <w:tcW w:w="675" w:type="dxa"/>
          </w:tcPr>
          <w:p w:rsidR="00E74F47" w:rsidRPr="000755E2" w:rsidRDefault="00E74F47" w:rsidP="00E74F47">
            <w:pPr>
              <w:pStyle w:val="tt"/>
              <w:spacing w:before="0" w:beforeAutospacing="0" w:after="0" w:afterAutospacing="0"/>
              <w:jc w:val="center"/>
              <w:rPr>
                <w:rFonts w:eastAsiaTheme="minorEastAsia"/>
                <w:b/>
                <w:sz w:val="20"/>
                <w:szCs w:val="20"/>
                <w:lang w:val="ro-RO"/>
              </w:rPr>
            </w:pPr>
            <w:r w:rsidRPr="000755E2">
              <w:rPr>
                <w:rFonts w:eastAsiaTheme="minorEastAsia"/>
                <w:b/>
                <w:sz w:val="20"/>
                <w:szCs w:val="20"/>
                <w:lang w:val="ro-RO"/>
              </w:rPr>
              <w:t>Nr. d/o</w:t>
            </w:r>
          </w:p>
        </w:tc>
        <w:tc>
          <w:tcPr>
            <w:tcW w:w="4536" w:type="dxa"/>
          </w:tcPr>
          <w:p w:rsidR="00E74F47" w:rsidRPr="0018261F" w:rsidRDefault="00E74F47" w:rsidP="00E74F47">
            <w:pPr>
              <w:pStyle w:val="tt"/>
              <w:spacing w:before="0" w:beforeAutospacing="0" w:after="0" w:afterAutospacing="0"/>
              <w:jc w:val="center"/>
              <w:rPr>
                <w:rFonts w:eastAsiaTheme="minorEastAsia"/>
                <w:b/>
                <w:sz w:val="20"/>
                <w:szCs w:val="20"/>
                <w:lang w:val="ro-RO"/>
              </w:rPr>
            </w:pPr>
            <w:r w:rsidRPr="0018261F">
              <w:rPr>
                <w:rFonts w:eastAsiaTheme="minorEastAsia"/>
                <w:b/>
                <w:sz w:val="20"/>
                <w:szCs w:val="20"/>
                <w:lang w:val="ro-RO"/>
              </w:rPr>
              <w:t>Persoanele oficiale</w:t>
            </w:r>
          </w:p>
        </w:tc>
        <w:tc>
          <w:tcPr>
            <w:tcW w:w="2977" w:type="dxa"/>
          </w:tcPr>
          <w:p w:rsidR="00E74F47" w:rsidRPr="0018261F" w:rsidRDefault="00E74F47" w:rsidP="00E74F47">
            <w:pPr>
              <w:pStyle w:val="tt"/>
              <w:spacing w:before="0" w:beforeAutospacing="0" w:after="0" w:afterAutospacing="0"/>
              <w:jc w:val="center"/>
              <w:rPr>
                <w:rFonts w:eastAsiaTheme="minorEastAsia"/>
                <w:b/>
                <w:sz w:val="20"/>
                <w:szCs w:val="20"/>
                <w:lang w:val="ro-RO"/>
              </w:rPr>
            </w:pPr>
            <w:r w:rsidRPr="0018261F">
              <w:rPr>
                <w:rFonts w:eastAsiaTheme="minorEastAsia"/>
                <w:b/>
                <w:sz w:val="20"/>
                <w:szCs w:val="20"/>
                <w:lang w:val="ro-RO"/>
              </w:rPr>
              <w:t>Norma de deservire cu transport</w:t>
            </w:r>
          </w:p>
        </w:tc>
        <w:tc>
          <w:tcPr>
            <w:tcW w:w="1434" w:type="dxa"/>
          </w:tcPr>
          <w:p w:rsidR="00E74F47" w:rsidRPr="0018261F" w:rsidRDefault="00E74F47" w:rsidP="00E74F47">
            <w:pPr>
              <w:pStyle w:val="tt"/>
              <w:spacing w:before="0" w:beforeAutospacing="0" w:after="0" w:afterAutospacing="0"/>
              <w:jc w:val="center"/>
              <w:rPr>
                <w:rFonts w:eastAsiaTheme="minorEastAsia"/>
                <w:b/>
                <w:sz w:val="20"/>
                <w:szCs w:val="20"/>
                <w:lang w:val="ro-RO"/>
              </w:rPr>
            </w:pPr>
            <w:r w:rsidRPr="0018261F">
              <w:rPr>
                <w:rFonts w:eastAsiaTheme="minorEastAsia"/>
                <w:b/>
                <w:sz w:val="20"/>
                <w:szCs w:val="20"/>
                <w:lang w:val="ro-RO"/>
              </w:rPr>
              <w:t>Parcursul – limită anuală (mii km)</w:t>
            </w:r>
          </w:p>
        </w:tc>
      </w:tr>
      <w:tr w:rsidR="00E74F47" w:rsidRPr="0018261F" w:rsidTr="003667DD">
        <w:tc>
          <w:tcPr>
            <w:tcW w:w="675" w:type="dxa"/>
          </w:tcPr>
          <w:p w:rsidR="00E74F47" w:rsidRPr="000755E2" w:rsidRDefault="00296246" w:rsidP="00E74F47">
            <w:pPr>
              <w:pStyle w:val="tt"/>
              <w:spacing w:before="0" w:beforeAutospacing="0" w:after="0" w:afterAutospacing="0"/>
              <w:jc w:val="center"/>
              <w:rPr>
                <w:rFonts w:eastAsiaTheme="minorEastAsia"/>
                <w:sz w:val="20"/>
                <w:szCs w:val="20"/>
                <w:lang w:val="ro-RO"/>
              </w:rPr>
            </w:pPr>
            <w:r w:rsidRPr="000755E2">
              <w:rPr>
                <w:rFonts w:eastAsiaTheme="minorEastAsia"/>
                <w:sz w:val="20"/>
                <w:szCs w:val="20"/>
                <w:lang w:val="ro-RO"/>
              </w:rPr>
              <w:t>1.</w:t>
            </w:r>
          </w:p>
        </w:tc>
        <w:tc>
          <w:tcPr>
            <w:tcW w:w="4536" w:type="dxa"/>
          </w:tcPr>
          <w:p w:rsidR="00E74F47" w:rsidRPr="0018261F" w:rsidRDefault="00296246" w:rsidP="00296246">
            <w:pPr>
              <w:pStyle w:val="tt"/>
              <w:spacing w:before="0" w:beforeAutospacing="0" w:after="0" w:afterAutospacing="0"/>
              <w:rPr>
                <w:rFonts w:eastAsiaTheme="minorEastAsia"/>
                <w:sz w:val="20"/>
                <w:szCs w:val="20"/>
                <w:lang w:val="ro-RO"/>
              </w:rPr>
            </w:pPr>
            <w:r w:rsidRPr="0018261F">
              <w:rPr>
                <w:rFonts w:eastAsiaTheme="minorEastAsia"/>
                <w:sz w:val="20"/>
                <w:szCs w:val="20"/>
                <w:lang w:val="ro-RO"/>
              </w:rPr>
              <w:t>Prim-ministrul</w:t>
            </w:r>
          </w:p>
        </w:tc>
        <w:tc>
          <w:tcPr>
            <w:tcW w:w="2977" w:type="dxa"/>
          </w:tcPr>
          <w:p w:rsidR="001352CC" w:rsidRPr="0018261F" w:rsidRDefault="00296246" w:rsidP="003667DD">
            <w:pPr>
              <w:pStyle w:val="tt"/>
              <w:spacing w:before="0" w:beforeAutospacing="0" w:after="0" w:afterAutospacing="0"/>
              <w:rPr>
                <w:rFonts w:eastAsiaTheme="minorEastAsia"/>
                <w:sz w:val="20"/>
                <w:szCs w:val="20"/>
                <w:lang w:val="ro-RO"/>
              </w:rPr>
            </w:pPr>
            <w:r w:rsidRPr="0018261F">
              <w:rPr>
                <w:rFonts w:eastAsiaTheme="minorEastAsia"/>
                <w:sz w:val="20"/>
                <w:szCs w:val="20"/>
                <w:lang w:val="ro-RO"/>
              </w:rPr>
              <w:t>Trei automobile arondate</w:t>
            </w:r>
          </w:p>
        </w:tc>
        <w:tc>
          <w:tcPr>
            <w:tcW w:w="1434" w:type="dxa"/>
          </w:tcPr>
          <w:p w:rsidR="00E74F47" w:rsidRPr="0018261F" w:rsidRDefault="00296246" w:rsidP="00E74F47">
            <w:pPr>
              <w:pStyle w:val="tt"/>
              <w:spacing w:before="0" w:beforeAutospacing="0" w:after="0" w:afterAutospacing="0"/>
              <w:jc w:val="center"/>
              <w:rPr>
                <w:rFonts w:eastAsiaTheme="minorEastAsia"/>
                <w:sz w:val="20"/>
                <w:szCs w:val="20"/>
                <w:lang w:val="ro-RO"/>
              </w:rPr>
            </w:pPr>
            <w:r w:rsidRPr="0018261F">
              <w:rPr>
                <w:rFonts w:eastAsiaTheme="minorEastAsia"/>
                <w:sz w:val="20"/>
                <w:szCs w:val="20"/>
                <w:lang w:val="ro-RO"/>
              </w:rPr>
              <w:t>-</w:t>
            </w:r>
          </w:p>
        </w:tc>
      </w:tr>
      <w:tr w:rsidR="00E74F47" w:rsidRPr="0018261F" w:rsidTr="003667DD">
        <w:tc>
          <w:tcPr>
            <w:tcW w:w="675" w:type="dxa"/>
          </w:tcPr>
          <w:p w:rsidR="00E74F47" w:rsidRPr="000755E2" w:rsidRDefault="003667DD" w:rsidP="00E74F47">
            <w:pPr>
              <w:pStyle w:val="tt"/>
              <w:spacing w:before="0" w:beforeAutospacing="0" w:after="0" w:afterAutospacing="0"/>
              <w:jc w:val="center"/>
              <w:rPr>
                <w:rFonts w:eastAsiaTheme="minorEastAsia"/>
                <w:sz w:val="20"/>
                <w:szCs w:val="20"/>
                <w:lang w:val="ro-RO"/>
              </w:rPr>
            </w:pPr>
            <w:r w:rsidRPr="000755E2">
              <w:rPr>
                <w:rFonts w:eastAsiaTheme="minorEastAsia"/>
                <w:sz w:val="20"/>
                <w:szCs w:val="20"/>
                <w:lang w:val="ro-RO"/>
              </w:rPr>
              <w:t>2.</w:t>
            </w:r>
          </w:p>
        </w:tc>
        <w:tc>
          <w:tcPr>
            <w:tcW w:w="4536" w:type="dxa"/>
          </w:tcPr>
          <w:p w:rsidR="00E74F47" w:rsidRPr="0018261F" w:rsidRDefault="003667DD" w:rsidP="00296246">
            <w:pPr>
              <w:pStyle w:val="tt"/>
              <w:spacing w:before="0" w:beforeAutospacing="0" w:after="0" w:afterAutospacing="0"/>
              <w:rPr>
                <w:rFonts w:eastAsiaTheme="minorEastAsia"/>
                <w:sz w:val="20"/>
                <w:szCs w:val="20"/>
                <w:lang w:val="ro-RO"/>
              </w:rPr>
            </w:pPr>
            <w:r w:rsidRPr="0018261F">
              <w:rPr>
                <w:rFonts w:eastAsiaTheme="minorEastAsia"/>
                <w:sz w:val="20"/>
                <w:szCs w:val="20"/>
                <w:lang w:val="ro-RO"/>
              </w:rPr>
              <w:t>Viceprim-miniştrii</w:t>
            </w:r>
          </w:p>
        </w:tc>
        <w:tc>
          <w:tcPr>
            <w:tcW w:w="2977" w:type="dxa"/>
          </w:tcPr>
          <w:p w:rsidR="001352CC" w:rsidRPr="0018261F" w:rsidRDefault="003667DD" w:rsidP="003667DD">
            <w:pPr>
              <w:pStyle w:val="tt"/>
              <w:spacing w:before="0" w:beforeAutospacing="0" w:after="0" w:afterAutospacing="0"/>
              <w:rPr>
                <w:rFonts w:eastAsiaTheme="minorEastAsia"/>
                <w:sz w:val="20"/>
                <w:szCs w:val="20"/>
                <w:lang w:val="ro-RO"/>
              </w:rPr>
            </w:pPr>
            <w:r w:rsidRPr="0018261F">
              <w:rPr>
                <w:rFonts w:eastAsiaTheme="minorEastAsia"/>
                <w:sz w:val="20"/>
                <w:szCs w:val="20"/>
                <w:lang w:val="ro-RO"/>
              </w:rPr>
              <w:t>Două automobile arondate</w:t>
            </w:r>
          </w:p>
        </w:tc>
        <w:tc>
          <w:tcPr>
            <w:tcW w:w="1434" w:type="dxa"/>
          </w:tcPr>
          <w:p w:rsidR="00E74F47" w:rsidRPr="0018261F" w:rsidRDefault="003667DD" w:rsidP="00E74F47">
            <w:pPr>
              <w:pStyle w:val="tt"/>
              <w:spacing w:before="0" w:beforeAutospacing="0" w:after="0" w:afterAutospacing="0"/>
              <w:jc w:val="center"/>
              <w:rPr>
                <w:rFonts w:eastAsiaTheme="minorEastAsia"/>
                <w:sz w:val="20"/>
                <w:szCs w:val="20"/>
                <w:lang w:val="ro-RO"/>
              </w:rPr>
            </w:pPr>
            <w:r w:rsidRPr="0018261F">
              <w:rPr>
                <w:rFonts w:eastAsiaTheme="minorEastAsia"/>
                <w:sz w:val="20"/>
                <w:szCs w:val="20"/>
                <w:lang w:val="ro-RO"/>
              </w:rPr>
              <w:t>-</w:t>
            </w:r>
          </w:p>
        </w:tc>
      </w:tr>
      <w:tr w:rsidR="00F74A0E" w:rsidRPr="0018261F" w:rsidTr="003667DD">
        <w:tc>
          <w:tcPr>
            <w:tcW w:w="675" w:type="dxa"/>
          </w:tcPr>
          <w:p w:rsidR="00F74A0E" w:rsidRPr="000755E2" w:rsidRDefault="0007014F" w:rsidP="00E74F47">
            <w:pPr>
              <w:pStyle w:val="tt"/>
              <w:spacing w:before="0" w:beforeAutospacing="0" w:after="0" w:afterAutospacing="0"/>
              <w:jc w:val="center"/>
              <w:rPr>
                <w:rFonts w:eastAsiaTheme="minorEastAsia"/>
                <w:sz w:val="20"/>
                <w:szCs w:val="20"/>
                <w:lang w:val="ro-RO"/>
              </w:rPr>
            </w:pPr>
            <w:r w:rsidRPr="000755E2">
              <w:rPr>
                <w:rFonts w:eastAsiaTheme="minorEastAsia"/>
                <w:sz w:val="20"/>
                <w:szCs w:val="20"/>
                <w:lang w:val="ro-RO"/>
              </w:rPr>
              <w:t>3</w:t>
            </w:r>
            <w:r w:rsidR="00F74A0E" w:rsidRPr="000755E2">
              <w:rPr>
                <w:rFonts w:eastAsiaTheme="minorEastAsia"/>
                <w:sz w:val="20"/>
                <w:szCs w:val="20"/>
                <w:lang w:val="ro-RO"/>
              </w:rPr>
              <w:t>.</w:t>
            </w:r>
          </w:p>
        </w:tc>
        <w:tc>
          <w:tcPr>
            <w:tcW w:w="4536" w:type="dxa"/>
          </w:tcPr>
          <w:p w:rsidR="00BA2FBF" w:rsidRDefault="00F74A0E" w:rsidP="0007014F">
            <w:pPr>
              <w:pStyle w:val="tt"/>
              <w:spacing w:before="0" w:beforeAutospacing="0" w:after="0" w:afterAutospacing="0"/>
              <w:rPr>
                <w:rFonts w:eastAsiaTheme="minorEastAsia"/>
                <w:color w:val="FF0000"/>
                <w:sz w:val="20"/>
                <w:szCs w:val="20"/>
                <w:lang w:val="ro-RO"/>
              </w:rPr>
            </w:pPr>
            <w:r w:rsidRPr="00B23A23">
              <w:rPr>
                <w:rFonts w:eastAsiaTheme="minorEastAsia"/>
                <w:sz w:val="20"/>
                <w:szCs w:val="20"/>
                <w:lang w:val="ro-RO"/>
              </w:rPr>
              <w:t>Miniştrii, secretarul</w:t>
            </w:r>
            <w:r w:rsidRPr="0018261F">
              <w:rPr>
                <w:rFonts w:eastAsiaTheme="minorEastAsia"/>
                <w:sz w:val="20"/>
                <w:szCs w:val="20"/>
                <w:lang w:val="ro-RO"/>
              </w:rPr>
              <w:t xml:space="preserve"> general </w:t>
            </w:r>
            <w:r w:rsidR="00C70BDA" w:rsidRPr="0018261F">
              <w:rPr>
                <w:rFonts w:eastAsiaTheme="minorEastAsia"/>
                <w:sz w:val="20"/>
                <w:szCs w:val="20"/>
                <w:lang w:val="ro-RO"/>
              </w:rPr>
              <w:t xml:space="preserve">al Aparatului Preşedintelui Republicii Moldova, </w:t>
            </w:r>
            <w:r w:rsidR="00627056" w:rsidRPr="0018261F">
              <w:rPr>
                <w:rFonts w:eastAsiaTheme="minorEastAsia"/>
                <w:sz w:val="20"/>
                <w:szCs w:val="20"/>
                <w:lang w:val="ro-RO"/>
              </w:rPr>
              <w:t>secretarul general al Guvernului, preşedintele Curţii Constituţionale</w:t>
            </w:r>
            <w:r w:rsidR="0007014F" w:rsidRPr="0018261F">
              <w:rPr>
                <w:rFonts w:eastAsiaTheme="minorEastAsia"/>
                <w:sz w:val="20"/>
                <w:szCs w:val="20"/>
                <w:lang w:val="ro-RO"/>
              </w:rPr>
              <w:t>,</w:t>
            </w:r>
            <w:r w:rsidR="00627056" w:rsidRPr="0018261F">
              <w:rPr>
                <w:rFonts w:eastAsiaTheme="minorEastAsia"/>
                <w:sz w:val="20"/>
                <w:szCs w:val="20"/>
                <w:lang w:val="ro-RO"/>
              </w:rPr>
              <w:t xml:space="preserve"> preşedintele Curţii Supreme de Justiţie</w:t>
            </w:r>
            <w:r w:rsidR="0007014F" w:rsidRPr="00BA2FBF">
              <w:rPr>
                <w:rFonts w:eastAsiaTheme="minorEastAsia"/>
                <w:sz w:val="20"/>
                <w:szCs w:val="20"/>
                <w:lang w:val="ro-RO"/>
              </w:rPr>
              <w:t>,</w:t>
            </w:r>
            <w:r w:rsidR="00BA2FBF" w:rsidRPr="00BA2FBF">
              <w:rPr>
                <w:rFonts w:eastAsiaTheme="minorEastAsia"/>
                <w:sz w:val="20"/>
                <w:szCs w:val="20"/>
                <w:lang w:val="ro-RO"/>
              </w:rPr>
              <w:t xml:space="preserve"> </w:t>
            </w:r>
            <w:r w:rsidR="00BA2FBF" w:rsidRPr="00BA2FBF">
              <w:rPr>
                <w:rFonts w:eastAsiaTheme="minorEastAsia"/>
                <w:color w:val="FF0000"/>
                <w:sz w:val="20"/>
                <w:szCs w:val="20"/>
                <w:lang w:val="ro-RO"/>
              </w:rPr>
              <w:t xml:space="preserve">preşedinţii </w:t>
            </w:r>
          </w:p>
          <w:p w:rsidR="00CA05D1" w:rsidRPr="001352CC" w:rsidRDefault="00BA2FBF" w:rsidP="0007014F">
            <w:pPr>
              <w:pStyle w:val="tt"/>
              <w:spacing w:before="0" w:beforeAutospacing="0" w:after="0" w:afterAutospacing="0"/>
              <w:rPr>
                <w:rFonts w:eastAsiaTheme="minorEastAsia"/>
                <w:color w:val="FF0000"/>
                <w:sz w:val="20"/>
                <w:szCs w:val="20"/>
                <w:lang w:val="ro-RO"/>
              </w:rPr>
            </w:pPr>
            <w:r w:rsidRPr="00BA2FBF">
              <w:rPr>
                <w:rFonts w:eastAsiaTheme="minorEastAsia"/>
                <w:color w:val="FF0000"/>
                <w:sz w:val="20"/>
                <w:szCs w:val="20"/>
                <w:lang w:val="ro-RO"/>
              </w:rPr>
              <w:t>curţilor de apel</w:t>
            </w:r>
          </w:p>
        </w:tc>
        <w:tc>
          <w:tcPr>
            <w:tcW w:w="2977" w:type="dxa"/>
          </w:tcPr>
          <w:p w:rsidR="00F74A0E" w:rsidRPr="0018261F" w:rsidRDefault="00C57BB2" w:rsidP="003667DD">
            <w:pPr>
              <w:pStyle w:val="tt"/>
              <w:spacing w:before="0" w:beforeAutospacing="0" w:after="0" w:afterAutospacing="0"/>
              <w:rPr>
                <w:rFonts w:eastAsiaTheme="minorEastAsia"/>
                <w:sz w:val="20"/>
                <w:szCs w:val="20"/>
                <w:lang w:val="ro-RO"/>
              </w:rPr>
            </w:pPr>
            <w:r w:rsidRPr="0018261F">
              <w:rPr>
                <w:rFonts w:eastAsiaTheme="minorEastAsia"/>
                <w:sz w:val="20"/>
                <w:szCs w:val="20"/>
                <w:lang w:val="ro-RO"/>
              </w:rPr>
              <w:t>Automobile arondate (sau aflate la balanţa instituţiei)</w:t>
            </w:r>
          </w:p>
        </w:tc>
        <w:tc>
          <w:tcPr>
            <w:tcW w:w="1434" w:type="dxa"/>
          </w:tcPr>
          <w:p w:rsidR="00F74A0E" w:rsidRPr="0018261F" w:rsidRDefault="0007014F" w:rsidP="00E74F47">
            <w:pPr>
              <w:pStyle w:val="tt"/>
              <w:spacing w:before="0" w:beforeAutospacing="0" w:after="0" w:afterAutospacing="0"/>
              <w:jc w:val="center"/>
              <w:rPr>
                <w:rFonts w:eastAsiaTheme="minorEastAsia"/>
                <w:sz w:val="20"/>
                <w:szCs w:val="20"/>
                <w:lang w:val="ro-RO"/>
              </w:rPr>
            </w:pPr>
            <w:r w:rsidRPr="0018261F">
              <w:rPr>
                <w:rFonts w:eastAsiaTheme="minorEastAsia"/>
                <w:sz w:val="20"/>
                <w:szCs w:val="20"/>
                <w:lang w:val="ro-RO"/>
              </w:rPr>
              <w:t>3</w:t>
            </w:r>
            <w:r w:rsidR="00C70BDA" w:rsidRPr="0018261F">
              <w:rPr>
                <w:rFonts w:eastAsiaTheme="minorEastAsia"/>
                <w:sz w:val="20"/>
                <w:szCs w:val="20"/>
                <w:lang w:val="ro-RO"/>
              </w:rPr>
              <w:t>2</w:t>
            </w:r>
          </w:p>
        </w:tc>
      </w:tr>
      <w:tr w:rsidR="00C70BDA" w:rsidRPr="0018261F" w:rsidTr="003667DD">
        <w:tc>
          <w:tcPr>
            <w:tcW w:w="675" w:type="dxa"/>
          </w:tcPr>
          <w:p w:rsidR="00C70BDA" w:rsidRPr="000755E2" w:rsidRDefault="0007014F" w:rsidP="00E74F47">
            <w:pPr>
              <w:pStyle w:val="tt"/>
              <w:spacing w:before="0" w:beforeAutospacing="0" w:after="0" w:afterAutospacing="0"/>
              <w:jc w:val="center"/>
              <w:rPr>
                <w:rFonts w:eastAsiaTheme="minorEastAsia"/>
                <w:sz w:val="20"/>
                <w:szCs w:val="20"/>
                <w:lang w:val="ro-RO"/>
              </w:rPr>
            </w:pPr>
            <w:r w:rsidRPr="000755E2">
              <w:rPr>
                <w:rFonts w:eastAsiaTheme="minorEastAsia"/>
                <w:sz w:val="20"/>
                <w:szCs w:val="20"/>
                <w:lang w:val="ro-RO"/>
              </w:rPr>
              <w:t>4</w:t>
            </w:r>
            <w:r w:rsidR="00C70BDA" w:rsidRPr="000755E2">
              <w:rPr>
                <w:rFonts w:eastAsiaTheme="minorEastAsia"/>
                <w:sz w:val="20"/>
                <w:szCs w:val="20"/>
                <w:lang w:val="ro-RO"/>
              </w:rPr>
              <w:t>.</w:t>
            </w:r>
          </w:p>
        </w:tc>
        <w:tc>
          <w:tcPr>
            <w:tcW w:w="4536" w:type="dxa"/>
          </w:tcPr>
          <w:p w:rsidR="00904A17" w:rsidRDefault="00627056" w:rsidP="00627056">
            <w:pPr>
              <w:pStyle w:val="tt"/>
              <w:spacing w:before="0" w:beforeAutospacing="0" w:after="0" w:afterAutospacing="0"/>
              <w:rPr>
                <w:rFonts w:eastAsiaTheme="minorEastAsia"/>
                <w:sz w:val="20"/>
                <w:szCs w:val="20"/>
                <w:lang w:val="ro-RO"/>
              </w:rPr>
            </w:pPr>
            <w:r w:rsidRPr="0018261F">
              <w:rPr>
                <w:rFonts w:eastAsiaTheme="minorEastAsia"/>
                <w:sz w:val="20"/>
                <w:szCs w:val="20"/>
                <w:lang w:val="ro-RO"/>
              </w:rPr>
              <w:t>Secretarul general adjunct al</w:t>
            </w:r>
            <w:r w:rsidR="00C70BDA" w:rsidRPr="0018261F">
              <w:rPr>
                <w:rFonts w:eastAsiaTheme="minorEastAsia"/>
                <w:sz w:val="20"/>
                <w:szCs w:val="20"/>
                <w:lang w:val="ro-RO"/>
              </w:rPr>
              <w:t xml:space="preserve"> Aparatului Preşedintelui Republicii Moldova, secretarii generali adjuncţi ai Guvernului, consilierii prezidenţiali şi consilierii </w:t>
            </w:r>
            <w:r w:rsidR="00C70BDA" w:rsidRPr="0018261F">
              <w:rPr>
                <w:rFonts w:eastAsiaTheme="minorEastAsia"/>
                <w:sz w:val="20"/>
                <w:szCs w:val="20"/>
                <w:lang w:val="ro-RO"/>
              </w:rPr>
              <w:lastRenderedPageBreak/>
              <w:t>principali de stat ai Prim-ministrului, şeful serviciului de presă – purtătorul de cuvînt al Preşedintelui, conducători ai autorităţilor administrative centrale</w:t>
            </w:r>
          </w:p>
          <w:p w:rsidR="00CA05D1" w:rsidRPr="0018261F" w:rsidRDefault="00CA05D1" w:rsidP="00627056">
            <w:pPr>
              <w:pStyle w:val="tt"/>
              <w:spacing w:before="0" w:beforeAutospacing="0" w:after="0" w:afterAutospacing="0"/>
              <w:rPr>
                <w:rFonts w:eastAsiaTheme="minorEastAsia"/>
                <w:sz w:val="20"/>
                <w:szCs w:val="20"/>
                <w:lang w:val="ro-RO"/>
              </w:rPr>
            </w:pPr>
          </w:p>
        </w:tc>
        <w:tc>
          <w:tcPr>
            <w:tcW w:w="2977" w:type="dxa"/>
          </w:tcPr>
          <w:p w:rsidR="00C70BDA" w:rsidRPr="0018261F" w:rsidRDefault="00C57BB2" w:rsidP="003667DD">
            <w:pPr>
              <w:pStyle w:val="tt"/>
              <w:spacing w:before="0" w:beforeAutospacing="0" w:after="0" w:afterAutospacing="0"/>
              <w:rPr>
                <w:rFonts w:eastAsiaTheme="minorEastAsia"/>
                <w:sz w:val="20"/>
                <w:szCs w:val="20"/>
                <w:lang w:val="ro-RO"/>
              </w:rPr>
            </w:pPr>
            <w:r w:rsidRPr="0018261F">
              <w:rPr>
                <w:rFonts w:eastAsiaTheme="minorEastAsia"/>
                <w:sz w:val="20"/>
                <w:szCs w:val="20"/>
                <w:lang w:val="ro-RO"/>
              </w:rPr>
              <w:lastRenderedPageBreak/>
              <w:t>Automobile arondate (sau aflate la balanţa instituţiei)</w:t>
            </w:r>
          </w:p>
        </w:tc>
        <w:tc>
          <w:tcPr>
            <w:tcW w:w="1434" w:type="dxa"/>
          </w:tcPr>
          <w:p w:rsidR="00C70BDA" w:rsidRPr="0018261F" w:rsidRDefault="00627056" w:rsidP="00E74F47">
            <w:pPr>
              <w:pStyle w:val="tt"/>
              <w:spacing w:before="0" w:beforeAutospacing="0" w:after="0" w:afterAutospacing="0"/>
              <w:jc w:val="center"/>
              <w:rPr>
                <w:rFonts w:eastAsiaTheme="minorEastAsia"/>
                <w:sz w:val="20"/>
                <w:szCs w:val="20"/>
                <w:lang w:val="ro-RO"/>
              </w:rPr>
            </w:pPr>
            <w:r w:rsidRPr="0018261F">
              <w:rPr>
                <w:rFonts w:eastAsiaTheme="minorEastAsia"/>
                <w:sz w:val="20"/>
                <w:szCs w:val="20"/>
                <w:lang w:val="ro-RO"/>
              </w:rPr>
              <w:t>20</w:t>
            </w:r>
          </w:p>
        </w:tc>
      </w:tr>
      <w:tr w:rsidR="00421D71" w:rsidRPr="0018261F" w:rsidTr="003667DD">
        <w:tc>
          <w:tcPr>
            <w:tcW w:w="675" w:type="dxa"/>
          </w:tcPr>
          <w:p w:rsidR="00421D71" w:rsidRPr="000755E2" w:rsidRDefault="0007014F" w:rsidP="00E74F47">
            <w:pPr>
              <w:pStyle w:val="tt"/>
              <w:spacing w:before="0" w:beforeAutospacing="0" w:after="0" w:afterAutospacing="0"/>
              <w:jc w:val="center"/>
              <w:rPr>
                <w:rFonts w:eastAsiaTheme="minorEastAsia"/>
                <w:sz w:val="20"/>
                <w:szCs w:val="20"/>
                <w:lang w:val="ro-RO"/>
              </w:rPr>
            </w:pPr>
            <w:r w:rsidRPr="000755E2">
              <w:rPr>
                <w:rFonts w:eastAsiaTheme="minorEastAsia"/>
                <w:sz w:val="20"/>
                <w:szCs w:val="20"/>
                <w:lang w:val="ro-RO"/>
              </w:rPr>
              <w:lastRenderedPageBreak/>
              <w:t>5</w:t>
            </w:r>
            <w:r w:rsidR="00421D71" w:rsidRPr="000755E2">
              <w:rPr>
                <w:rFonts w:eastAsiaTheme="minorEastAsia"/>
                <w:sz w:val="20"/>
                <w:szCs w:val="20"/>
                <w:lang w:val="ro-RO"/>
              </w:rPr>
              <w:t>.</w:t>
            </w:r>
          </w:p>
        </w:tc>
        <w:tc>
          <w:tcPr>
            <w:tcW w:w="4536" w:type="dxa"/>
          </w:tcPr>
          <w:p w:rsidR="00421D71" w:rsidRPr="00760B42" w:rsidRDefault="001352CC" w:rsidP="001352CC">
            <w:pPr>
              <w:pStyle w:val="tt"/>
              <w:spacing w:before="0" w:beforeAutospacing="0" w:after="0" w:afterAutospacing="0"/>
              <w:rPr>
                <w:rFonts w:eastAsiaTheme="minorEastAsia"/>
                <w:sz w:val="20"/>
                <w:szCs w:val="20"/>
                <w:lang w:val="ro-RO"/>
              </w:rPr>
            </w:pPr>
            <w:r w:rsidRPr="00760B42">
              <w:rPr>
                <w:rFonts w:eastAsiaTheme="minorEastAsia"/>
                <w:sz w:val="20"/>
                <w:szCs w:val="20"/>
                <w:lang w:val="ro-RO"/>
              </w:rPr>
              <w:t>S</w:t>
            </w:r>
            <w:r w:rsidR="00421D71" w:rsidRPr="00760B42">
              <w:rPr>
                <w:rFonts w:eastAsiaTheme="minorEastAsia"/>
                <w:sz w:val="20"/>
                <w:szCs w:val="20"/>
                <w:lang w:val="ro-RO"/>
              </w:rPr>
              <w:t>ecretarii generali de stat</w:t>
            </w:r>
            <w:r w:rsidR="007A6386" w:rsidRPr="00760B42">
              <w:rPr>
                <w:rFonts w:eastAsiaTheme="minorEastAsia"/>
                <w:sz w:val="20"/>
                <w:szCs w:val="20"/>
                <w:lang w:val="ro-RO"/>
              </w:rPr>
              <w:t>,</w:t>
            </w:r>
            <w:r w:rsidR="00904A17" w:rsidRPr="00760B42">
              <w:rPr>
                <w:rFonts w:eastAsiaTheme="minorEastAsia"/>
                <w:sz w:val="20"/>
                <w:szCs w:val="20"/>
                <w:lang w:val="ro-RO"/>
              </w:rPr>
              <w:t xml:space="preserve"> s</w:t>
            </w:r>
            <w:r w:rsidR="00421D71" w:rsidRPr="00760B42">
              <w:rPr>
                <w:rFonts w:eastAsiaTheme="minorEastAsia"/>
                <w:sz w:val="20"/>
                <w:szCs w:val="20"/>
                <w:lang w:val="ro-RO"/>
              </w:rPr>
              <w:t>ecretarii de stat,</w:t>
            </w:r>
            <w:r w:rsidR="00421D71" w:rsidRPr="00760B42">
              <w:rPr>
                <w:rFonts w:eastAsiaTheme="minorEastAsia"/>
                <w:sz w:val="20"/>
                <w:szCs w:val="20"/>
                <w:highlight w:val="yellow"/>
                <w:lang w:val="ro-RO"/>
              </w:rPr>
              <w:t xml:space="preserve"> </w:t>
            </w:r>
            <w:r w:rsidR="00904A17" w:rsidRPr="00760B42">
              <w:rPr>
                <w:rFonts w:eastAsiaTheme="minorEastAsia"/>
                <w:sz w:val="20"/>
                <w:szCs w:val="20"/>
                <w:lang w:val="ro-RO"/>
              </w:rPr>
              <w:t>conducătorii autorităților administrative centrale</w:t>
            </w:r>
          </w:p>
        </w:tc>
        <w:tc>
          <w:tcPr>
            <w:tcW w:w="2977" w:type="dxa"/>
          </w:tcPr>
          <w:p w:rsidR="00421D71" w:rsidRPr="00760B42" w:rsidRDefault="00904A17" w:rsidP="001352CC">
            <w:pPr>
              <w:pStyle w:val="tt"/>
              <w:spacing w:before="0" w:beforeAutospacing="0" w:after="0" w:afterAutospacing="0"/>
              <w:rPr>
                <w:rFonts w:eastAsiaTheme="minorEastAsia"/>
                <w:sz w:val="20"/>
                <w:szCs w:val="20"/>
                <w:highlight w:val="yellow"/>
                <w:lang w:val="ro-RO"/>
              </w:rPr>
            </w:pPr>
            <w:r w:rsidRPr="00760B42">
              <w:rPr>
                <w:rFonts w:eastAsiaTheme="minorEastAsia"/>
                <w:sz w:val="20"/>
                <w:szCs w:val="20"/>
                <w:lang w:val="ro-RO"/>
              </w:rPr>
              <w:t>Automobile de serviciu la chemare, utilizarea acestora fiind limitată pînă la 4 ore pe zi</w:t>
            </w:r>
            <w:r w:rsidRPr="00760B42">
              <w:rPr>
                <w:rFonts w:eastAsiaTheme="minorEastAsia"/>
                <w:sz w:val="20"/>
                <w:szCs w:val="20"/>
                <w:highlight w:val="yellow"/>
                <w:lang w:val="ro-RO"/>
              </w:rPr>
              <w:t xml:space="preserve"> </w:t>
            </w:r>
          </w:p>
          <w:p w:rsidR="00861097" w:rsidRPr="00760B42" w:rsidRDefault="00861097" w:rsidP="001352CC">
            <w:pPr>
              <w:pStyle w:val="tt"/>
              <w:spacing w:before="0" w:beforeAutospacing="0" w:after="0" w:afterAutospacing="0"/>
              <w:rPr>
                <w:rFonts w:eastAsiaTheme="minorEastAsia"/>
                <w:sz w:val="20"/>
                <w:szCs w:val="20"/>
                <w:highlight w:val="yellow"/>
                <w:lang w:val="ro-RO"/>
              </w:rPr>
            </w:pPr>
          </w:p>
        </w:tc>
        <w:tc>
          <w:tcPr>
            <w:tcW w:w="1434" w:type="dxa"/>
          </w:tcPr>
          <w:p w:rsidR="00421D71" w:rsidRPr="0018261F" w:rsidRDefault="006569B0" w:rsidP="00E74F47">
            <w:pPr>
              <w:pStyle w:val="tt"/>
              <w:spacing w:before="0" w:beforeAutospacing="0" w:after="0" w:afterAutospacing="0"/>
              <w:jc w:val="center"/>
              <w:rPr>
                <w:rFonts w:eastAsiaTheme="minorEastAsia"/>
                <w:sz w:val="20"/>
                <w:szCs w:val="20"/>
                <w:lang w:val="ro-RO"/>
              </w:rPr>
            </w:pPr>
            <w:r w:rsidRPr="0018261F">
              <w:rPr>
                <w:rFonts w:eastAsiaTheme="minorEastAsia"/>
                <w:sz w:val="20"/>
                <w:szCs w:val="20"/>
                <w:lang w:val="ro-RO"/>
              </w:rPr>
              <w:t>30</w:t>
            </w:r>
          </w:p>
        </w:tc>
      </w:tr>
      <w:tr w:rsidR="006D7663" w:rsidRPr="0018261F" w:rsidTr="003667DD">
        <w:tc>
          <w:tcPr>
            <w:tcW w:w="675" w:type="dxa"/>
          </w:tcPr>
          <w:p w:rsidR="006D7663" w:rsidRPr="000755E2" w:rsidRDefault="0007014F" w:rsidP="00E74F47">
            <w:pPr>
              <w:pStyle w:val="tt"/>
              <w:spacing w:before="0" w:beforeAutospacing="0" w:after="0" w:afterAutospacing="0"/>
              <w:jc w:val="center"/>
              <w:rPr>
                <w:rFonts w:eastAsiaTheme="minorEastAsia"/>
                <w:sz w:val="20"/>
                <w:szCs w:val="20"/>
                <w:lang w:val="ro-RO"/>
              </w:rPr>
            </w:pPr>
            <w:r w:rsidRPr="000755E2">
              <w:rPr>
                <w:rFonts w:eastAsiaTheme="minorEastAsia"/>
                <w:sz w:val="20"/>
                <w:szCs w:val="20"/>
                <w:lang w:val="ro-RO"/>
              </w:rPr>
              <w:t>6</w:t>
            </w:r>
            <w:r w:rsidR="006D7663" w:rsidRPr="000755E2">
              <w:rPr>
                <w:rFonts w:eastAsiaTheme="minorEastAsia"/>
                <w:sz w:val="20"/>
                <w:szCs w:val="20"/>
                <w:lang w:val="ro-RO"/>
              </w:rPr>
              <w:t>.</w:t>
            </w:r>
          </w:p>
        </w:tc>
        <w:tc>
          <w:tcPr>
            <w:tcW w:w="4536" w:type="dxa"/>
          </w:tcPr>
          <w:p w:rsidR="006D7663" w:rsidRPr="0018261F" w:rsidRDefault="006D7663" w:rsidP="00627056">
            <w:pPr>
              <w:pStyle w:val="tt"/>
              <w:spacing w:before="0" w:beforeAutospacing="0" w:after="0" w:afterAutospacing="0"/>
              <w:rPr>
                <w:rFonts w:eastAsiaTheme="minorEastAsia"/>
                <w:sz w:val="20"/>
                <w:szCs w:val="20"/>
                <w:lang w:val="ro-RO"/>
              </w:rPr>
            </w:pPr>
            <w:r w:rsidRPr="0018261F">
              <w:rPr>
                <w:rFonts w:eastAsiaTheme="minorEastAsia"/>
                <w:sz w:val="20"/>
                <w:szCs w:val="20"/>
                <w:lang w:val="ro-RO"/>
              </w:rPr>
              <w:t>Consilierul viceprim-ministrului, consilierul secretarului general al Guvernului, şefii de direcţii şi secţii autonome ale Cancelariei de Stat</w:t>
            </w:r>
          </w:p>
        </w:tc>
        <w:tc>
          <w:tcPr>
            <w:tcW w:w="2977" w:type="dxa"/>
          </w:tcPr>
          <w:p w:rsidR="006D7663" w:rsidRDefault="0058449A" w:rsidP="003667DD">
            <w:pPr>
              <w:pStyle w:val="tt"/>
              <w:spacing w:before="0" w:beforeAutospacing="0" w:after="0" w:afterAutospacing="0"/>
              <w:rPr>
                <w:rFonts w:eastAsiaTheme="minorEastAsia"/>
                <w:sz w:val="20"/>
                <w:szCs w:val="20"/>
                <w:lang w:val="ro-RO"/>
              </w:rPr>
            </w:pPr>
            <w:r w:rsidRPr="0018261F">
              <w:rPr>
                <w:rFonts w:eastAsiaTheme="minorEastAsia"/>
                <w:sz w:val="20"/>
                <w:szCs w:val="20"/>
                <w:lang w:val="ro-RO"/>
              </w:rPr>
              <w:t>Automobile de serviciu la chemare, utilizarea acestora fiind limitată pînă la 4 ore pe zi</w:t>
            </w:r>
          </w:p>
          <w:p w:rsidR="00861097" w:rsidRPr="0018261F" w:rsidRDefault="00861097" w:rsidP="003667DD">
            <w:pPr>
              <w:pStyle w:val="tt"/>
              <w:spacing w:before="0" w:beforeAutospacing="0" w:after="0" w:afterAutospacing="0"/>
              <w:rPr>
                <w:rFonts w:eastAsiaTheme="minorEastAsia"/>
                <w:sz w:val="20"/>
                <w:szCs w:val="20"/>
                <w:lang w:val="ro-RO"/>
              </w:rPr>
            </w:pPr>
          </w:p>
        </w:tc>
        <w:tc>
          <w:tcPr>
            <w:tcW w:w="1434" w:type="dxa"/>
          </w:tcPr>
          <w:p w:rsidR="006D7663" w:rsidRPr="0018261F" w:rsidRDefault="0058449A" w:rsidP="00E74F47">
            <w:pPr>
              <w:pStyle w:val="tt"/>
              <w:spacing w:before="0" w:beforeAutospacing="0" w:after="0" w:afterAutospacing="0"/>
              <w:jc w:val="center"/>
              <w:rPr>
                <w:rFonts w:eastAsiaTheme="minorEastAsia"/>
                <w:sz w:val="20"/>
                <w:szCs w:val="20"/>
                <w:lang w:val="ro-RO"/>
              </w:rPr>
            </w:pPr>
            <w:r w:rsidRPr="0018261F">
              <w:rPr>
                <w:rFonts w:eastAsiaTheme="minorEastAsia"/>
                <w:sz w:val="20"/>
                <w:szCs w:val="20"/>
                <w:lang w:val="ro-RO"/>
              </w:rPr>
              <w:t>10</w:t>
            </w:r>
          </w:p>
        </w:tc>
      </w:tr>
      <w:tr w:rsidR="00BA245B" w:rsidRPr="0018261F" w:rsidTr="003667DD">
        <w:tc>
          <w:tcPr>
            <w:tcW w:w="675" w:type="dxa"/>
          </w:tcPr>
          <w:p w:rsidR="00BA245B" w:rsidRPr="000755E2" w:rsidRDefault="0007014F" w:rsidP="00E74F47">
            <w:pPr>
              <w:pStyle w:val="tt"/>
              <w:spacing w:before="0" w:beforeAutospacing="0" w:after="0" w:afterAutospacing="0"/>
              <w:jc w:val="center"/>
              <w:rPr>
                <w:rFonts w:eastAsiaTheme="minorEastAsia"/>
                <w:sz w:val="20"/>
                <w:szCs w:val="20"/>
                <w:lang w:val="ro-RO"/>
              </w:rPr>
            </w:pPr>
            <w:r w:rsidRPr="000755E2">
              <w:rPr>
                <w:rFonts w:eastAsiaTheme="minorEastAsia"/>
                <w:sz w:val="20"/>
                <w:szCs w:val="20"/>
                <w:lang w:val="ro-RO"/>
              </w:rPr>
              <w:t>7</w:t>
            </w:r>
            <w:r w:rsidR="00BA245B" w:rsidRPr="000755E2">
              <w:rPr>
                <w:rFonts w:eastAsiaTheme="minorEastAsia"/>
                <w:sz w:val="20"/>
                <w:szCs w:val="20"/>
                <w:lang w:val="ro-RO"/>
              </w:rPr>
              <w:t>.</w:t>
            </w:r>
          </w:p>
        </w:tc>
        <w:tc>
          <w:tcPr>
            <w:tcW w:w="4536" w:type="dxa"/>
          </w:tcPr>
          <w:p w:rsidR="00BA245B" w:rsidRPr="00904A17" w:rsidRDefault="00BA245B" w:rsidP="00627056">
            <w:pPr>
              <w:pStyle w:val="tt"/>
              <w:spacing w:before="0" w:beforeAutospacing="0" w:after="0" w:afterAutospacing="0"/>
              <w:rPr>
                <w:rFonts w:eastAsiaTheme="minorEastAsia"/>
                <w:sz w:val="20"/>
                <w:szCs w:val="20"/>
                <w:lang w:val="ro-RO"/>
              </w:rPr>
            </w:pPr>
            <w:r w:rsidRPr="00904A17">
              <w:rPr>
                <w:rFonts w:eastAsiaTheme="minorEastAsia"/>
                <w:sz w:val="20"/>
                <w:szCs w:val="20"/>
                <w:lang w:val="ro-RO"/>
              </w:rPr>
              <w:t>Directorii departamentelor din subordinea ministerelor şi altor autorităţi pe lîngă Guvern</w:t>
            </w:r>
          </w:p>
        </w:tc>
        <w:tc>
          <w:tcPr>
            <w:tcW w:w="2977" w:type="dxa"/>
          </w:tcPr>
          <w:p w:rsidR="00BA245B" w:rsidRDefault="00075260" w:rsidP="003667DD">
            <w:pPr>
              <w:pStyle w:val="tt"/>
              <w:spacing w:before="0" w:beforeAutospacing="0" w:after="0" w:afterAutospacing="0"/>
              <w:rPr>
                <w:rFonts w:eastAsiaTheme="minorEastAsia"/>
                <w:sz w:val="20"/>
                <w:szCs w:val="20"/>
                <w:lang w:val="ro-RO"/>
              </w:rPr>
            </w:pPr>
            <w:r w:rsidRPr="00904A17">
              <w:rPr>
                <w:rFonts w:eastAsiaTheme="minorEastAsia"/>
                <w:sz w:val="20"/>
                <w:szCs w:val="20"/>
                <w:lang w:val="ro-RO"/>
              </w:rPr>
              <w:t>Automobile de serviciu la chemare, utilizarea acestora fiind limitată pînă la 4 ore pe zi</w:t>
            </w:r>
          </w:p>
          <w:p w:rsidR="00861097" w:rsidRPr="00904A17" w:rsidRDefault="00861097" w:rsidP="003667DD">
            <w:pPr>
              <w:pStyle w:val="tt"/>
              <w:spacing w:before="0" w:beforeAutospacing="0" w:after="0" w:afterAutospacing="0"/>
              <w:rPr>
                <w:rFonts w:eastAsiaTheme="minorEastAsia"/>
                <w:sz w:val="20"/>
                <w:szCs w:val="20"/>
                <w:lang w:val="ro-RO"/>
              </w:rPr>
            </w:pPr>
          </w:p>
        </w:tc>
        <w:tc>
          <w:tcPr>
            <w:tcW w:w="1434" w:type="dxa"/>
          </w:tcPr>
          <w:p w:rsidR="00BA245B" w:rsidRPr="00904A17" w:rsidRDefault="00075260" w:rsidP="00E74F47">
            <w:pPr>
              <w:pStyle w:val="tt"/>
              <w:spacing w:before="0" w:beforeAutospacing="0" w:after="0" w:afterAutospacing="0"/>
              <w:jc w:val="center"/>
              <w:rPr>
                <w:rFonts w:eastAsiaTheme="minorEastAsia"/>
                <w:sz w:val="20"/>
                <w:szCs w:val="20"/>
                <w:lang w:val="ro-RO"/>
              </w:rPr>
            </w:pPr>
            <w:r w:rsidRPr="00904A17">
              <w:rPr>
                <w:rFonts w:eastAsiaTheme="minorEastAsia"/>
                <w:sz w:val="20"/>
                <w:szCs w:val="20"/>
                <w:lang w:val="ro-RO"/>
              </w:rPr>
              <w:t>10</w:t>
            </w:r>
          </w:p>
        </w:tc>
      </w:tr>
      <w:tr w:rsidR="00BA245B" w:rsidRPr="0018261F" w:rsidTr="003667DD">
        <w:tc>
          <w:tcPr>
            <w:tcW w:w="675" w:type="dxa"/>
          </w:tcPr>
          <w:p w:rsidR="00BA245B" w:rsidRPr="000755E2" w:rsidRDefault="0007014F" w:rsidP="00E74F47">
            <w:pPr>
              <w:pStyle w:val="tt"/>
              <w:spacing w:before="0" w:beforeAutospacing="0" w:after="0" w:afterAutospacing="0"/>
              <w:jc w:val="center"/>
              <w:rPr>
                <w:rFonts w:eastAsiaTheme="minorEastAsia"/>
                <w:sz w:val="20"/>
                <w:szCs w:val="20"/>
                <w:lang w:val="ro-RO"/>
              </w:rPr>
            </w:pPr>
            <w:r w:rsidRPr="000755E2">
              <w:rPr>
                <w:rFonts w:eastAsiaTheme="minorEastAsia"/>
                <w:sz w:val="20"/>
                <w:szCs w:val="20"/>
                <w:lang w:val="ro-RO"/>
              </w:rPr>
              <w:t>8</w:t>
            </w:r>
            <w:r w:rsidR="00BA245B" w:rsidRPr="000755E2">
              <w:rPr>
                <w:rFonts w:eastAsiaTheme="minorEastAsia"/>
                <w:sz w:val="20"/>
                <w:szCs w:val="20"/>
                <w:lang w:val="ro-RO"/>
              </w:rPr>
              <w:t>.</w:t>
            </w:r>
          </w:p>
        </w:tc>
        <w:tc>
          <w:tcPr>
            <w:tcW w:w="4536" w:type="dxa"/>
          </w:tcPr>
          <w:p w:rsidR="00BA245B" w:rsidRPr="0018261F" w:rsidRDefault="00BA245B" w:rsidP="00627056">
            <w:pPr>
              <w:pStyle w:val="tt"/>
              <w:spacing w:before="0" w:beforeAutospacing="0" w:after="0" w:afterAutospacing="0"/>
              <w:rPr>
                <w:rFonts w:eastAsiaTheme="minorEastAsia"/>
                <w:sz w:val="20"/>
                <w:szCs w:val="20"/>
                <w:lang w:val="ro-RO"/>
              </w:rPr>
            </w:pPr>
            <w:r w:rsidRPr="0018261F">
              <w:rPr>
                <w:rFonts w:eastAsiaTheme="minorEastAsia"/>
                <w:sz w:val="20"/>
                <w:szCs w:val="20"/>
                <w:lang w:val="ro-RO"/>
              </w:rPr>
              <w:t>Şefii oficiilor teritoriale ale Cancelariei de Stat</w:t>
            </w:r>
          </w:p>
        </w:tc>
        <w:tc>
          <w:tcPr>
            <w:tcW w:w="2977" w:type="dxa"/>
          </w:tcPr>
          <w:p w:rsidR="00BA245B" w:rsidRDefault="00C57BB2" w:rsidP="003667DD">
            <w:pPr>
              <w:pStyle w:val="tt"/>
              <w:spacing w:before="0" w:beforeAutospacing="0" w:after="0" w:afterAutospacing="0"/>
              <w:rPr>
                <w:rFonts w:eastAsiaTheme="minorEastAsia"/>
                <w:sz w:val="20"/>
                <w:szCs w:val="20"/>
                <w:lang w:val="ro-RO"/>
              </w:rPr>
            </w:pPr>
            <w:r w:rsidRPr="0018261F">
              <w:rPr>
                <w:rFonts w:eastAsiaTheme="minorEastAsia"/>
                <w:sz w:val="20"/>
                <w:szCs w:val="20"/>
                <w:lang w:val="ro-RO"/>
              </w:rPr>
              <w:t>Automobile arondate (sau aflate la balanţa instituţiei)</w:t>
            </w:r>
          </w:p>
          <w:p w:rsidR="00861097" w:rsidRPr="0018261F" w:rsidRDefault="00861097" w:rsidP="003667DD">
            <w:pPr>
              <w:pStyle w:val="tt"/>
              <w:spacing w:before="0" w:beforeAutospacing="0" w:after="0" w:afterAutospacing="0"/>
              <w:rPr>
                <w:rFonts w:eastAsiaTheme="minorEastAsia"/>
                <w:sz w:val="20"/>
                <w:szCs w:val="20"/>
                <w:lang w:val="ro-RO"/>
              </w:rPr>
            </w:pPr>
          </w:p>
        </w:tc>
        <w:tc>
          <w:tcPr>
            <w:tcW w:w="1434" w:type="dxa"/>
          </w:tcPr>
          <w:p w:rsidR="00BA245B" w:rsidRPr="0018261F" w:rsidRDefault="00BA245B" w:rsidP="00E74F47">
            <w:pPr>
              <w:pStyle w:val="tt"/>
              <w:spacing w:before="0" w:beforeAutospacing="0" w:after="0" w:afterAutospacing="0"/>
              <w:jc w:val="center"/>
              <w:rPr>
                <w:rFonts w:eastAsiaTheme="minorEastAsia"/>
                <w:sz w:val="20"/>
                <w:szCs w:val="20"/>
                <w:lang w:val="ro-RO"/>
              </w:rPr>
            </w:pPr>
            <w:r w:rsidRPr="0018261F">
              <w:rPr>
                <w:rFonts w:eastAsiaTheme="minorEastAsia"/>
                <w:sz w:val="20"/>
                <w:szCs w:val="20"/>
                <w:lang w:val="ro-RO"/>
              </w:rPr>
              <w:t>28</w:t>
            </w:r>
          </w:p>
        </w:tc>
      </w:tr>
      <w:tr w:rsidR="00C57BB2" w:rsidRPr="0018261F" w:rsidTr="00100F73">
        <w:trPr>
          <w:trHeight w:val="797"/>
        </w:trPr>
        <w:tc>
          <w:tcPr>
            <w:tcW w:w="675" w:type="dxa"/>
          </w:tcPr>
          <w:p w:rsidR="00C57BB2" w:rsidRPr="000755E2" w:rsidRDefault="0007014F" w:rsidP="00E74F47">
            <w:pPr>
              <w:pStyle w:val="tt"/>
              <w:spacing w:before="0" w:beforeAutospacing="0" w:after="0" w:afterAutospacing="0"/>
              <w:jc w:val="center"/>
              <w:rPr>
                <w:rFonts w:eastAsiaTheme="minorEastAsia"/>
                <w:sz w:val="20"/>
                <w:szCs w:val="20"/>
                <w:lang w:val="ro-RO"/>
              </w:rPr>
            </w:pPr>
            <w:r w:rsidRPr="000755E2">
              <w:rPr>
                <w:rFonts w:eastAsiaTheme="minorEastAsia"/>
                <w:sz w:val="20"/>
                <w:szCs w:val="20"/>
                <w:lang w:val="ro-RO"/>
              </w:rPr>
              <w:t>9</w:t>
            </w:r>
            <w:r w:rsidR="00C57BB2" w:rsidRPr="000755E2">
              <w:rPr>
                <w:rFonts w:eastAsiaTheme="minorEastAsia"/>
                <w:sz w:val="20"/>
                <w:szCs w:val="20"/>
                <w:lang w:val="ro-RO"/>
              </w:rPr>
              <w:t>.</w:t>
            </w:r>
          </w:p>
        </w:tc>
        <w:tc>
          <w:tcPr>
            <w:tcW w:w="4536" w:type="dxa"/>
          </w:tcPr>
          <w:p w:rsidR="00C57BB2" w:rsidRPr="0018261F" w:rsidRDefault="00C57BB2" w:rsidP="00627056">
            <w:pPr>
              <w:pStyle w:val="tt"/>
              <w:spacing w:before="0" w:beforeAutospacing="0" w:after="0" w:afterAutospacing="0"/>
              <w:rPr>
                <w:rFonts w:eastAsiaTheme="minorEastAsia"/>
                <w:sz w:val="20"/>
                <w:szCs w:val="20"/>
                <w:lang w:val="ro-RO"/>
              </w:rPr>
            </w:pPr>
            <w:r w:rsidRPr="0018261F">
              <w:rPr>
                <w:rFonts w:eastAsiaTheme="minorEastAsia"/>
                <w:sz w:val="20"/>
                <w:szCs w:val="20"/>
                <w:lang w:val="ro-RO"/>
              </w:rPr>
              <w:t>Şefii adjuncţi ai oficiilor teritoriale ale Cancelariei de Stat – responsabili de coordonarea serviciilor publice desconcentrate</w:t>
            </w:r>
          </w:p>
        </w:tc>
        <w:tc>
          <w:tcPr>
            <w:tcW w:w="2977" w:type="dxa"/>
          </w:tcPr>
          <w:p w:rsidR="00C57BB2" w:rsidRPr="0018261F" w:rsidRDefault="00C57BB2" w:rsidP="003667DD">
            <w:pPr>
              <w:pStyle w:val="tt"/>
              <w:spacing w:before="0" w:beforeAutospacing="0" w:after="0" w:afterAutospacing="0"/>
              <w:rPr>
                <w:rFonts w:eastAsiaTheme="minorEastAsia"/>
                <w:sz w:val="20"/>
                <w:szCs w:val="20"/>
                <w:lang w:val="ro-RO"/>
              </w:rPr>
            </w:pPr>
            <w:r w:rsidRPr="0018261F">
              <w:rPr>
                <w:rFonts w:eastAsiaTheme="minorEastAsia"/>
                <w:sz w:val="20"/>
                <w:szCs w:val="20"/>
                <w:lang w:val="ro-RO"/>
              </w:rPr>
              <w:t>Automobile arondate (sau aflate la balanţa instituţiei)</w:t>
            </w:r>
          </w:p>
        </w:tc>
        <w:tc>
          <w:tcPr>
            <w:tcW w:w="1434" w:type="dxa"/>
          </w:tcPr>
          <w:p w:rsidR="00C57BB2" w:rsidRPr="0018261F" w:rsidRDefault="00C57BB2" w:rsidP="00E74F47">
            <w:pPr>
              <w:pStyle w:val="tt"/>
              <w:spacing w:before="0" w:beforeAutospacing="0" w:after="0" w:afterAutospacing="0"/>
              <w:jc w:val="center"/>
              <w:rPr>
                <w:rFonts w:eastAsiaTheme="minorEastAsia"/>
                <w:sz w:val="20"/>
                <w:szCs w:val="20"/>
                <w:lang w:val="ro-RO"/>
              </w:rPr>
            </w:pPr>
            <w:r w:rsidRPr="0018261F">
              <w:rPr>
                <w:rFonts w:eastAsiaTheme="minorEastAsia"/>
                <w:sz w:val="20"/>
                <w:szCs w:val="20"/>
                <w:lang w:val="ro-RO"/>
              </w:rPr>
              <w:t>13</w:t>
            </w:r>
          </w:p>
        </w:tc>
      </w:tr>
      <w:tr w:rsidR="00C57BB2" w:rsidRPr="009445E5" w:rsidTr="00100F73">
        <w:trPr>
          <w:trHeight w:val="283"/>
        </w:trPr>
        <w:tc>
          <w:tcPr>
            <w:tcW w:w="675" w:type="dxa"/>
          </w:tcPr>
          <w:p w:rsidR="00C57BB2" w:rsidRPr="000755E2" w:rsidRDefault="006D7663" w:rsidP="0007014F">
            <w:pPr>
              <w:pStyle w:val="tt"/>
              <w:spacing w:before="0" w:beforeAutospacing="0" w:after="0" w:afterAutospacing="0"/>
              <w:jc w:val="center"/>
              <w:rPr>
                <w:rFonts w:eastAsiaTheme="minorEastAsia"/>
                <w:sz w:val="20"/>
                <w:szCs w:val="20"/>
                <w:lang w:val="ro-RO"/>
              </w:rPr>
            </w:pPr>
            <w:r w:rsidRPr="000755E2">
              <w:rPr>
                <w:rFonts w:eastAsiaTheme="minorEastAsia"/>
                <w:sz w:val="20"/>
                <w:szCs w:val="20"/>
                <w:lang w:val="ro-RO"/>
              </w:rPr>
              <w:t>1</w:t>
            </w:r>
            <w:r w:rsidR="0007014F" w:rsidRPr="000755E2">
              <w:rPr>
                <w:rFonts w:eastAsiaTheme="minorEastAsia"/>
                <w:sz w:val="20"/>
                <w:szCs w:val="20"/>
                <w:lang w:val="ro-RO"/>
              </w:rPr>
              <w:t>0</w:t>
            </w:r>
            <w:r w:rsidR="00C57BB2" w:rsidRPr="000755E2">
              <w:rPr>
                <w:rFonts w:eastAsiaTheme="minorEastAsia"/>
                <w:sz w:val="20"/>
                <w:szCs w:val="20"/>
                <w:lang w:val="ro-RO"/>
              </w:rPr>
              <w:t>.</w:t>
            </w:r>
          </w:p>
        </w:tc>
        <w:tc>
          <w:tcPr>
            <w:tcW w:w="4536" w:type="dxa"/>
          </w:tcPr>
          <w:p w:rsidR="00C57BB2" w:rsidRPr="0018261F" w:rsidRDefault="00C57BB2" w:rsidP="00627056">
            <w:pPr>
              <w:pStyle w:val="tt"/>
              <w:spacing w:before="0" w:beforeAutospacing="0" w:after="0" w:afterAutospacing="0"/>
              <w:rPr>
                <w:rFonts w:eastAsiaTheme="minorEastAsia"/>
                <w:sz w:val="20"/>
                <w:szCs w:val="20"/>
                <w:lang w:val="ro-RO"/>
              </w:rPr>
            </w:pPr>
            <w:r w:rsidRPr="0018261F">
              <w:rPr>
                <w:rFonts w:eastAsiaTheme="minorEastAsia"/>
                <w:sz w:val="20"/>
                <w:szCs w:val="20"/>
                <w:lang w:val="ro-RO"/>
              </w:rPr>
              <w:t>Ex-preşedinţii Republicii Moldova</w:t>
            </w:r>
          </w:p>
        </w:tc>
        <w:tc>
          <w:tcPr>
            <w:tcW w:w="2977" w:type="dxa"/>
          </w:tcPr>
          <w:p w:rsidR="00C57BB2" w:rsidRPr="0018261F" w:rsidRDefault="00BA3FAB" w:rsidP="003667DD">
            <w:pPr>
              <w:pStyle w:val="tt"/>
              <w:spacing w:before="0" w:beforeAutospacing="0" w:after="0" w:afterAutospacing="0"/>
              <w:rPr>
                <w:rFonts w:eastAsiaTheme="minorEastAsia"/>
                <w:sz w:val="20"/>
                <w:szCs w:val="20"/>
                <w:lang w:val="ro-RO"/>
              </w:rPr>
            </w:pPr>
            <w:r w:rsidRPr="0018261F">
              <w:rPr>
                <w:rFonts w:eastAsiaTheme="minorEastAsia"/>
                <w:sz w:val="20"/>
                <w:szCs w:val="20"/>
                <w:lang w:val="ro-RO"/>
              </w:rPr>
              <w:t>Automobile arondate</w:t>
            </w:r>
          </w:p>
        </w:tc>
        <w:tc>
          <w:tcPr>
            <w:tcW w:w="1434" w:type="dxa"/>
          </w:tcPr>
          <w:p w:rsidR="00C57BB2" w:rsidRPr="009445E5" w:rsidRDefault="00BA3FAB" w:rsidP="00E74F47">
            <w:pPr>
              <w:pStyle w:val="tt"/>
              <w:spacing w:before="0" w:beforeAutospacing="0" w:after="0" w:afterAutospacing="0"/>
              <w:jc w:val="center"/>
              <w:rPr>
                <w:rFonts w:eastAsiaTheme="minorEastAsia"/>
                <w:sz w:val="20"/>
                <w:szCs w:val="20"/>
                <w:lang w:val="ro-RO"/>
              </w:rPr>
            </w:pPr>
            <w:r w:rsidRPr="0018261F">
              <w:rPr>
                <w:rFonts w:eastAsiaTheme="minorEastAsia"/>
                <w:sz w:val="20"/>
                <w:szCs w:val="20"/>
                <w:lang w:val="ro-RO"/>
              </w:rPr>
              <w:t>12</w:t>
            </w:r>
          </w:p>
        </w:tc>
      </w:tr>
    </w:tbl>
    <w:p w:rsidR="00A35659" w:rsidRPr="00F73532" w:rsidRDefault="00A35659" w:rsidP="00F73532">
      <w:pPr>
        <w:pStyle w:val="tt"/>
        <w:spacing w:before="0" w:beforeAutospacing="0" w:after="0" w:afterAutospacing="0"/>
        <w:jc w:val="both"/>
        <w:rPr>
          <w:rFonts w:eastAsiaTheme="minorEastAsia"/>
          <w:sz w:val="22"/>
          <w:szCs w:val="22"/>
          <w:lang w:val="ro-RO"/>
        </w:rPr>
      </w:pPr>
    </w:p>
    <w:p w:rsidR="00D112D5" w:rsidRDefault="00D1716D" w:rsidP="00431D44">
      <w:pPr>
        <w:pStyle w:val="tt"/>
        <w:numPr>
          <w:ilvl w:val="0"/>
          <w:numId w:val="5"/>
        </w:numPr>
        <w:spacing w:before="0" w:beforeAutospacing="0" w:after="0" w:afterAutospacing="0"/>
        <w:ind w:left="0" w:firstLine="0"/>
        <w:jc w:val="both"/>
        <w:rPr>
          <w:rFonts w:eastAsiaTheme="minorEastAsia"/>
          <w:sz w:val="28"/>
          <w:szCs w:val="28"/>
          <w:lang w:val="ro-RO"/>
        </w:rPr>
      </w:pPr>
      <w:r w:rsidRPr="001D6884">
        <w:rPr>
          <w:rFonts w:eastAsiaTheme="minorEastAsia"/>
          <w:sz w:val="28"/>
          <w:szCs w:val="28"/>
          <w:lang w:val="ro-RO"/>
        </w:rPr>
        <w:t xml:space="preserve">Hotărîrea Guvernului nr. </w:t>
      </w:r>
      <w:r w:rsidR="00431D44" w:rsidRPr="001D6884">
        <w:rPr>
          <w:rFonts w:eastAsiaTheme="minorEastAsia"/>
          <w:sz w:val="28"/>
          <w:szCs w:val="28"/>
          <w:lang w:val="ro-RO"/>
        </w:rPr>
        <w:t>930</w:t>
      </w:r>
      <w:r w:rsidRPr="001D6884">
        <w:rPr>
          <w:rFonts w:eastAsiaTheme="minorEastAsia"/>
          <w:sz w:val="28"/>
          <w:szCs w:val="28"/>
          <w:lang w:val="ro-RO"/>
        </w:rPr>
        <w:t xml:space="preserve">  din  </w:t>
      </w:r>
      <w:r w:rsidR="00431D44" w:rsidRPr="001D6884">
        <w:rPr>
          <w:rFonts w:eastAsiaTheme="minorEastAsia"/>
          <w:sz w:val="28"/>
          <w:szCs w:val="28"/>
          <w:lang w:val="ro-RO"/>
        </w:rPr>
        <w:t>15</w:t>
      </w:r>
      <w:r w:rsidRPr="001D6884">
        <w:rPr>
          <w:rFonts w:eastAsiaTheme="minorEastAsia"/>
          <w:sz w:val="28"/>
          <w:szCs w:val="28"/>
          <w:lang w:val="ro-RO"/>
        </w:rPr>
        <w:t>.</w:t>
      </w:r>
      <w:r w:rsidR="00431D44" w:rsidRPr="001D6884">
        <w:rPr>
          <w:rFonts w:eastAsiaTheme="minorEastAsia"/>
          <w:sz w:val="28"/>
          <w:szCs w:val="28"/>
          <w:lang w:val="ro-RO"/>
        </w:rPr>
        <w:t>08</w:t>
      </w:r>
      <w:r w:rsidRPr="001D6884">
        <w:rPr>
          <w:rFonts w:eastAsiaTheme="minorEastAsia"/>
          <w:sz w:val="28"/>
          <w:szCs w:val="28"/>
          <w:lang w:val="ro-RO"/>
        </w:rPr>
        <w:t>.200</w:t>
      </w:r>
      <w:r w:rsidR="00431D44" w:rsidRPr="001D6884">
        <w:rPr>
          <w:rFonts w:eastAsiaTheme="minorEastAsia"/>
          <w:sz w:val="28"/>
          <w:szCs w:val="28"/>
          <w:lang w:val="ro-RO"/>
        </w:rPr>
        <w:t>6</w:t>
      </w:r>
      <w:r w:rsidRPr="001D6884">
        <w:rPr>
          <w:rFonts w:eastAsiaTheme="minorEastAsia"/>
          <w:sz w:val="28"/>
          <w:szCs w:val="28"/>
          <w:lang w:val="ro-RO"/>
        </w:rPr>
        <w:t xml:space="preserve"> „</w:t>
      </w:r>
      <w:r w:rsidR="00F85721" w:rsidRPr="001D6884">
        <w:rPr>
          <w:rFonts w:eastAsiaTheme="minorEastAsia"/>
          <w:sz w:val="28"/>
          <w:szCs w:val="28"/>
          <w:lang w:val="ro-RO"/>
        </w:rPr>
        <w:t>P</w:t>
      </w:r>
      <w:r w:rsidRPr="001D6884">
        <w:rPr>
          <w:rFonts w:eastAsiaTheme="minorEastAsia"/>
          <w:sz w:val="28"/>
          <w:szCs w:val="28"/>
          <w:lang w:val="ro-RO"/>
        </w:rPr>
        <w:t xml:space="preserve">rivind </w:t>
      </w:r>
      <w:r w:rsidR="00431D44" w:rsidRPr="001D6884">
        <w:rPr>
          <w:rFonts w:eastAsiaTheme="minorEastAsia"/>
          <w:sz w:val="28"/>
          <w:szCs w:val="28"/>
          <w:lang w:val="ro-RO"/>
        </w:rPr>
        <w:t xml:space="preserve">Sala delegațiilor oficiale a Întreprinderii de Stat „Aeroportul Internațional Chișinău” ” </w:t>
      </w:r>
      <w:r w:rsidRPr="001D6884">
        <w:rPr>
          <w:rFonts w:eastAsiaTheme="minorEastAsia"/>
          <w:sz w:val="28"/>
          <w:szCs w:val="28"/>
          <w:lang w:val="ro-RO"/>
        </w:rPr>
        <w:t>(Monitorul Oficial al Republicii Moldova</w:t>
      </w:r>
      <w:r w:rsidR="000F728E">
        <w:rPr>
          <w:rFonts w:eastAsiaTheme="minorEastAsia"/>
          <w:sz w:val="28"/>
          <w:szCs w:val="28"/>
          <w:lang w:val="ro-RO"/>
        </w:rPr>
        <w:t xml:space="preserve">, </w:t>
      </w:r>
      <w:r w:rsidR="000F728E" w:rsidRPr="001D6884">
        <w:rPr>
          <w:rFonts w:eastAsiaTheme="minorEastAsia"/>
          <w:sz w:val="28"/>
          <w:szCs w:val="28"/>
          <w:lang w:val="ro-RO"/>
        </w:rPr>
        <w:t>2006</w:t>
      </w:r>
      <w:r w:rsidR="000F728E">
        <w:rPr>
          <w:rFonts w:eastAsiaTheme="minorEastAsia"/>
          <w:sz w:val="28"/>
          <w:szCs w:val="28"/>
          <w:lang w:val="ro-RO"/>
        </w:rPr>
        <w:t xml:space="preserve">, </w:t>
      </w:r>
      <w:r w:rsidRPr="001D6884">
        <w:rPr>
          <w:rFonts w:eastAsiaTheme="minorEastAsia"/>
          <w:sz w:val="28"/>
          <w:szCs w:val="28"/>
          <w:lang w:val="ro-RO"/>
        </w:rPr>
        <w:t xml:space="preserve">nr. </w:t>
      </w:r>
      <w:r w:rsidR="000F728E">
        <w:rPr>
          <w:rFonts w:eastAsiaTheme="minorEastAsia"/>
          <w:sz w:val="28"/>
          <w:szCs w:val="28"/>
          <w:lang w:val="ro-RO"/>
        </w:rPr>
        <w:t xml:space="preserve">134-137, </w:t>
      </w:r>
      <w:r w:rsidRPr="001D6884">
        <w:rPr>
          <w:rFonts w:eastAsiaTheme="minorEastAsia"/>
          <w:sz w:val="28"/>
          <w:szCs w:val="28"/>
          <w:lang w:val="ro-RO"/>
        </w:rPr>
        <w:t>art.</w:t>
      </w:r>
      <w:r w:rsidR="00FE6045" w:rsidRPr="001D6884">
        <w:rPr>
          <w:rFonts w:eastAsiaTheme="minorEastAsia"/>
          <w:sz w:val="28"/>
          <w:szCs w:val="28"/>
          <w:lang w:val="ro-RO"/>
        </w:rPr>
        <w:t>1009</w:t>
      </w:r>
      <w:r w:rsidRPr="001D6884">
        <w:rPr>
          <w:rFonts w:eastAsiaTheme="minorEastAsia"/>
          <w:sz w:val="28"/>
          <w:szCs w:val="28"/>
          <w:lang w:val="ro-RO"/>
        </w:rPr>
        <w:t>) se modifică și se completează după cum urmează:</w:t>
      </w:r>
      <w:r w:rsidR="00D112D5" w:rsidRPr="001D6884">
        <w:rPr>
          <w:rFonts w:eastAsiaTheme="minorEastAsia"/>
          <w:sz w:val="28"/>
          <w:szCs w:val="28"/>
          <w:lang w:val="ro-RO"/>
        </w:rPr>
        <w:t xml:space="preserve"> </w:t>
      </w:r>
    </w:p>
    <w:p w:rsidR="0080358F" w:rsidRPr="001D6884" w:rsidRDefault="0080358F" w:rsidP="0080358F">
      <w:pPr>
        <w:pStyle w:val="tt"/>
        <w:spacing w:before="0" w:beforeAutospacing="0" w:after="0" w:afterAutospacing="0"/>
        <w:jc w:val="both"/>
        <w:rPr>
          <w:rFonts w:eastAsiaTheme="minorEastAsia"/>
          <w:sz w:val="28"/>
          <w:szCs w:val="28"/>
          <w:lang w:val="ro-RO"/>
        </w:rPr>
      </w:pPr>
    </w:p>
    <w:p w:rsidR="00FA3326" w:rsidRDefault="00F85721" w:rsidP="00F85721">
      <w:pPr>
        <w:pStyle w:val="tt"/>
        <w:numPr>
          <w:ilvl w:val="1"/>
          <w:numId w:val="5"/>
        </w:numPr>
        <w:spacing w:before="0" w:beforeAutospacing="0" w:after="0" w:afterAutospacing="0"/>
        <w:jc w:val="both"/>
        <w:rPr>
          <w:rFonts w:eastAsiaTheme="minorEastAsia"/>
          <w:sz w:val="28"/>
          <w:szCs w:val="28"/>
          <w:lang w:val="ro-RO"/>
        </w:rPr>
      </w:pPr>
      <w:r>
        <w:rPr>
          <w:rFonts w:eastAsiaTheme="minorEastAsia"/>
          <w:sz w:val="28"/>
          <w:szCs w:val="28"/>
          <w:lang w:val="ro-RO"/>
        </w:rPr>
        <w:t xml:space="preserve"> </w:t>
      </w:r>
      <w:r w:rsidR="00FA3326">
        <w:rPr>
          <w:rFonts w:eastAsiaTheme="minorEastAsia"/>
          <w:sz w:val="28"/>
          <w:szCs w:val="28"/>
          <w:lang w:val="ro-RO"/>
        </w:rPr>
        <w:t>S</w:t>
      </w:r>
      <w:r w:rsidR="0030172A">
        <w:rPr>
          <w:rFonts w:eastAsiaTheme="minorEastAsia"/>
          <w:sz w:val="28"/>
          <w:szCs w:val="28"/>
          <w:lang w:val="ro-RO"/>
        </w:rPr>
        <w:t>intagmele</w:t>
      </w:r>
      <w:r w:rsidR="00031B03">
        <w:rPr>
          <w:rFonts w:eastAsiaTheme="minorEastAsia"/>
          <w:sz w:val="28"/>
          <w:szCs w:val="28"/>
          <w:lang w:val="ro-RO"/>
        </w:rPr>
        <w:t xml:space="preserve"> </w:t>
      </w:r>
      <w:r w:rsidR="00FA3326">
        <w:rPr>
          <w:rFonts w:eastAsiaTheme="minorEastAsia"/>
          <w:sz w:val="28"/>
          <w:szCs w:val="28"/>
          <w:lang w:val="ro-RO"/>
        </w:rPr>
        <w:t>„Aparatul Parlamentului”</w:t>
      </w:r>
      <w:r w:rsidR="0030172A">
        <w:rPr>
          <w:rFonts w:eastAsiaTheme="minorEastAsia"/>
          <w:sz w:val="28"/>
          <w:szCs w:val="28"/>
          <w:lang w:val="ro-RO"/>
        </w:rPr>
        <w:t>,</w:t>
      </w:r>
      <w:r w:rsidR="0030172A" w:rsidRPr="0030172A">
        <w:rPr>
          <w:rFonts w:eastAsiaTheme="minorEastAsia"/>
          <w:sz w:val="28"/>
          <w:szCs w:val="28"/>
          <w:lang w:val="ro-RO"/>
        </w:rPr>
        <w:t xml:space="preserve"> </w:t>
      </w:r>
      <w:r w:rsidR="0030172A">
        <w:rPr>
          <w:rFonts w:eastAsiaTheme="minorEastAsia"/>
          <w:sz w:val="28"/>
          <w:szCs w:val="28"/>
          <w:lang w:val="ro-RO"/>
        </w:rPr>
        <w:t>„Comisia Naţională</w:t>
      </w:r>
      <w:r w:rsidR="0030172A" w:rsidRPr="000925CF">
        <w:rPr>
          <w:rFonts w:eastAsiaTheme="minorEastAsia"/>
          <w:sz w:val="28"/>
          <w:szCs w:val="28"/>
          <w:lang w:val="ro-RO"/>
        </w:rPr>
        <w:t xml:space="preserve"> a</w:t>
      </w:r>
      <w:r w:rsidR="0030172A">
        <w:rPr>
          <w:rFonts w:eastAsiaTheme="minorEastAsia"/>
          <w:sz w:val="28"/>
          <w:szCs w:val="28"/>
          <w:lang w:val="ro-RO"/>
        </w:rPr>
        <w:t xml:space="preserve"> </w:t>
      </w:r>
      <w:r w:rsidR="0030172A" w:rsidRPr="000925CF">
        <w:rPr>
          <w:rFonts w:eastAsiaTheme="minorEastAsia"/>
          <w:sz w:val="28"/>
          <w:szCs w:val="28"/>
          <w:lang w:val="ro-RO"/>
        </w:rPr>
        <w:t>Valorilor Mobiliare</w:t>
      </w:r>
      <w:r w:rsidR="00AA2C21">
        <w:rPr>
          <w:rFonts w:eastAsiaTheme="minorEastAsia"/>
          <w:sz w:val="28"/>
          <w:szCs w:val="28"/>
          <w:lang w:val="ro-RO"/>
        </w:rPr>
        <w:t>”,</w:t>
      </w:r>
      <w:r w:rsidR="0030172A">
        <w:rPr>
          <w:rFonts w:eastAsiaTheme="minorEastAsia"/>
          <w:sz w:val="28"/>
          <w:szCs w:val="28"/>
          <w:lang w:val="ro-RO"/>
        </w:rPr>
        <w:t xml:space="preserve"> </w:t>
      </w:r>
      <w:r w:rsidR="00AA2C21">
        <w:rPr>
          <w:rFonts w:eastAsiaTheme="minorEastAsia"/>
          <w:sz w:val="28"/>
          <w:szCs w:val="28"/>
          <w:lang w:val="ro-RO"/>
        </w:rPr>
        <w:t xml:space="preserve">se vor substitui prin </w:t>
      </w:r>
      <w:r w:rsidR="008B43CE">
        <w:rPr>
          <w:rFonts w:eastAsiaTheme="minorEastAsia"/>
          <w:sz w:val="28"/>
          <w:szCs w:val="28"/>
          <w:lang w:val="ro-RO"/>
        </w:rPr>
        <w:t>expresiile</w:t>
      </w:r>
      <w:r w:rsidR="00AA2C21">
        <w:rPr>
          <w:rFonts w:eastAsiaTheme="minorEastAsia"/>
          <w:sz w:val="28"/>
          <w:szCs w:val="28"/>
          <w:lang w:val="ro-RO"/>
        </w:rPr>
        <w:t xml:space="preserve"> </w:t>
      </w:r>
      <w:r w:rsidR="00FA3326">
        <w:rPr>
          <w:rFonts w:eastAsiaTheme="minorEastAsia"/>
          <w:sz w:val="28"/>
          <w:szCs w:val="28"/>
          <w:lang w:val="ro-RO"/>
        </w:rPr>
        <w:t>„Secretariatul Parlamentului”,</w:t>
      </w:r>
      <w:r w:rsidR="00CF5A85">
        <w:rPr>
          <w:rFonts w:eastAsiaTheme="minorEastAsia"/>
          <w:sz w:val="28"/>
          <w:szCs w:val="28"/>
          <w:lang w:val="ro-RO"/>
        </w:rPr>
        <w:t xml:space="preserve"> </w:t>
      </w:r>
      <w:r w:rsidR="00AA2C21">
        <w:rPr>
          <w:rFonts w:eastAsiaTheme="minorEastAsia"/>
          <w:sz w:val="28"/>
          <w:szCs w:val="28"/>
          <w:lang w:val="ro-RO"/>
        </w:rPr>
        <w:t>„</w:t>
      </w:r>
      <w:r w:rsidR="00AA2C21" w:rsidRPr="000925CF">
        <w:rPr>
          <w:rFonts w:eastAsiaTheme="minorEastAsia"/>
          <w:sz w:val="28"/>
          <w:szCs w:val="28"/>
          <w:lang w:val="ro-RO"/>
        </w:rPr>
        <w:t>Comisi</w:t>
      </w:r>
      <w:r w:rsidR="00AA2C21">
        <w:rPr>
          <w:rFonts w:eastAsiaTheme="minorEastAsia"/>
          <w:sz w:val="28"/>
          <w:szCs w:val="28"/>
          <w:lang w:val="ro-RO"/>
        </w:rPr>
        <w:t>a</w:t>
      </w:r>
      <w:r w:rsidR="00AA2C21" w:rsidRPr="000925CF">
        <w:rPr>
          <w:rFonts w:eastAsiaTheme="minorEastAsia"/>
          <w:sz w:val="28"/>
          <w:szCs w:val="28"/>
          <w:lang w:val="ro-RO"/>
        </w:rPr>
        <w:t xml:space="preserve"> Naţional</w:t>
      </w:r>
      <w:r w:rsidR="00AA2C21">
        <w:rPr>
          <w:rFonts w:eastAsiaTheme="minorEastAsia"/>
          <w:sz w:val="28"/>
          <w:szCs w:val="28"/>
          <w:lang w:val="ro-RO"/>
        </w:rPr>
        <w:t>ă</w:t>
      </w:r>
      <w:r w:rsidR="00AA2C21" w:rsidRPr="000925CF">
        <w:rPr>
          <w:rFonts w:eastAsiaTheme="minorEastAsia"/>
          <w:sz w:val="28"/>
          <w:szCs w:val="28"/>
          <w:lang w:val="ro-RO"/>
        </w:rPr>
        <w:t xml:space="preserve"> a Pieţei Financiare”</w:t>
      </w:r>
      <w:r w:rsidR="00335429">
        <w:rPr>
          <w:rFonts w:eastAsiaTheme="minorEastAsia"/>
          <w:sz w:val="28"/>
          <w:szCs w:val="28"/>
          <w:lang w:val="ro-RO"/>
        </w:rPr>
        <w:t xml:space="preserve">, </w:t>
      </w:r>
      <w:r w:rsidR="00FA3326" w:rsidRPr="005F43DD">
        <w:rPr>
          <w:rFonts w:eastAsiaTheme="minorEastAsia"/>
          <w:sz w:val="28"/>
          <w:szCs w:val="28"/>
          <w:lang w:val="ro-RO"/>
        </w:rPr>
        <w:t>la forma gramaticală corespunzătoare;</w:t>
      </w:r>
    </w:p>
    <w:p w:rsidR="00222B3C" w:rsidRPr="008B43CE" w:rsidRDefault="000A1F4C" w:rsidP="00222B3C">
      <w:pPr>
        <w:pStyle w:val="tt"/>
        <w:numPr>
          <w:ilvl w:val="1"/>
          <w:numId w:val="5"/>
        </w:numPr>
        <w:spacing w:before="0" w:beforeAutospacing="0" w:after="0" w:afterAutospacing="0"/>
        <w:jc w:val="both"/>
        <w:rPr>
          <w:rFonts w:eastAsiaTheme="minorEastAsia"/>
          <w:sz w:val="28"/>
          <w:szCs w:val="28"/>
          <w:lang w:val="ro-RO"/>
        </w:rPr>
      </w:pPr>
      <w:r w:rsidRPr="008B43CE">
        <w:rPr>
          <w:rFonts w:eastAsiaTheme="minorEastAsia"/>
          <w:sz w:val="28"/>
          <w:szCs w:val="28"/>
          <w:lang w:val="ro-RO"/>
        </w:rPr>
        <w:t xml:space="preserve"> </w:t>
      </w:r>
      <w:r w:rsidR="00B35916" w:rsidRPr="008B43CE">
        <w:rPr>
          <w:rFonts w:eastAsiaTheme="minorEastAsia"/>
          <w:sz w:val="28"/>
          <w:szCs w:val="28"/>
          <w:lang w:val="ro-RO"/>
        </w:rPr>
        <w:t>În punctul 6 din Anexa nr.3, e</w:t>
      </w:r>
      <w:r w:rsidR="00CD1E9A" w:rsidRPr="008B43CE">
        <w:rPr>
          <w:rFonts w:eastAsiaTheme="minorEastAsia"/>
          <w:sz w:val="28"/>
          <w:szCs w:val="28"/>
          <w:lang w:val="ro-RO"/>
        </w:rPr>
        <w:t>xpresia</w:t>
      </w:r>
      <w:r w:rsidR="00B35916" w:rsidRPr="008B43CE">
        <w:rPr>
          <w:rFonts w:eastAsiaTheme="minorEastAsia"/>
          <w:sz w:val="28"/>
          <w:szCs w:val="28"/>
          <w:lang w:val="ro-RO"/>
        </w:rPr>
        <w:t xml:space="preserve"> „Viceminiștrii”</w:t>
      </w:r>
      <w:r w:rsidR="00CD1E9A" w:rsidRPr="008B43CE">
        <w:rPr>
          <w:rFonts w:eastAsiaTheme="minorEastAsia"/>
          <w:sz w:val="28"/>
          <w:szCs w:val="28"/>
          <w:lang w:val="ro-RO"/>
        </w:rPr>
        <w:t>, se substituie prin expresia</w:t>
      </w:r>
      <w:r w:rsidR="00B35916" w:rsidRPr="008B43CE">
        <w:rPr>
          <w:rFonts w:eastAsiaTheme="minorEastAsia"/>
          <w:sz w:val="28"/>
          <w:szCs w:val="28"/>
          <w:lang w:val="ro-RO"/>
        </w:rPr>
        <w:t xml:space="preserve"> „</w:t>
      </w:r>
      <w:r w:rsidR="00F17533" w:rsidRPr="008B43CE">
        <w:rPr>
          <w:rFonts w:eastAsiaTheme="minorEastAsia"/>
          <w:sz w:val="28"/>
          <w:szCs w:val="28"/>
          <w:lang w:val="ro-RO"/>
        </w:rPr>
        <w:t>Secretarii</w:t>
      </w:r>
      <w:r w:rsidR="00B35916" w:rsidRPr="008B43CE">
        <w:rPr>
          <w:rFonts w:eastAsiaTheme="minorEastAsia"/>
          <w:sz w:val="28"/>
          <w:szCs w:val="28"/>
          <w:lang w:val="ro-RO"/>
        </w:rPr>
        <w:t xml:space="preserve"> general</w:t>
      </w:r>
      <w:r w:rsidR="00F17533" w:rsidRPr="008B43CE">
        <w:rPr>
          <w:rFonts w:eastAsiaTheme="minorEastAsia"/>
          <w:sz w:val="28"/>
          <w:szCs w:val="28"/>
          <w:lang w:val="ro-RO"/>
        </w:rPr>
        <w:t>i</w:t>
      </w:r>
      <w:r w:rsidR="00B35916" w:rsidRPr="008B43CE">
        <w:rPr>
          <w:rFonts w:eastAsiaTheme="minorEastAsia"/>
          <w:sz w:val="28"/>
          <w:szCs w:val="28"/>
          <w:lang w:val="ro-RO"/>
        </w:rPr>
        <w:t xml:space="preserve"> de stat, secretarii de stat”</w:t>
      </w:r>
      <w:r w:rsidR="008B43CE" w:rsidRPr="008B43CE">
        <w:rPr>
          <w:rFonts w:eastAsiaTheme="minorEastAsia"/>
          <w:sz w:val="28"/>
          <w:szCs w:val="28"/>
          <w:lang w:val="ro-RO"/>
        </w:rPr>
        <w:t>.</w:t>
      </w:r>
    </w:p>
    <w:p w:rsidR="00D13C6F" w:rsidRDefault="00D13C6F" w:rsidP="0080358F">
      <w:pPr>
        <w:pStyle w:val="tt"/>
        <w:spacing w:before="0" w:beforeAutospacing="0" w:after="0" w:afterAutospacing="0"/>
        <w:jc w:val="center"/>
        <w:rPr>
          <w:rFonts w:eastAsiaTheme="minorEastAsia"/>
          <w:sz w:val="28"/>
          <w:szCs w:val="28"/>
          <w:lang w:val="ro-RO"/>
        </w:rPr>
      </w:pPr>
    </w:p>
    <w:p w:rsidR="00382C08" w:rsidRPr="008E40C9" w:rsidRDefault="00333A2D" w:rsidP="0080358F">
      <w:pPr>
        <w:jc w:val="both"/>
        <w:rPr>
          <w:sz w:val="28"/>
          <w:szCs w:val="28"/>
          <w:lang w:val="fr-FR"/>
        </w:rPr>
      </w:pPr>
      <w:r w:rsidRPr="005F43DD">
        <w:rPr>
          <w:sz w:val="28"/>
          <w:szCs w:val="28"/>
          <w:lang w:val="ro-RO"/>
        </w:rPr>
        <w:t> </w:t>
      </w:r>
    </w:p>
    <w:tbl>
      <w:tblPr>
        <w:tblW w:w="10635" w:type="dxa"/>
        <w:tblInd w:w="-664" w:type="dxa"/>
        <w:tblCellMar>
          <w:top w:w="15" w:type="dxa"/>
          <w:left w:w="15" w:type="dxa"/>
          <w:bottom w:w="15" w:type="dxa"/>
          <w:right w:w="15" w:type="dxa"/>
        </w:tblCellMar>
        <w:tblLook w:val="04A0"/>
      </w:tblPr>
      <w:tblGrid>
        <w:gridCol w:w="10530"/>
        <w:gridCol w:w="105"/>
      </w:tblGrid>
      <w:tr w:rsidR="00382C08" w:rsidRPr="005B27E5" w:rsidTr="00FA410F">
        <w:trPr>
          <w:gridAfter w:val="1"/>
          <w:trHeight w:val="26"/>
        </w:trPr>
        <w:tc>
          <w:tcPr>
            <w:tcW w:w="10530" w:type="dxa"/>
            <w:tcBorders>
              <w:top w:val="nil"/>
              <w:left w:val="nil"/>
              <w:bottom w:val="nil"/>
              <w:right w:val="nil"/>
            </w:tcBorders>
            <w:tcMar>
              <w:top w:w="15" w:type="dxa"/>
              <w:left w:w="45" w:type="dxa"/>
              <w:bottom w:w="15" w:type="dxa"/>
              <w:right w:w="45" w:type="dxa"/>
            </w:tcMar>
            <w:hideMark/>
          </w:tcPr>
          <w:p w:rsidR="00382C08" w:rsidRPr="005B27E5" w:rsidRDefault="00382C08" w:rsidP="00FA410F">
            <w:pPr>
              <w:pStyle w:val="Heading1"/>
              <w:shd w:val="clear" w:color="auto" w:fill="FFFFFF"/>
              <w:spacing w:before="0" w:beforeAutospacing="0" w:after="230" w:afterAutospacing="0" w:line="288" w:lineRule="atLeast"/>
              <w:ind w:firstLine="720"/>
              <w:textAlignment w:val="baseline"/>
              <w:rPr>
                <w:b w:val="0"/>
                <w:sz w:val="28"/>
                <w:szCs w:val="28"/>
                <w:lang w:val="ro-RO"/>
              </w:rPr>
            </w:pPr>
            <w:r w:rsidRPr="005B27E5">
              <w:rPr>
                <w:sz w:val="28"/>
                <w:szCs w:val="28"/>
                <w:lang w:val="ro-RO"/>
              </w:rPr>
              <w:t>PRIM-MINISTRU</w:t>
            </w:r>
            <w:r w:rsidRPr="005B27E5">
              <w:rPr>
                <w:b w:val="0"/>
                <w:sz w:val="28"/>
                <w:szCs w:val="28"/>
                <w:lang w:val="ro-RO"/>
              </w:rPr>
              <w:tab/>
            </w:r>
            <w:r w:rsidRPr="005B27E5">
              <w:rPr>
                <w:b w:val="0"/>
                <w:sz w:val="28"/>
                <w:szCs w:val="28"/>
                <w:lang w:val="ro-RO"/>
              </w:rPr>
              <w:tab/>
            </w:r>
            <w:r w:rsidRPr="005B27E5">
              <w:rPr>
                <w:b w:val="0"/>
                <w:sz w:val="28"/>
                <w:szCs w:val="28"/>
                <w:lang w:val="ro-RO"/>
              </w:rPr>
              <w:tab/>
            </w:r>
            <w:r w:rsidRPr="005B27E5">
              <w:rPr>
                <w:b w:val="0"/>
                <w:sz w:val="28"/>
                <w:szCs w:val="28"/>
                <w:lang w:val="ro-RO"/>
              </w:rPr>
              <w:tab/>
            </w:r>
            <w:r w:rsidRPr="005B27E5">
              <w:rPr>
                <w:b w:val="0"/>
                <w:sz w:val="28"/>
                <w:szCs w:val="28"/>
                <w:lang w:val="ro-RO"/>
              </w:rPr>
              <w:tab/>
              <w:t xml:space="preserve">                      </w:t>
            </w:r>
            <w:r w:rsidRPr="005B27E5">
              <w:rPr>
                <w:sz w:val="28"/>
                <w:szCs w:val="28"/>
                <w:lang w:val="ro-RO"/>
              </w:rPr>
              <w:t>Pavel FILIP</w:t>
            </w:r>
            <w:r w:rsidRPr="005B27E5">
              <w:rPr>
                <w:b w:val="0"/>
                <w:sz w:val="28"/>
                <w:szCs w:val="28"/>
                <w:lang w:val="ro-RO"/>
              </w:rPr>
              <w:tab/>
            </w:r>
          </w:p>
          <w:p w:rsidR="00382C08" w:rsidRPr="005B27E5" w:rsidRDefault="00382C08" w:rsidP="00FA410F">
            <w:pPr>
              <w:pStyle w:val="Heading1"/>
              <w:shd w:val="clear" w:color="auto" w:fill="FFFFFF"/>
              <w:spacing w:before="0" w:beforeAutospacing="0" w:after="230" w:afterAutospacing="0" w:line="288" w:lineRule="atLeast"/>
              <w:ind w:firstLine="720"/>
              <w:textAlignment w:val="baseline"/>
              <w:rPr>
                <w:b w:val="0"/>
                <w:sz w:val="28"/>
                <w:szCs w:val="28"/>
                <w:lang w:val="ro-RO"/>
              </w:rPr>
            </w:pPr>
            <w:r w:rsidRPr="005B27E5">
              <w:rPr>
                <w:b w:val="0"/>
                <w:sz w:val="28"/>
                <w:szCs w:val="28"/>
                <w:lang w:val="ro-RO"/>
              </w:rPr>
              <w:t>Contrasemnează:</w:t>
            </w:r>
          </w:p>
          <w:p w:rsidR="00382C08" w:rsidRPr="005B27E5" w:rsidRDefault="00382C08" w:rsidP="00FA410F">
            <w:pPr>
              <w:ind w:firstLine="720"/>
              <w:jc w:val="both"/>
              <w:rPr>
                <w:bCs/>
                <w:sz w:val="28"/>
                <w:szCs w:val="28"/>
                <w:lang w:val="ro-RO"/>
              </w:rPr>
            </w:pPr>
            <w:r w:rsidRPr="005B27E5">
              <w:rPr>
                <w:bCs/>
                <w:sz w:val="28"/>
                <w:szCs w:val="28"/>
                <w:lang w:val="ro-RO"/>
              </w:rPr>
              <w:t>Viceprim-ministru, ministru al afacerilor</w:t>
            </w:r>
          </w:p>
          <w:p w:rsidR="00382C08" w:rsidRPr="005B27E5" w:rsidRDefault="00382C08" w:rsidP="00FA410F">
            <w:pPr>
              <w:ind w:firstLine="720"/>
              <w:rPr>
                <w:bCs/>
                <w:sz w:val="28"/>
                <w:szCs w:val="28"/>
                <w:lang w:val="ro-RO"/>
              </w:rPr>
            </w:pPr>
            <w:r w:rsidRPr="005B27E5">
              <w:rPr>
                <w:bCs/>
                <w:sz w:val="28"/>
                <w:szCs w:val="28"/>
                <w:lang w:val="ro-RO"/>
              </w:rPr>
              <w:t>externe şi integrării europene</w:t>
            </w:r>
            <w:r w:rsidRPr="005B27E5">
              <w:rPr>
                <w:bCs/>
                <w:sz w:val="28"/>
                <w:szCs w:val="28"/>
                <w:lang w:val="ro-RO"/>
              </w:rPr>
              <w:tab/>
            </w:r>
            <w:r w:rsidRPr="005B27E5">
              <w:rPr>
                <w:bCs/>
                <w:sz w:val="28"/>
                <w:szCs w:val="28"/>
                <w:lang w:val="ro-RO"/>
              </w:rPr>
              <w:tab/>
            </w:r>
            <w:r w:rsidRPr="005B27E5">
              <w:rPr>
                <w:bCs/>
                <w:sz w:val="28"/>
                <w:szCs w:val="28"/>
                <w:lang w:val="ro-RO"/>
              </w:rPr>
              <w:tab/>
              <w:t xml:space="preserve">                          Andrei GALBUR                                 </w:t>
            </w:r>
          </w:p>
          <w:p w:rsidR="00382C08" w:rsidRPr="005B27E5" w:rsidRDefault="00382C08" w:rsidP="00FA410F">
            <w:pPr>
              <w:ind w:firstLine="720"/>
              <w:jc w:val="right"/>
              <w:rPr>
                <w:bCs/>
                <w:sz w:val="28"/>
                <w:szCs w:val="28"/>
                <w:lang w:val="ro-RO"/>
              </w:rPr>
            </w:pPr>
          </w:p>
          <w:p w:rsidR="00382C08" w:rsidRPr="005B27E5" w:rsidRDefault="00382C08" w:rsidP="00FA410F">
            <w:pPr>
              <w:ind w:firstLine="720"/>
              <w:rPr>
                <w:lang w:val="ro-RO"/>
              </w:rPr>
            </w:pPr>
            <w:r w:rsidRPr="005B27E5">
              <w:rPr>
                <w:bCs/>
                <w:sz w:val="28"/>
                <w:szCs w:val="28"/>
                <w:lang w:val="ro-RO"/>
              </w:rPr>
              <w:t xml:space="preserve">Ministrul finanţelor </w:t>
            </w:r>
            <w:r w:rsidRPr="005B27E5">
              <w:rPr>
                <w:bCs/>
                <w:sz w:val="28"/>
                <w:szCs w:val="28"/>
                <w:lang w:val="ro-RO"/>
              </w:rPr>
              <w:tab/>
              <w:t xml:space="preserve">                          </w:t>
            </w:r>
            <w:r w:rsidRPr="005B27E5">
              <w:rPr>
                <w:bCs/>
                <w:sz w:val="28"/>
                <w:szCs w:val="28"/>
                <w:lang w:val="ro-RO"/>
              </w:rPr>
              <w:tab/>
              <w:t xml:space="preserve">                      Octavian ARMAȘU       </w:t>
            </w:r>
          </w:p>
          <w:p w:rsidR="00382C08" w:rsidRPr="005B27E5" w:rsidRDefault="00382C08" w:rsidP="00FA410F">
            <w:pPr>
              <w:rPr>
                <w:rFonts w:eastAsia="Times New Roman"/>
                <w:b/>
                <w:bCs/>
                <w:sz w:val="28"/>
                <w:szCs w:val="28"/>
                <w:lang w:val="ro-RO"/>
              </w:rPr>
            </w:pPr>
            <w:r w:rsidRPr="005B27E5">
              <w:rPr>
                <w:rFonts w:eastAsia="Times New Roman"/>
                <w:b/>
                <w:bCs/>
                <w:sz w:val="28"/>
                <w:szCs w:val="28"/>
                <w:lang w:val="ro-RO"/>
              </w:rPr>
              <w:t xml:space="preserve"> </w:t>
            </w:r>
          </w:p>
        </w:tc>
      </w:tr>
      <w:tr w:rsidR="00382C08" w:rsidRPr="005B27E5" w:rsidTr="00FA410F">
        <w:trPr>
          <w:trHeight w:val="54"/>
        </w:trPr>
        <w:tc>
          <w:tcPr>
            <w:tcW w:w="10530" w:type="dxa"/>
            <w:tcBorders>
              <w:top w:val="nil"/>
              <w:left w:val="nil"/>
              <w:bottom w:val="nil"/>
              <w:right w:val="nil"/>
            </w:tcBorders>
            <w:tcMar>
              <w:top w:w="15" w:type="dxa"/>
              <w:left w:w="45" w:type="dxa"/>
              <w:bottom w:w="15" w:type="dxa"/>
              <w:right w:w="45" w:type="dxa"/>
            </w:tcMar>
            <w:hideMark/>
          </w:tcPr>
          <w:p w:rsidR="00382C08" w:rsidRPr="005B27E5" w:rsidRDefault="00382C08" w:rsidP="00FA410F">
            <w:pPr>
              <w:rPr>
                <w:rFonts w:eastAsia="Times New Roman"/>
                <w:b/>
                <w:bCs/>
                <w:sz w:val="28"/>
                <w:szCs w:val="28"/>
                <w:lang w:val="ro-RO"/>
              </w:rPr>
            </w:pPr>
          </w:p>
        </w:tc>
        <w:tc>
          <w:tcPr>
            <w:tcW w:w="0" w:type="auto"/>
            <w:tcBorders>
              <w:top w:val="nil"/>
              <w:left w:val="nil"/>
              <w:bottom w:val="nil"/>
              <w:right w:val="nil"/>
            </w:tcBorders>
            <w:tcMar>
              <w:top w:w="15" w:type="dxa"/>
              <w:left w:w="45" w:type="dxa"/>
              <w:bottom w:w="15" w:type="dxa"/>
              <w:right w:w="45" w:type="dxa"/>
            </w:tcMar>
            <w:hideMark/>
          </w:tcPr>
          <w:p w:rsidR="00382C08" w:rsidRPr="005B27E5" w:rsidRDefault="00382C08" w:rsidP="00FA410F">
            <w:pPr>
              <w:rPr>
                <w:rFonts w:eastAsia="Times New Roman"/>
                <w:b/>
                <w:bCs/>
                <w:sz w:val="28"/>
                <w:szCs w:val="28"/>
                <w:lang w:val="ro-RO"/>
              </w:rPr>
            </w:pPr>
          </w:p>
        </w:tc>
      </w:tr>
    </w:tbl>
    <w:p w:rsidR="0080358F" w:rsidRPr="008E40C9" w:rsidRDefault="0080358F" w:rsidP="0080358F">
      <w:pPr>
        <w:jc w:val="both"/>
        <w:rPr>
          <w:sz w:val="28"/>
          <w:szCs w:val="28"/>
          <w:lang w:val="fr-FR"/>
        </w:rPr>
      </w:pPr>
    </w:p>
    <w:sectPr w:rsidR="0080358F" w:rsidRPr="008E40C9" w:rsidSect="00C56BAE">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52C55"/>
    <w:multiLevelType w:val="hybridMultilevel"/>
    <w:tmpl w:val="6498AD5A"/>
    <w:lvl w:ilvl="0" w:tplc="3A4E43E0">
      <w:start w:val="1"/>
      <w:numFmt w:val="lowerLetter"/>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
    <w:nsid w:val="283E7FCA"/>
    <w:multiLevelType w:val="hybridMultilevel"/>
    <w:tmpl w:val="6498AD5A"/>
    <w:lvl w:ilvl="0" w:tplc="3A4E43E0">
      <w:start w:val="1"/>
      <w:numFmt w:val="lowerLetter"/>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
    <w:nsid w:val="320659AE"/>
    <w:multiLevelType w:val="multilevel"/>
    <w:tmpl w:val="A0046570"/>
    <w:lvl w:ilvl="0">
      <w:start w:val="1"/>
      <w:numFmt w:val="decimal"/>
      <w:lvlText w:val="%1."/>
      <w:lvlJc w:val="left"/>
      <w:pPr>
        <w:ind w:left="1080" w:hanging="375"/>
      </w:pPr>
      <w:rPr>
        <w:rFonts w:eastAsia="Times New Roman"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3">
    <w:nsid w:val="439A3344"/>
    <w:multiLevelType w:val="hybridMultilevel"/>
    <w:tmpl w:val="5D6422C4"/>
    <w:lvl w:ilvl="0" w:tplc="2696B6CE">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7A1198"/>
    <w:multiLevelType w:val="hybridMultilevel"/>
    <w:tmpl w:val="6498AD5A"/>
    <w:lvl w:ilvl="0" w:tplc="3A4E43E0">
      <w:start w:val="1"/>
      <w:numFmt w:val="lowerLetter"/>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
    <w:nsid w:val="531510C1"/>
    <w:multiLevelType w:val="hybridMultilevel"/>
    <w:tmpl w:val="DD686922"/>
    <w:lvl w:ilvl="0" w:tplc="04190017">
      <w:start w:val="1"/>
      <w:numFmt w:val="lowerLetter"/>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6">
    <w:nsid w:val="53867DD7"/>
    <w:multiLevelType w:val="hybridMultilevel"/>
    <w:tmpl w:val="0BC867B4"/>
    <w:lvl w:ilvl="0" w:tplc="04190013">
      <w:start w:val="1"/>
      <w:numFmt w:val="upperRoman"/>
      <w:lvlText w:val="%1."/>
      <w:lvlJc w:val="righ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7">
    <w:nsid w:val="6E532F08"/>
    <w:multiLevelType w:val="hybridMultilevel"/>
    <w:tmpl w:val="FF306426"/>
    <w:lvl w:ilvl="0" w:tplc="8B9A1C82">
      <w:start w:val="1"/>
      <w:numFmt w:val="bullet"/>
      <w:lvlText w:val="-"/>
      <w:lvlJc w:val="left"/>
      <w:pPr>
        <w:ind w:left="1790" w:hanging="360"/>
      </w:pPr>
      <w:rPr>
        <w:rFonts w:ascii="Times New Roman" w:eastAsiaTheme="minorEastAsia" w:hAnsi="Times New Roman" w:cs="Times New Roman"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8">
    <w:nsid w:val="756B696C"/>
    <w:multiLevelType w:val="hybridMultilevel"/>
    <w:tmpl w:val="DD686922"/>
    <w:lvl w:ilvl="0" w:tplc="04190017">
      <w:start w:val="1"/>
      <w:numFmt w:val="lowerLetter"/>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6"/>
  </w:num>
  <w:num w:numId="2">
    <w:abstractNumId w:val="0"/>
  </w:num>
  <w:num w:numId="3">
    <w:abstractNumId w:val="5"/>
  </w:num>
  <w:num w:numId="4">
    <w:abstractNumId w:val="8"/>
  </w:num>
  <w:num w:numId="5">
    <w:abstractNumId w:val="2"/>
  </w:num>
  <w:num w:numId="6">
    <w:abstractNumId w:val="3"/>
  </w:num>
  <w:num w:numId="7">
    <w:abstractNumId w:val="4"/>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1E05AE"/>
    <w:rsid w:val="00001251"/>
    <w:rsid w:val="00020A10"/>
    <w:rsid w:val="000227B3"/>
    <w:rsid w:val="0002769C"/>
    <w:rsid w:val="00031B03"/>
    <w:rsid w:val="000358FB"/>
    <w:rsid w:val="0007014F"/>
    <w:rsid w:val="0007403A"/>
    <w:rsid w:val="00075260"/>
    <w:rsid w:val="000755E2"/>
    <w:rsid w:val="000925CF"/>
    <w:rsid w:val="000A1F4C"/>
    <w:rsid w:val="000D0F2A"/>
    <w:rsid w:val="000F17C5"/>
    <w:rsid w:val="000F2BD6"/>
    <w:rsid w:val="000F5851"/>
    <w:rsid w:val="000F6134"/>
    <w:rsid w:val="000F728E"/>
    <w:rsid w:val="00100F73"/>
    <w:rsid w:val="00102FBA"/>
    <w:rsid w:val="00110302"/>
    <w:rsid w:val="001145D5"/>
    <w:rsid w:val="001239AE"/>
    <w:rsid w:val="001261E8"/>
    <w:rsid w:val="001352CC"/>
    <w:rsid w:val="001361B8"/>
    <w:rsid w:val="00136EAD"/>
    <w:rsid w:val="00176BF9"/>
    <w:rsid w:val="001772A5"/>
    <w:rsid w:val="0018261F"/>
    <w:rsid w:val="001850B9"/>
    <w:rsid w:val="00193C83"/>
    <w:rsid w:val="001A0128"/>
    <w:rsid w:val="001A1E50"/>
    <w:rsid w:val="001C5C3C"/>
    <w:rsid w:val="001D6884"/>
    <w:rsid w:val="001E05AE"/>
    <w:rsid w:val="00221B9A"/>
    <w:rsid w:val="00222B3C"/>
    <w:rsid w:val="00225257"/>
    <w:rsid w:val="002459F1"/>
    <w:rsid w:val="00254BA0"/>
    <w:rsid w:val="0025685E"/>
    <w:rsid w:val="00262013"/>
    <w:rsid w:val="00270C52"/>
    <w:rsid w:val="00281705"/>
    <w:rsid w:val="002832FD"/>
    <w:rsid w:val="00293E46"/>
    <w:rsid w:val="00296246"/>
    <w:rsid w:val="002C5878"/>
    <w:rsid w:val="0030172A"/>
    <w:rsid w:val="00302674"/>
    <w:rsid w:val="00303ED8"/>
    <w:rsid w:val="00306421"/>
    <w:rsid w:val="003332B5"/>
    <w:rsid w:val="00333A2D"/>
    <w:rsid w:val="00335429"/>
    <w:rsid w:val="003406DE"/>
    <w:rsid w:val="00361C0D"/>
    <w:rsid w:val="003667DD"/>
    <w:rsid w:val="00372857"/>
    <w:rsid w:val="00382C08"/>
    <w:rsid w:val="0038364D"/>
    <w:rsid w:val="003A1456"/>
    <w:rsid w:val="003C6850"/>
    <w:rsid w:val="003E0D67"/>
    <w:rsid w:val="003E4F04"/>
    <w:rsid w:val="003E7AF7"/>
    <w:rsid w:val="00402111"/>
    <w:rsid w:val="00406855"/>
    <w:rsid w:val="00421400"/>
    <w:rsid w:val="0042143B"/>
    <w:rsid w:val="00421D71"/>
    <w:rsid w:val="00427B77"/>
    <w:rsid w:val="00431D44"/>
    <w:rsid w:val="00474F1E"/>
    <w:rsid w:val="0048471B"/>
    <w:rsid w:val="00490263"/>
    <w:rsid w:val="00494A55"/>
    <w:rsid w:val="00497948"/>
    <w:rsid w:val="004A2087"/>
    <w:rsid w:val="004B0028"/>
    <w:rsid w:val="004E6910"/>
    <w:rsid w:val="004F5770"/>
    <w:rsid w:val="00515179"/>
    <w:rsid w:val="005161D5"/>
    <w:rsid w:val="00523D20"/>
    <w:rsid w:val="00525883"/>
    <w:rsid w:val="00537A92"/>
    <w:rsid w:val="005411C2"/>
    <w:rsid w:val="00542070"/>
    <w:rsid w:val="00567A1D"/>
    <w:rsid w:val="005700B4"/>
    <w:rsid w:val="00581C57"/>
    <w:rsid w:val="0058449A"/>
    <w:rsid w:val="005B2153"/>
    <w:rsid w:val="005C155C"/>
    <w:rsid w:val="005C55DF"/>
    <w:rsid w:val="005E743E"/>
    <w:rsid w:val="005F43DD"/>
    <w:rsid w:val="006046F9"/>
    <w:rsid w:val="00607D20"/>
    <w:rsid w:val="006221F0"/>
    <w:rsid w:val="0062381B"/>
    <w:rsid w:val="00623C5B"/>
    <w:rsid w:val="0062464B"/>
    <w:rsid w:val="00625B97"/>
    <w:rsid w:val="00627056"/>
    <w:rsid w:val="00630047"/>
    <w:rsid w:val="00645B68"/>
    <w:rsid w:val="00646688"/>
    <w:rsid w:val="00653838"/>
    <w:rsid w:val="006569B0"/>
    <w:rsid w:val="0067479B"/>
    <w:rsid w:val="006975D3"/>
    <w:rsid w:val="006A52C8"/>
    <w:rsid w:val="006B3BE0"/>
    <w:rsid w:val="006B4800"/>
    <w:rsid w:val="006C370D"/>
    <w:rsid w:val="006D7663"/>
    <w:rsid w:val="007220BF"/>
    <w:rsid w:val="007244BB"/>
    <w:rsid w:val="00726966"/>
    <w:rsid w:val="00760B42"/>
    <w:rsid w:val="0076740C"/>
    <w:rsid w:val="007A6386"/>
    <w:rsid w:val="007D13DA"/>
    <w:rsid w:val="007D4407"/>
    <w:rsid w:val="007E1B7A"/>
    <w:rsid w:val="007F0D63"/>
    <w:rsid w:val="007F1050"/>
    <w:rsid w:val="007F62AD"/>
    <w:rsid w:val="0080358F"/>
    <w:rsid w:val="00803869"/>
    <w:rsid w:val="00806B3A"/>
    <w:rsid w:val="00811CD3"/>
    <w:rsid w:val="00816D46"/>
    <w:rsid w:val="00823468"/>
    <w:rsid w:val="0083677F"/>
    <w:rsid w:val="00840A43"/>
    <w:rsid w:val="00861097"/>
    <w:rsid w:val="008615C9"/>
    <w:rsid w:val="00875244"/>
    <w:rsid w:val="00893EE3"/>
    <w:rsid w:val="008A2416"/>
    <w:rsid w:val="008A3DF0"/>
    <w:rsid w:val="008A6D5B"/>
    <w:rsid w:val="008B1E5E"/>
    <w:rsid w:val="008B373A"/>
    <w:rsid w:val="008B43CE"/>
    <w:rsid w:val="008E249B"/>
    <w:rsid w:val="008E40C9"/>
    <w:rsid w:val="008F3E89"/>
    <w:rsid w:val="00904487"/>
    <w:rsid w:val="00904A17"/>
    <w:rsid w:val="00907B39"/>
    <w:rsid w:val="009139C9"/>
    <w:rsid w:val="00920E21"/>
    <w:rsid w:val="0093511B"/>
    <w:rsid w:val="009445E5"/>
    <w:rsid w:val="009459C6"/>
    <w:rsid w:val="009466AA"/>
    <w:rsid w:val="00953C1E"/>
    <w:rsid w:val="009607A4"/>
    <w:rsid w:val="00964713"/>
    <w:rsid w:val="009725F0"/>
    <w:rsid w:val="00983F7B"/>
    <w:rsid w:val="00990449"/>
    <w:rsid w:val="009A1363"/>
    <w:rsid w:val="009C0423"/>
    <w:rsid w:val="009E5C22"/>
    <w:rsid w:val="009F212F"/>
    <w:rsid w:val="009F2E8E"/>
    <w:rsid w:val="00A00D4B"/>
    <w:rsid w:val="00A2098D"/>
    <w:rsid w:val="00A23308"/>
    <w:rsid w:val="00A35659"/>
    <w:rsid w:val="00A41C23"/>
    <w:rsid w:val="00A455E6"/>
    <w:rsid w:val="00A50261"/>
    <w:rsid w:val="00A645B2"/>
    <w:rsid w:val="00A77DC8"/>
    <w:rsid w:val="00A822A9"/>
    <w:rsid w:val="00A835FD"/>
    <w:rsid w:val="00A87080"/>
    <w:rsid w:val="00A92102"/>
    <w:rsid w:val="00AA2C21"/>
    <w:rsid w:val="00AC2E16"/>
    <w:rsid w:val="00AE0811"/>
    <w:rsid w:val="00AE535E"/>
    <w:rsid w:val="00AE771F"/>
    <w:rsid w:val="00AE78FD"/>
    <w:rsid w:val="00B15A39"/>
    <w:rsid w:val="00B16116"/>
    <w:rsid w:val="00B16E5D"/>
    <w:rsid w:val="00B23A23"/>
    <w:rsid w:val="00B35916"/>
    <w:rsid w:val="00B40092"/>
    <w:rsid w:val="00B40A1D"/>
    <w:rsid w:val="00B4300D"/>
    <w:rsid w:val="00B50CC1"/>
    <w:rsid w:val="00B52DD7"/>
    <w:rsid w:val="00B6100F"/>
    <w:rsid w:val="00B74973"/>
    <w:rsid w:val="00BA245B"/>
    <w:rsid w:val="00BA2FBF"/>
    <w:rsid w:val="00BA3FAB"/>
    <w:rsid w:val="00BB127F"/>
    <w:rsid w:val="00C328CA"/>
    <w:rsid w:val="00C35A78"/>
    <w:rsid w:val="00C42044"/>
    <w:rsid w:val="00C56BAE"/>
    <w:rsid w:val="00C57BB2"/>
    <w:rsid w:val="00C62CEF"/>
    <w:rsid w:val="00C65B89"/>
    <w:rsid w:val="00C6747C"/>
    <w:rsid w:val="00C70BDA"/>
    <w:rsid w:val="00C75E2D"/>
    <w:rsid w:val="00C81E04"/>
    <w:rsid w:val="00C834B0"/>
    <w:rsid w:val="00C9797C"/>
    <w:rsid w:val="00CA05D1"/>
    <w:rsid w:val="00CB0E46"/>
    <w:rsid w:val="00CB2748"/>
    <w:rsid w:val="00CB5106"/>
    <w:rsid w:val="00CD1E9A"/>
    <w:rsid w:val="00CF5A85"/>
    <w:rsid w:val="00D112D5"/>
    <w:rsid w:val="00D13C6F"/>
    <w:rsid w:val="00D1570C"/>
    <w:rsid w:val="00D1716D"/>
    <w:rsid w:val="00D21091"/>
    <w:rsid w:val="00D266AE"/>
    <w:rsid w:val="00D26D6A"/>
    <w:rsid w:val="00D37767"/>
    <w:rsid w:val="00D5125F"/>
    <w:rsid w:val="00D54501"/>
    <w:rsid w:val="00DA36A2"/>
    <w:rsid w:val="00DE6BDB"/>
    <w:rsid w:val="00DF3523"/>
    <w:rsid w:val="00E03BE0"/>
    <w:rsid w:val="00E16381"/>
    <w:rsid w:val="00E24B9A"/>
    <w:rsid w:val="00E26ADD"/>
    <w:rsid w:val="00E30D5D"/>
    <w:rsid w:val="00E4242F"/>
    <w:rsid w:val="00E52421"/>
    <w:rsid w:val="00E55DC4"/>
    <w:rsid w:val="00E57249"/>
    <w:rsid w:val="00E65909"/>
    <w:rsid w:val="00E74F47"/>
    <w:rsid w:val="00E828D8"/>
    <w:rsid w:val="00E85558"/>
    <w:rsid w:val="00E87AD0"/>
    <w:rsid w:val="00E948AE"/>
    <w:rsid w:val="00E95625"/>
    <w:rsid w:val="00ED5C63"/>
    <w:rsid w:val="00EE4E71"/>
    <w:rsid w:val="00EF11CE"/>
    <w:rsid w:val="00EF6195"/>
    <w:rsid w:val="00F017B6"/>
    <w:rsid w:val="00F17077"/>
    <w:rsid w:val="00F17533"/>
    <w:rsid w:val="00F23484"/>
    <w:rsid w:val="00F24D32"/>
    <w:rsid w:val="00F341CC"/>
    <w:rsid w:val="00F35290"/>
    <w:rsid w:val="00F73532"/>
    <w:rsid w:val="00F74A0E"/>
    <w:rsid w:val="00F80472"/>
    <w:rsid w:val="00F80BA3"/>
    <w:rsid w:val="00F83E82"/>
    <w:rsid w:val="00F85721"/>
    <w:rsid w:val="00FA3326"/>
    <w:rsid w:val="00FA6D40"/>
    <w:rsid w:val="00FB7D83"/>
    <w:rsid w:val="00FD6431"/>
    <w:rsid w:val="00FE3138"/>
    <w:rsid w:val="00FE5D96"/>
    <w:rsid w:val="00FE6045"/>
    <w:rsid w:val="00FE6389"/>
    <w:rsid w:val="00FF627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5AE"/>
    <w:pPr>
      <w:spacing w:after="0" w:line="240" w:lineRule="auto"/>
    </w:pPr>
    <w:rPr>
      <w:rFonts w:ascii="Times New Roman" w:eastAsiaTheme="minorEastAsia" w:hAnsi="Times New Roman" w:cs="Times New Roman"/>
      <w:sz w:val="24"/>
      <w:szCs w:val="24"/>
      <w:lang w:eastAsia="ru-RU"/>
    </w:rPr>
  </w:style>
  <w:style w:type="paragraph" w:styleId="Heading1">
    <w:name w:val="heading 1"/>
    <w:basedOn w:val="Normal"/>
    <w:link w:val="Heading1Char"/>
    <w:uiPriority w:val="9"/>
    <w:qFormat/>
    <w:rsid w:val="001E05AE"/>
    <w:pPr>
      <w:spacing w:before="100" w:beforeAutospacing="1" w:after="100" w:afterAutospacing="1"/>
      <w:outlineLvl w:val="0"/>
    </w:pPr>
    <w:rPr>
      <w:rFonts w:eastAsia="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5AE"/>
    <w:rPr>
      <w:rFonts w:ascii="Times New Roman" w:eastAsia="Times New Roman" w:hAnsi="Times New Roman" w:cs="Times New Roman"/>
      <w:b/>
      <w:bCs/>
      <w:kern w:val="36"/>
      <w:sz w:val="48"/>
      <w:szCs w:val="48"/>
      <w:lang w:val="en-US"/>
    </w:rPr>
  </w:style>
  <w:style w:type="paragraph" w:styleId="NormalWeb">
    <w:name w:val="Normal (Web)"/>
    <w:basedOn w:val="Normal"/>
    <w:uiPriority w:val="99"/>
    <w:unhideWhenUsed/>
    <w:rsid w:val="001E05AE"/>
    <w:pPr>
      <w:ind w:firstLine="567"/>
      <w:jc w:val="both"/>
    </w:pPr>
  </w:style>
  <w:style w:type="paragraph" w:customStyle="1" w:styleId="cn">
    <w:name w:val="cn"/>
    <w:basedOn w:val="Normal"/>
    <w:rsid w:val="001E05AE"/>
    <w:pPr>
      <w:jc w:val="center"/>
    </w:pPr>
  </w:style>
  <w:style w:type="paragraph" w:customStyle="1" w:styleId="cb">
    <w:name w:val="cb"/>
    <w:basedOn w:val="Normal"/>
    <w:rsid w:val="001E05AE"/>
    <w:pPr>
      <w:jc w:val="center"/>
    </w:pPr>
    <w:rPr>
      <w:b/>
      <w:bCs/>
    </w:rPr>
  </w:style>
  <w:style w:type="paragraph" w:customStyle="1" w:styleId="rg">
    <w:name w:val="rg"/>
    <w:basedOn w:val="Normal"/>
    <w:rsid w:val="001E05AE"/>
    <w:pPr>
      <w:jc w:val="right"/>
    </w:pPr>
  </w:style>
  <w:style w:type="character" w:styleId="Hyperlink">
    <w:name w:val="Hyperlink"/>
    <w:basedOn w:val="DefaultParagraphFont"/>
    <w:uiPriority w:val="99"/>
    <w:semiHidden/>
    <w:unhideWhenUsed/>
    <w:rsid w:val="001E05AE"/>
    <w:rPr>
      <w:color w:val="0000FF"/>
      <w:u w:val="single"/>
    </w:rPr>
  </w:style>
  <w:style w:type="paragraph" w:customStyle="1" w:styleId="ListParagraph1">
    <w:name w:val="List Paragraph1"/>
    <w:basedOn w:val="Normal"/>
    <w:uiPriority w:val="34"/>
    <w:qFormat/>
    <w:rsid w:val="001E05AE"/>
    <w:pPr>
      <w:ind w:left="720"/>
      <w:contextualSpacing/>
    </w:pPr>
    <w:rPr>
      <w:rFonts w:eastAsia="Times New Roman"/>
      <w:lang w:val="en-US"/>
    </w:rPr>
  </w:style>
  <w:style w:type="paragraph" w:customStyle="1" w:styleId="tt">
    <w:name w:val="tt"/>
    <w:basedOn w:val="Normal"/>
    <w:rsid w:val="00333A2D"/>
    <w:pPr>
      <w:spacing w:before="100" w:beforeAutospacing="1" w:after="100" w:afterAutospacing="1"/>
    </w:pPr>
    <w:rPr>
      <w:rFonts w:eastAsia="Times New Roman"/>
    </w:rPr>
  </w:style>
  <w:style w:type="paragraph" w:styleId="ListParagraph">
    <w:name w:val="List Paragraph"/>
    <w:basedOn w:val="Normal"/>
    <w:uiPriority w:val="34"/>
    <w:qFormat/>
    <w:rsid w:val="00FB7D83"/>
    <w:pPr>
      <w:ind w:left="720"/>
      <w:contextualSpacing/>
    </w:pPr>
  </w:style>
  <w:style w:type="paragraph" w:styleId="BalloonText">
    <w:name w:val="Balloon Text"/>
    <w:basedOn w:val="Normal"/>
    <w:link w:val="BalloonTextChar"/>
    <w:uiPriority w:val="99"/>
    <w:semiHidden/>
    <w:unhideWhenUsed/>
    <w:rsid w:val="00E24B9A"/>
    <w:rPr>
      <w:rFonts w:ascii="Tahoma" w:hAnsi="Tahoma" w:cs="Tahoma"/>
      <w:sz w:val="16"/>
      <w:szCs w:val="16"/>
    </w:rPr>
  </w:style>
  <w:style w:type="character" w:customStyle="1" w:styleId="BalloonTextChar">
    <w:name w:val="Balloon Text Char"/>
    <w:basedOn w:val="DefaultParagraphFont"/>
    <w:link w:val="BalloonText"/>
    <w:uiPriority w:val="99"/>
    <w:semiHidden/>
    <w:rsid w:val="00E24B9A"/>
    <w:rPr>
      <w:rFonts w:ascii="Tahoma" w:eastAsiaTheme="minorEastAsia" w:hAnsi="Tahoma" w:cs="Tahoma"/>
      <w:sz w:val="16"/>
      <w:szCs w:val="16"/>
      <w:lang w:eastAsia="ru-RU"/>
    </w:rPr>
  </w:style>
  <w:style w:type="table" w:styleId="TableGrid">
    <w:name w:val="Table Grid"/>
    <w:basedOn w:val="TableNormal"/>
    <w:uiPriority w:val="59"/>
    <w:rsid w:val="00E74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699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2152</Words>
  <Characters>12485</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aaaa</Company>
  <LinksUpToDate>false</LinksUpToDate>
  <CharactersWithSpaces>14608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babuciirin</dc:creator>
  <cp:lastModifiedBy>chiriacmar</cp:lastModifiedBy>
  <cp:revision>2</cp:revision>
  <cp:lastPrinted>2017-09-07T10:13:00Z</cp:lastPrinted>
  <dcterms:created xsi:type="dcterms:W3CDTF">2017-12-28T09:55:00Z</dcterms:created>
  <dcterms:modified xsi:type="dcterms:W3CDTF">2017-12-28T09:55:00Z</dcterms:modified>
</cp:coreProperties>
</file>