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497C1" w14:textId="77777777" w:rsidR="003F4184" w:rsidRPr="003F4184" w:rsidRDefault="003F4184" w:rsidP="003F41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color w:val="auto"/>
          <w:sz w:val="24"/>
          <w:szCs w:val="24"/>
          <w:lang w:val="ro-MD" w:eastAsia="ru-RU"/>
        </w:rPr>
      </w:pPr>
      <w:r w:rsidRPr="003F4184">
        <w:rPr>
          <w:rFonts w:ascii="Times New Roman" w:eastAsia="Times New Roman" w:hAnsi="Times New Roman" w:cs="Times New Roman"/>
          <w:color w:val="auto"/>
          <w:sz w:val="24"/>
          <w:szCs w:val="24"/>
          <w:lang w:val="ro-MD" w:eastAsia="ru-RU"/>
        </w:rPr>
        <w:t>Anexa nr.1</w:t>
      </w:r>
    </w:p>
    <w:p w14:paraId="56BE8767" w14:textId="2BD1F770" w:rsidR="003F4184" w:rsidRPr="003F4184" w:rsidRDefault="003F4184" w:rsidP="003F41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color w:val="auto"/>
          <w:sz w:val="24"/>
          <w:szCs w:val="24"/>
          <w:lang w:val="ro-MD" w:eastAsia="ru-RU"/>
        </w:rPr>
      </w:pPr>
      <w:r w:rsidRPr="003F4184">
        <w:rPr>
          <w:rFonts w:ascii="Times New Roman" w:eastAsia="Times New Roman" w:hAnsi="Times New Roman" w:cs="Times New Roman"/>
          <w:color w:val="auto"/>
          <w:sz w:val="24"/>
          <w:szCs w:val="24"/>
          <w:lang w:val="ro-MD" w:eastAsia="ru-RU"/>
        </w:rPr>
        <w:t>la Hotărârea Guvernului</w:t>
      </w:r>
    </w:p>
    <w:p w14:paraId="665D4E69" w14:textId="46D6C6F0" w:rsidR="003F4184" w:rsidRPr="003F4184" w:rsidRDefault="003F4184" w:rsidP="003F4184">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color w:val="auto"/>
          <w:sz w:val="24"/>
          <w:szCs w:val="24"/>
          <w:lang w:val="ro-MD" w:eastAsia="ru-RU"/>
        </w:rPr>
      </w:pPr>
      <w:r w:rsidRPr="003F4184">
        <w:rPr>
          <w:rFonts w:ascii="Times New Roman" w:eastAsia="Times New Roman" w:hAnsi="Times New Roman" w:cs="Times New Roman"/>
          <w:color w:val="auto"/>
          <w:sz w:val="24"/>
          <w:szCs w:val="24"/>
          <w:lang w:val="ro-MD" w:eastAsia="ru-RU"/>
        </w:rPr>
        <w:t>nr.</w:t>
      </w:r>
      <w:r>
        <w:rPr>
          <w:rFonts w:ascii="Times New Roman" w:eastAsia="Times New Roman" w:hAnsi="Times New Roman" w:cs="Times New Roman"/>
          <w:color w:val="auto"/>
          <w:sz w:val="24"/>
          <w:szCs w:val="24"/>
          <w:lang w:val="ro-MD" w:eastAsia="ru-RU"/>
        </w:rPr>
        <w:t>____ din ____________ 2018</w:t>
      </w:r>
    </w:p>
    <w:p w14:paraId="4B22DDC2" w14:textId="77777777" w:rsidR="003F4184" w:rsidRPr="003F4184" w:rsidRDefault="003F4184" w:rsidP="00F953D5">
      <w:pPr>
        <w:spacing w:after="120"/>
        <w:jc w:val="center"/>
        <w:rPr>
          <w:rFonts w:ascii="Times New Roman" w:eastAsia="Times New Roman" w:hAnsi="Times New Roman" w:cs="Times New Roman"/>
          <w:b/>
          <w:color w:val="auto"/>
          <w:sz w:val="24"/>
          <w:szCs w:val="24"/>
          <w:lang w:val="ro-MD"/>
        </w:rPr>
      </w:pPr>
    </w:p>
    <w:p w14:paraId="7281F09A" w14:textId="77777777" w:rsidR="0018317F" w:rsidRPr="00E36A94" w:rsidRDefault="00F953D5" w:rsidP="00F953D5">
      <w:pPr>
        <w:spacing w:after="120"/>
        <w:jc w:val="center"/>
        <w:rPr>
          <w:rFonts w:ascii="Times New Roman" w:eastAsia="Times New Roman" w:hAnsi="Times New Roman" w:cs="Times New Roman"/>
          <w:b/>
          <w:color w:val="auto"/>
          <w:sz w:val="24"/>
          <w:szCs w:val="24"/>
        </w:rPr>
      </w:pPr>
      <w:r w:rsidRPr="00E36A94">
        <w:rPr>
          <w:rFonts w:ascii="Times New Roman" w:eastAsia="Times New Roman" w:hAnsi="Times New Roman" w:cs="Times New Roman"/>
          <w:b/>
          <w:color w:val="auto"/>
          <w:sz w:val="24"/>
          <w:szCs w:val="24"/>
        </w:rPr>
        <w:t>STRATEGIA</w:t>
      </w:r>
      <w:r w:rsidR="0018317F" w:rsidRPr="00E36A94">
        <w:rPr>
          <w:rFonts w:ascii="Times New Roman" w:eastAsia="Times New Roman" w:hAnsi="Times New Roman" w:cs="Times New Roman"/>
          <w:b/>
          <w:color w:val="auto"/>
          <w:sz w:val="24"/>
          <w:szCs w:val="24"/>
        </w:rPr>
        <w:t xml:space="preserve"> </w:t>
      </w:r>
    </w:p>
    <w:p w14:paraId="7E918D73" w14:textId="77777777" w:rsidR="00824A2C" w:rsidRDefault="0018317F" w:rsidP="0018317F">
      <w:pPr>
        <w:spacing w:after="0" w:line="240" w:lineRule="auto"/>
        <w:jc w:val="center"/>
        <w:rPr>
          <w:rFonts w:ascii="Times New Roman" w:eastAsia="Times New Roman" w:hAnsi="Times New Roman" w:cs="Times New Roman"/>
          <w:b/>
          <w:color w:val="auto"/>
          <w:sz w:val="24"/>
          <w:szCs w:val="24"/>
        </w:rPr>
      </w:pPr>
      <w:r w:rsidRPr="00E36A94">
        <w:rPr>
          <w:rFonts w:ascii="Times New Roman" w:eastAsia="Times New Roman" w:hAnsi="Times New Roman" w:cs="Times New Roman"/>
          <w:b/>
          <w:color w:val="auto"/>
          <w:sz w:val="24"/>
          <w:szCs w:val="24"/>
        </w:rPr>
        <w:t xml:space="preserve">de dezvoltare a </w:t>
      </w:r>
      <w:r w:rsidR="00336D09">
        <w:rPr>
          <w:rFonts w:ascii="Times New Roman" w:eastAsia="Times New Roman" w:hAnsi="Times New Roman" w:cs="Times New Roman"/>
          <w:b/>
          <w:color w:val="auto"/>
          <w:sz w:val="24"/>
          <w:szCs w:val="24"/>
        </w:rPr>
        <w:t xml:space="preserve">industriei </w:t>
      </w:r>
      <w:r w:rsidR="00824A2C">
        <w:rPr>
          <w:rFonts w:ascii="Times New Roman" w:eastAsia="Times New Roman" w:hAnsi="Times New Roman" w:cs="Times New Roman"/>
          <w:b/>
          <w:color w:val="auto"/>
          <w:sz w:val="24"/>
          <w:szCs w:val="24"/>
        </w:rPr>
        <w:t>tehnologiei informației</w:t>
      </w:r>
    </w:p>
    <w:p w14:paraId="37DCBD3E" w14:textId="794DDE91" w:rsidR="0018317F" w:rsidRPr="00E36A94" w:rsidRDefault="00336D09" w:rsidP="0018317F">
      <w:p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și a </w:t>
      </w:r>
      <w:r w:rsidR="0018317F" w:rsidRPr="00E36A94">
        <w:rPr>
          <w:rFonts w:ascii="Times New Roman" w:eastAsia="Times New Roman" w:hAnsi="Times New Roman" w:cs="Times New Roman"/>
          <w:b/>
          <w:color w:val="auto"/>
          <w:sz w:val="24"/>
          <w:szCs w:val="24"/>
        </w:rPr>
        <w:t xml:space="preserve">ecosistemului pentru inovare digitală </w:t>
      </w:r>
    </w:p>
    <w:p w14:paraId="450C3286" w14:textId="389AB30A" w:rsidR="00BE134C" w:rsidRPr="00E36A94" w:rsidRDefault="00BE134C" w:rsidP="00BE134C">
      <w:pPr>
        <w:spacing w:after="12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pe anii 2018-2023</w:t>
      </w:r>
    </w:p>
    <w:p w14:paraId="140E5E50" w14:textId="2572FCA3" w:rsidR="00B956CC" w:rsidRPr="006A1E2A" w:rsidRDefault="00B956CC" w:rsidP="00465DBD">
      <w:pPr>
        <w:pStyle w:val="ListParagraph"/>
        <w:numPr>
          <w:ilvl w:val="0"/>
          <w:numId w:val="29"/>
        </w:numPr>
        <w:tabs>
          <w:tab w:val="left" w:pos="3960"/>
          <w:tab w:val="left" w:pos="4320"/>
        </w:tabs>
        <w:spacing w:after="120" w:line="240" w:lineRule="auto"/>
        <w:jc w:val="center"/>
        <w:rPr>
          <w:rFonts w:ascii="Times New Roman" w:eastAsia="Times New Roman" w:hAnsi="Times New Roman" w:cs="Times New Roman"/>
          <w:b/>
          <w:color w:val="auto"/>
          <w:sz w:val="24"/>
          <w:szCs w:val="24"/>
        </w:rPr>
      </w:pPr>
      <w:r w:rsidRPr="006A1E2A">
        <w:rPr>
          <w:rFonts w:ascii="Times New Roman" w:eastAsia="Times New Roman" w:hAnsi="Times New Roman" w:cs="Times New Roman"/>
          <w:b/>
          <w:color w:val="auto"/>
          <w:sz w:val="24"/>
          <w:szCs w:val="24"/>
        </w:rPr>
        <w:t>INTRODUCERE</w:t>
      </w:r>
    </w:p>
    <w:p w14:paraId="162D8656" w14:textId="3256995B" w:rsidR="008D7147" w:rsidRPr="00E36A94" w:rsidRDefault="00475B63" w:rsidP="00824A2C">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Strategia </w:t>
      </w:r>
      <w:r w:rsidR="00824A2C" w:rsidRPr="00824A2C">
        <w:rPr>
          <w:rFonts w:ascii="Times New Roman" w:eastAsia="Times New Roman" w:hAnsi="Times New Roman" w:cs="Times New Roman"/>
          <w:sz w:val="24"/>
          <w:szCs w:val="24"/>
        </w:rPr>
        <w:t>de dezvoltare a ind</w:t>
      </w:r>
      <w:r w:rsidR="00824A2C">
        <w:rPr>
          <w:rFonts w:ascii="Times New Roman" w:eastAsia="Times New Roman" w:hAnsi="Times New Roman" w:cs="Times New Roman"/>
          <w:sz w:val="24"/>
          <w:szCs w:val="24"/>
        </w:rPr>
        <w:t xml:space="preserve">ustriei tehnologiei informației </w:t>
      </w:r>
      <w:r w:rsidR="00824A2C" w:rsidRPr="00824A2C">
        <w:rPr>
          <w:rFonts w:ascii="Times New Roman" w:eastAsia="Times New Roman" w:hAnsi="Times New Roman" w:cs="Times New Roman"/>
          <w:sz w:val="24"/>
          <w:szCs w:val="24"/>
        </w:rPr>
        <w:t>și a ecosist</w:t>
      </w:r>
      <w:r w:rsidR="00824A2C">
        <w:rPr>
          <w:rFonts w:ascii="Times New Roman" w:eastAsia="Times New Roman" w:hAnsi="Times New Roman" w:cs="Times New Roman"/>
          <w:sz w:val="24"/>
          <w:szCs w:val="24"/>
        </w:rPr>
        <w:t xml:space="preserve">emului pentru inovare digitală </w:t>
      </w:r>
      <w:r w:rsidR="00824A2C" w:rsidRPr="00824A2C">
        <w:rPr>
          <w:rFonts w:ascii="Times New Roman" w:eastAsia="Times New Roman" w:hAnsi="Times New Roman" w:cs="Times New Roman"/>
          <w:sz w:val="24"/>
          <w:szCs w:val="24"/>
        </w:rPr>
        <w:t>pe anii 2018-2023</w:t>
      </w:r>
      <w:r w:rsidR="00156B68" w:rsidRPr="00156B68">
        <w:rPr>
          <w:rFonts w:ascii="Times New Roman" w:eastAsia="Times New Roman" w:hAnsi="Times New Roman" w:cs="Times New Roman"/>
          <w:sz w:val="24"/>
          <w:szCs w:val="24"/>
        </w:rPr>
        <w:t xml:space="preserve"> </w:t>
      </w:r>
      <w:r w:rsidRPr="00E36A94">
        <w:rPr>
          <w:rFonts w:ascii="Times New Roman" w:eastAsia="Times New Roman" w:hAnsi="Times New Roman" w:cs="Times New Roman"/>
          <w:sz w:val="24"/>
          <w:szCs w:val="24"/>
        </w:rPr>
        <w:t xml:space="preserve">(în continuare – Strategia) este un document de planificare strategică ce </w:t>
      </w:r>
      <w:r w:rsidR="00E36A94" w:rsidRPr="00E36A94">
        <w:rPr>
          <w:rFonts w:ascii="Times New Roman" w:eastAsia="Times New Roman" w:hAnsi="Times New Roman" w:cs="Times New Roman"/>
          <w:sz w:val="24"/>
          <w:szCs w:val="24"/>
        </w:rPr>
        <w:t>stabilește</w:t>
      </w:r>
      <w:r w:rsidRPr="00E36A94">
        <w:rPr>
          <w:rFonts w:ascii="Times New Roman" w:eastAsia="Times New Roman" w:hAnsi="Times New Roman" w:cs="Times New Roman"/>
          <w:sz w:val="24"/>
          <w:szCs w:val="24"/>
        </w:rPr>
        <w:t xml:space="preserve"> obiectivele </w:t>
      </w:r>
      <w:r w:rsidR="00E36A94"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w:t>
      </w:r>
      <w:r w:rsidR="00E36A94" w:rsidRPr="00E36A94">
        <w:rPr>
          <w:rFonts w:ascii="Times New Roman" w:eastAsia="Times New Roman" w:hAnsi="Times New Roman" w:cs="Times New Roman"/>
          <w:sz w:val="24"/>
          <w:szCs w:val="24"/>
        </w:rPr>
        <w:t>prioritățile</w:t>
      </w:r>
      <w:r w:rsidRPr="00E36A94">
        <w:rPr>
          <w:rFonts w:ascii="Times New Roman" w:eastAsia="Times New Roman" w:hAnsi="Times New Roman" w:cs="Times New Roman"/>
          <w:sz w:val="24"/>
          <w:szCs w:val="24"/>
        </w:rPr>
        <w:t xml:space="preserve"> </w:t>
      </w:r>
      <w:r w:rsidR="000745E0">
        <w:rPr>
          <w:rFonts w:ascii="Times New Roman" w:eastAsia="Times New Roman" w:hAnsi="Times New Roman" w:cs="Times New Roman"/>
          <w:sz w:val="24"/>
          <w:szCs w:val="24"/>
        </w:rPr>
        <w:t>pentru creșterea și diversificarea</w:t>
      </w:r>
      <w:r w:rsidRPr="00E36A94">
        <w:rPr>
          <w:rFonts w:ascii="Times New Roman" w:eastAsia="Times New Roman" w:hAnsi="Times New Roman" w:cs="Times New Roman"/>
          <w:sz w:val="24"/>
          <w:szCs w:val="24"/>
        </w:rPr>
        <w:t xml:space="preserve"> industriei tehnologiei informației (</w:t>
      </w:r>
      <w:r w:rsidR="00156B68">
        <w:rPr>
          <w:rFonts w:ascii="Times New Roman" w:eastAsia="Times New Roman" w:hAnsi="Times New Roman" w:cs="Times New Roman"/>
          <w:sz w:val="24"/>
          <w:szCs w:val="24"/>
        </w:rPr>
        <w:t>TI</w:t>
      </w:r>
      <w:r w:rsidR="000745E0">
        <w:rPr>
          <w:rFonts w:ascii="Times New Roman" w:eastAsia="Times New Roman" w:hAnsi="Times New Roman" w:cs="Times New Roman"/>
          <w:sz w:val="24"/>
          <w:szCs w:val="24"/>
        </w:rPr>
        <w:t>)</w:t>
      </w:r>
      <w:r w:rsidRPr="00E36A94">
        <w:rPr>
          <w:rFonts w:ascii="Times New Roman" w:eastAsia="Times New Roman" w:hAnsi="Times New Roman" w:cs="Times New Roman"/>
          <w:sz w:val="24"/>
          <w:szCs w:val="24"/>
        </w:rPr>
        <w:t xml:space="preserve">. </w:t>
      </w:r>
    </w:p>
    <w:p w14:paraId="6B875C8B" w14:textId="578FB263" w:rsidR="008D7147" w:rsidRDefault="00475B63">
      <w:pPr>
        <w:shd w:val="clear" w:color="auto" w:fill="FFFFFF"/>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Prezentul document de politici vine să </w:t>
      </w:r>
      <w:r w:rsidR="0016254B" w:rsidRPr="00E36A94">
        <w:rPr>
          <w:rFonts w:ascii="Times New Roman" w:eastAsia="Times New Roman" w:hAnsi="Times New Roman" w:cs="Times New Roman"/>
          <w:sz w:val="24"/>
          <w:szCs w:val="24"/>
        </w:rPr>
        <w:t>continu</w:t>
      </w:r>
      <w:r w:rsidR="0016254B">
        <w:rPr>
          <w:rFonts w:ascii="Times New Roman" w:eastAsia="Times New Roman" w:hAnsi="Times New Roman" w:cs="Times New Roman"/>
          <w:sz w:val="24"/>
          <w:szCs w:val="24"/>
        </w:rPr>
        <w:t>e</w:t>
      </w:r>
      <w:r w:rsidRPr="00E36A94">
        <w:rPr>
          <w:rFonts w:ascii="Times New Roman" w:eastAsia="Times New Roman" w:hAnsi="Times New Roman" w:cs="Times New Roman"/>
          <w:sz w:val="24"/>
          <w:szCs w:val="24"/>
        </w:rPr>
        <w:t xml:space="preserve"> eforturile Guvernului pentru dezvoltarea sectorului </w:t>
      </w:r>
      <w:r w:rsidR="000745E0">
        <w:rPr>
          <w:rFonts w:ascii="Times New Roman" w:eastAsia="Times New Roman" w:hAnsi="Times New Roman" w:cs="Times New Roman"/>
          <w:sz w:val="24"/>
          <w:szCs w:val="24"/>
        </w:rPr>
        <w:t>TI</w:t>
      </w:r>
      <w:r w:rsidRPr="00E36A94">
        <w:rPr>
          <w:rFonts w:ascii="Times New Roman" w:eastAsia="Times New Roman" w:hAnsi="Times New Roman" w:cs="Times New Roman"/>
          <w:sz w:val="24"/>
          <w:szCs w:val="24"/>
        </w:rPr>
        <w:t xml:space="preserve">, după ce </w:t>
      </w:r>
      <w:r w:rsidR="00B95AEA" w:rsidRPr="00B95AEA">
        <w:rPr>
          <w:rFonts w:ascii="Times New Roman" w:eastAsia="Times New Roman" w:hAnsi="Times New Roman" w:cs="Times New Roman"/>
          <w:sz w:val="24"/>
          <w:szCs w:val="24"/>
          <w:lang w:val="ro-MD"/>
        </w:rPr>
        <w:t>Strategia de creștere a competitivității industriei tehnologiei informației</w:t>
      </w:r>
      <w:r w:rsidR="003F6B47">
        <w:rPr>
          <w:rFonts w:ascii="Times New Roman" w:eastAsia="Times New Roman" w:hAnsi="Times New Roman" w:cs="Times New Roman"/>
          <w:sz w:val="24"/>
          <w:szCs w:val="24"/>
        </w:rPr>
        <w:t>, aprobată în anul 2015</w:t>
      </w:r>
      <w:r w:rsidRPr="00E36A94">
        <w:rPr>
          <w:rFonts w:ascii="Times New Roman" w:eastAsia="Times New Roman" w:hAnsi="Times New Roman" w:cs="Times New Roman"/>
          <w:sz w:val="24"/>
          <w:szCs w:val="24"/>
        </w:rPr>
        <w:t xml:space="preserve"> a fost realizată, </w:t>
      </w:r>
      <w:r w:rsidR="000745E0">
        <w:rPr>
          <w:rFonts w:ascii="Times New Roman" w:eastAsia="Times New Roman" w:hAnsi="Times New Roman" w:cs="Times New Roman"/>
          <w:sz w:val="24"/>
          <w:szCs w:val="24"/>
        </w:rPr>
        <w:t xml:space="preserve">prin implementarea proiectelor prioritare cu impact major pentru </w:t>
      </w:r>
      <w:r w:rsidRPr="00E36A94">
        <w:rPr>
          <w:rFonts w:ascii="Times New Roman" w:eastAsia="Times New Roman" w:hAnsi="Times New Roman" w:cs="Times New Roman"/>
          <w:sz w:val="24"/>
          <w:szCs w:val="24"/>
        </w:rPr>
        <w:t xml:space="preserve">această industrie. Strategia Guvernului </w:t>
      </w:r>
      <w:r w:rsidR="000745E0">
        <w:rPr>
          <w:rFonts w:ascii="Times New Roman" w:eastAsia="Times New Roman" w:hAnsi="Times New Roman" w:cs="Times New Roman"/>
          <w:sz w:val="24"/>
          <w:szCs w:val="24"/>
        </w:rPr>
        <w:t>pentru sectorul TI</w:t>
      </w:r>
      <w:r w:rsidRPr="00E36A94">
        <w:rPr>
          <w:rFonts w:ascii="Times New Roman" w:eastAsia="Times New Roman" w:hAnsi="Times New Roman" w:cs="Times New Roman"/>
          <w:sz w:val="24"/>
          <w:szCs w:val="24"/>
        </w:rPr>
        <w:t xml:space="preserve"> a reflectat pe deplin importanța sectorului pentru economia națională prin </w:t>
      </w:r>
      <w:r w:rsidR="000745E0">
        <w:rPr>
          <w:rFonts w:ascii="Times New Roman" w:eastAsia="Times New Roman" w:hAnsi="Times New Roman" w:cs="Times New Roman"/>
          <w:sz w:val="24"/>
          <w:szCs w:val="24"/>
        </w:rPr>
        <w:t>facilitățile</w:t>
      </w:r>
      <w:r w:rsidRPr="00E36A94">
        <w:rPr>
          <w:rFonts w:ascii="Times New Roman" w:eastAsia="Times New Roman" w:hAnsi="Times New Roman" w:cs="Times New Roman"/>
          <w:sz w:val="24"/>
          <w:szCs w:val="24"/>
        </w:rPr>
        <w:t xml:space="preserve"> fiscale orientate spre </w:t>
      </w:r>
      <w:r w:rsidR="000745E0">
        <w:rPr>
          <w:rFonts w:ascii="Times New Roman" w:eastAsia="Times New Roman" w:hAnsi="Times New Roman" w:cs="Times New Roman"/>
          <w:sz w:val="24"/>
          <w:szCs w:val="24"/>
        </w:rPr>
        <w:t xml:space="preserve">creșterea </w:t>
      </w:r>
      <w:r w:rsidRPr="00E36A94">
        <w:rPr>
          <w:rFonts w:ascii="Times New Roman" w:eastAsia="Times New Roman" w:hAnsi="Times New Roman" w:cs="Times New Roman"/>
          <w:sz w:val="24"/>
          <w:szCs w:val="24"/>
        </w:rPr>
        <w:t xml:space="preserve">competitivității </w:t>
      </w:r>
      <w:r w:rsidR="000745E0">
        <w:rPr>
          <w:rFonts w:ascii="Times New Roman" w:eastAsia="Times New Roman" w:hAnsi="Times New Roman" w:cs="Times New Roman"/>
          <w:sz w:val="24"/>
          <w:szCs w:val="24"/>
        </w:rPr>
        <w:t>industriei</w:t>
      </w:r>
      <w:r w:rsidRPr="00E36A94">
        <w:rPr>
          <w:rFonts w:ascii="Times New Roman" w:eastAsia="Times New Roman" w:hAnsi="Times New Roman" w:cs="Times New Roman"/>
          <w:sz w:val="24"/>
          <w:szCs w:val="24"/>
        </w:rPr>
        <w:t xml:space="preserve"> TI</w:t>
      </w:r>
      <w:r w:rsidR="003F6B47">
        <w:rPr>
          <w:rFonts w:ascii="Times New Roman" w:eastAsia="Times New Roman" w:hAnsi="Times New Roman" w:cs="Times New Roman"/>
          <w:sz w:val="24"/>
          <w:szCs w:val="24"/>
        </w:rPr>
        <w:t xml:space="preserve"> și acțiuni de susținere a industriei TI</w:t>
      </w:r>
      <w:r w:rsidRPr="00E36A94">
        <w:rPr>
          <w:rFonts w:ascii="Times New Roman" w:eastAsia="Times New Roman" w:hAnsi="Times New Roman" w:cs="Times New Roman"/>
          <w:sz w:val="24"/>
          <w:szCs w:val="24"/>
        </w:rPr>
        <w:t xml:space="preserve">. </w:t>
      </w:r>
    </w:p>
    <w:p w14:paraId="0F1362D8" w14:textId="3EBB6412" w:rsidR="006179FF" w:rsidRPr="00E36A94" w:rsidRDefault="006179FF" w:rsidP="006179FF">
      <w:pPr>
        <w:shd w:val="clear" w:color="auto" w:fill="FFFFFF"/>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Subiectul</w:t>
      </w:r>
      <w:r w:rsidRPr="00E36A94">
        <w:rPr>
          <w:rFonts w:ascii="Times New Roman" w:eastAsia="Times New Roman" w:hAnsi="Times New Roman" w:cs="Times New Roman"/>
          <w:sz w:val="24"/>
          <w:szCs w:val="24"/>
        </w:rPr>
        <w:t xml:space="preserve"> dat a fost </w:t>
      </w:r>
      <w:r>
        <w:rPr>
          <w:rFonts w:ascii="Times New Roman" w:eastAsia="Times New Roman" w:hAnsi="Times New Roman" w:cs="Times New Roman"/>
          <w:sz w:val="24"/>
          <w:szCs w:val="24"/>
        </w:rPr>
        <w:t>abordat la</w:t>
      </w:r>
      <w:r w:rsidRPr="00E36A94">
        <w:rPr>
          <w:rFonts w:ascii="Times New Roman" w:eastAsia="Times New Roman" w:hAnsi="Times New Roman" w:cs="Times New Roman"/>
          <w:sz w:val="24"/>
          <w:szCs w:val="24"/>
        </w:rPr>
        <w:t xml:space="preserve"> reuni</w:t>
      </w:r>
      <w:r>
        <w:rPr>
          <w:rFonts w:ascii="Times New Roman" w:eastAsia="Times New Roman" w:hAnsi="Times New Roman" w:cs="Times New Roman"/>
          <w:sz w:val="24"/>
          <w:szCs w:val="24"/>
        </w:rPr>
        <w:t>unea ministerială</w:t>
      </w:r>
      <w:r w:rsidRPr="00E36A94">
        <w:rPr>
          <w:rFonts w:ascii="Times New Roman" w:eastAsia="Times New Roman" w:hAnsi="Times New Roman" w:cs="Times New Roman"/>
          <w:sz w:val="24"/>
          <w:szCs w:val="24"/>
        </w:rPr>
        <w:t xml:space="preserve"> din cadrul Moldova ICT Summit 2017, în cadrul căreia părerea univocă a fost că</w:t>
      </w:r>
      <w:r w:rsidR="003F6B47">
        <w:rPr>
          <w:rFonts w:ascii="Times New Roman" w:eastAsia="Times New Roman" w:hAnsi="Times New Roman" w:cs="Times New Roman"/>
          <w:sz w:val="24"/>
          <w:szCs w:val="24"/>
        </w:rPr>
        <w:t>,</w:t>
      </w:r>
      <w:r w:rsidRPr="00E36A94">
        <w:rPr>
          <w:rFonts w:ascii="Times New Roman" w:eastAsia="Times New Roman" w:hAnsi="Times New Roman" w:cs="Times New Roman"/>
          <w:sz w:val="24"/>
          <w:szCs w:val="24"/>
        </w:rPr>
        <w:t xml:space="preserve"> Guvernul trebuie să continue acest efort dedicat pentru sprijinirea unuia dintre cele mai promițătoare sectoare ale economiei naționale, ce oferă locuri de muncă de înaltă calificare și cele mai </w:t>
      </w:r>
      <w:r w:rsidR="00B9645A">
        <w:rPr>
          <w:rFonts w:ascii="Times New Roman" w:eastAsia="Times New Roman" w:hAnsi="Times New Roman" w:cs="Times New Roman"/>
          <w:sz w:val="24"/>
          <w:szCs w:val="24"/>
        </w:rPr>
        <w:t>mari</w:t>
      </w:r>
      <w:r w:rsidRPr="00E36A94">
        <w:rPr>
          <w:rFonts w:ascii="Times New Roman" w:eastAsia="Times New Roman" w:hAnsi="Times New Roman" w:cs="Times New Roman"/>
          <w:sz w:val="24"/>
          <w:szCs w:val="24"/>
        </w:rPr>
        <w:t xml:space="preserve"> salarii pentru tinerii talentați și pasionați de </w:t>
      </w:r>
      <w:r>
        <w:rPr>
          <w:rFonts w:ascii="Times New Roman" w:eastAsia="Times New Roman" w:hAnsi="Times New Roman" w:cs="Times New Roman"/>
          <w:sz w:val="24"/>
          <w:szCs w:val="24"/>
        </w:rPr>
        <w:t>inovare</w:t>
      </w:r>
      <w:r w:rsidRPr="00E36A94">
        <w:rPr>
          <w:rFonts w:ascii="Times New Roman" w:eastAsia="Times New Roman" w:hAnsi="Times New Roman" w:cs="Times New Roman"/>
          <w:sz w:val="24"/>
          <w:szCs w:val="24"/>
        </w:rPr>
        <w:t xml:space="preserve"> digitală. </w:t>
      </w:r>
    </w:p>
    <w:p w14:paraId="75C3B8CB" w14:textId="729BD0A2" w:rsidR="006179FF" w:rsidRPr="00E36A94" w:rsidRDefault="006179FF" w:rsidP="006179FF">
      <w:pPr>
        <w:shd w:val="clear" w:color="auto" w:fill="FFFFFF"/>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În rezultatul Raportului de evaluare a Strategiei de creștere a competitivității industriei tehnologiei informației </w:t>
      </w:r>
      <w:r w:rsidR="00B6648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analizelor efectuate de către experții străini</w:t>
      </w:r>
      <w:r w:rsidR="00D35B7B">
        <w:rPr>
          <w:rFonts w:ascii="Times New Roman" w:eastAsia="Times New Roman" w:hAnsi="Times New Roman" w:cs="Times New Roman"/>
          <w:sz w:val="24"/>
          <w:szCs w:val="24"/>
        </w:rPr>
        <w:t xml:space="preserve"> </w:t>
      </w:r>
      <w:r w:rsidR="00D35B7B" w:rsidRPr="00D35B7B">
        <w:rPr>
          <w:rFonts w:ascii="Times New Roman" w:eastAsia="Times New Roman" w:hAnsi="Times New Roman" w:cs="Times New Roman"/>
          <w:bCs/>
          <w:sz w:val="24"/>
          <w:szCs w:val="24"/>
          <w:lang w:val="ro-MD"/>
        </w:rPr>
        <w:t>delegați de către Uniunea Internațională a Telecomunicațiilor</w:t>
      </w:r>
      <w:r w:rsidRPr="00E36A94">
        <w:rPr>
          <w:rFonts w:ascii="Times New Roman" w:eastAsia="Times New Roman" w:hAnsi="Times New Roman" w:cs="Times New Roman"/>
          <w:sz w:val="24"/>
          <w:szCs w:val="24"/>
        </w:rPr>
        <w:t xml:space="preserve"> și Compania de consultanță „</w:t>
      </w:r>
      <w:proofErr w:type="spellStart"/>
      <w:r w:rsidRPr="00E36A94">
        <w:rPr>
          <w:rFonts w:ascii="Times New Roman" w:eastAsia="Times New Roman" w:hAnsi="Times New Roman" w:cs="Times New Roman"/>
          <w:sz w:val="24"/>
          <w:szCs w:val="24"/>
        </w:rPr>
        <w:t>Avasant</w:t>
      </w:r>
      <w:proofErr w:type="spellEnd"/>
      <w:r w:rsidRPr="00E36A94">
        <w:rPr>
          <w:rFonts w:ascii="Times New Roman" w:eastAsia="Times New Roman" w:hAnsi="Times New Roman" w:cs="Times New Roman"/>
          <w:sz w:val="24"/>
          <w:szCs w:val="24"/>
        </w:rPr>
        <w:t xml:space="preserve">”, </w:t>
      </w:r>
      <w:r w:rsidR="003F6B47">
        <w:rPr>
          <w:rFonts w:ascii="Times New Roman" w:eastAsia="Times New Roman" w:hAnsi="Times New Roman" w:cs="Times New Roman"/>
          <w:sz w:val="24"/>
          <w:szCs w:val="24"/>
        </w:rPr>
        <w:t xml:space="preserve">la solicitarea Ministerului </w:t>
      </w:r>
      <w:r w:rsidRPr="00E36A94">
        <w:rPr>
          <w:rFonts w:ascii="Times New Roman" w:eastAsia="Times New Roman" w:hAnsi="Times New Roman" w:cs="Times New Roman"/>
          <w:sz w:val="24"/>
          <w:szCs w:val="24"/>
        </w:rPr>
        <w:t xml:space="preserve">s-a constatat că principalele intervenții de politici prevăzute în Strategia de creștere a competitivității industriei TI au fost realizate, totodată au fost identificate mai multe constrângeri ale ecosistemului de inovare digitală </w:t>
      </w:r>
      <w:r>
        <w:rPr>
          <w:rFonts w:ascii="Times New Roman" w:eastAsia="Times New Roman" w:hAnsi="Times New Roman" w:cs="Times New Roman"/>
          <w:sz w:val="24"/>
          <w:szCs w:val="24"/>
        </w:rPr>
        <w:t xml:space="preserve">și susținere a </w:t>
      </w:r>
      <w:proofErr w:type="spellStart"/>
      <w:r>
        <w:rPr>
          <w:rFonts w:ascii="Times New Roman" w:eastAsia="Times New Roman" w:hAnsi="Times New Roman" w:cs="Times New Roman"/>
          <w:sz w:val="24"/>
          <w:szCs w:val="24"/>
        </w:rPr>
        <w:t>startup</w:t>
      </w:r>
      <w:proofErr w:type="spellEnd"/>
      <w:r>
        <w:rPr>
          <w:rFonts w:ascii="Times New Roman" w:eastAsia="Times New Roman" w:hAnsi="Times New Roman" w:cs="Times New Roman"/>
          <w:sz w:val="24"/>
          <w:szCs w:val="24"/>
        </w:rPr>
        <w:t>-urilor TI</w:t>
      </w:r>
      <w:r w:rsidRPr="00E36A94">
        <w:rPr>
          <w:rFonts w:ascii="Times New Roman" w:eastAsia="Times New Roman" w:hAnsi="Times New Roman" w:cs="Times New Roman"/>
          <w:sz w:val="24"/>
          <w:szCs w:val="24"/>
        </w:rPr>
        <w:t xml:space="preserve">. </w:t>
      </w:r>
    </w:p>
    <w:p w14:paraId="70952E67" w14:textId="15775A13" w:rsidR="006179FF" w:rsidRPr="00E36A94" w:rsidRDefault="006179FF" w:rsidP="006179FF">
      <w:pPr>
        <w:shd w:val="clear" w:color="auto" w:fill="FFFFFF"/>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Actualmente, industria TI înregistrează o creștere constantă, în special ca efe</w:t>
      </w:r>
      <w:r>
        <w:rPr>
          <w:rFonts w:ascii="Times New Roman" w:eastAsia="Times New Roman" w:hAnsi="Times New Roman" w:cs="Times New Roman"/>
          <w:sz w:val="24"/>
          <w:szCs w:val="24"/>
        </w:rPr>
        <w:t xml:space="preserve">ct al acțiunilor deja realizate, în același timp </w:t>
      </w:r>
      <w:r w:rsidRPr="00E36A94">
        <w:rPr>
          <w:rFonts w:ascii="Times New Roman" w:eastAsia="Times New Roman" w:hAnsi="Times New Roman" w:cs="Times New Roman"/>
          <w:sz w:val="24"/>
          <w:szCs w:val="24"/>
        </w:rPr>
        <w:t xml:space="preserve">cota </w:t>
      </w:r>
      <w:r w:rsidR="00B9645A">
        <w:rPr>
          <w:rFonts w:ascii="Times New Roman" w:eastAsia="Times New Roman" w:hAnsi="Times New Roman" w:cs="Times New Roman"/>
          <w:sz w:val="24"/>
          <w:szCs w:val="24"/>
        </w:rPr>
        <w:t>acesteia</w:t>
      </w:r>
      <w:r w:rsidRPr="00E36A94">
        <w:rPr>
          <w:rFonts w:ascii="Times New Roman" w:eastAsia="Times New Roman" w:hAnsi="Times New Roman" w:cs="Times New Roman"/>
          <w:sz w:val="24"/>
          <w:szCs w:val="24"/>
        </w:rPr>
        <w:t xml:space="preserve"> TI nu este în</w:t>
      </w:r>
      <w:r>
        <w:rPr>
          <w:rFonts w:ascii="Times New Roman" w:eastAsia="Times New Roman" w:hAnsi="Times New Roman" w:cs="Times New Roman"/>
          <w:sz w:val="24"/>
          <w:szCs w:val="24"/>
        </w:rPr>
        <w:t xml:space="preserve">că atât de semnificativă, cu toate că </w:t>
      </w:r>
      <w:r w:rsidRPr="00E36A94">
        <w:rPr>
          <w:rFonts w:ascii="Times New Roman" w:eastAsia="Times New Roman" w:hAnsi="Times New Roman" w:cs="Times New Roman"/>
          <w:sz w:val="24"/>
          <w:szCs w:val="24"/>
        </w:rPr>
        <w:t xml:space="preserve">interesul investitorilor este unul foarte mare. De aceea, este nevoie de un nou impuls, de un nou set de acțiuni, pentru a realiza obiectivul de consolidare a </w:t>
      </w:r>
      <w:r w:rsidR="00B9645A">
        <w:rPr>
          <w:rFonts w:ascii="Times New Roman" w:eastAsia="Times New Roman" w:hAnsi="Times New Roman" w:cs="Times New Roman"/>
          <w:sz w:val="24"/>
          <w:szCs w:val="24"/>
        </w:rPr>
        <w:t>industriei</w:t>
      </w:r>
      <w:r w:rsidRPr="00E36A94">
        <w:rPr>
          <w:rFonts w:ascii="Times New Roman" w:eastAsia="Times New Roman" w:hAnsi="Times New Roman" w:cs="Times New Roman"/>
          <w:sz w:val="24"/>
          <w:szCs w:val="24"/>
        </w:rPr>
        <w:t xml:space="preserve"> TI și oferirea companiilor TI a șanselor reale de creștere și dezvoltare.</w:t>
      </w:r>
    </w:p>
    <w:p w14:paraId="45394F7D" w14:textId="011B06D2" w:rsidR="006179FF" w:rsidRPr="00E36A94" w:rsidRDefault="003F6B47">
      <w:pPr>
        <w:shd w:val="clear" w:color="auto" w:fill="FFFFFF"/>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Potrivit Studiilor</w:t>
      </w:r>
      <w:r w:rsidR="006179FF" w:rsidRPr="00E36A94">
        <w:rPr>
          <w:rFonts w:ascii="Times New Roman" w:eastAsia="Times New Roman" w:hAnsi="Times New Roman" w:cs="Times New Roman"/>
          <w:sz w:val="24"/>
          <w:szCs w:val="24"/>
        </w:rPr>
        <w:t xml:space="preserve"> </w:t>
      </w:r>
      <w:r w:rsidR="00D71BEB">
        <w:rPr>
          <w:rFonts w:ascii="Times New Roman" w:eastAsia="Times New Roman" w:hAnsi="Times New Roman" w:cs="Times New Roman"/>
          <w:sz w:val="24"/>
          <w:szCs w:val="24"/>
        </w:rPr>
        <w:t>menționate</w:t>
      </w:r>
      <w:r w:rsidR="006179FF" w:rsidRPr="00E36A94">
        <w:rPr>
          <w:rFonts w:ascii="Times New Roman" w:eastAsia="Times New Roman" w:hAnsi="Times New Roman" w:cs="Times New Roman"/>
          <w:sz w:val="24"/>
          <w:szCs w:val="24"/>
        </w:rPr>
        <w:t xml:space="preserve">, Republica Moldova ar putea fi și mai competitivă pe plan internațional în domeniul </w:t>
      </w:r>
      <w:r w:rsidR="006179FF">
        <w:rPr>
          <w:rFonts w:ascii="Times New Roman" w:eastAsia="Times New Roman" w:hAnsi="Times New Roman" w:cs="Times New Roman"/>
          <w:sz w:val="24"/>
          <w:szCs w:val="24"/>
        </w:rPr>
        <w:t>TI</w:t>
      </w:r>
      <w:r w:rsidR="006179FF" w:rsidRPr="00E36A94">
        <w:rPr>
          <w:rFonts w:ascii="Times New Roman" w:eastAsia="Times New Roman" w:hAnsi="Times New Roman" w:cs="Times New Roman"/>
          <w:sz w:val="24"/>
          <w:szCs w:val="24"/>
        </w:rPr>
        <w:t>, datorită mobilității sale și promovării anumitor produse pe diverse piețe de nișă, poziționării geografice și interculturale avantajoase, diversității lingvistice, interesului creativ și implementării anumitor tehnologii de ultimă generație, inclusiv în instruir</w:t>
      </w:r>
      <w:r w:rsidR="006179FF">
        <w:rPr>
          <w:rFonts w:ascii="Times New Roman" w:eastAsia="Times New Roman" w:hAnsi="Times New Roman" w:cs="Times New Roman"/>
          <w:sz w:val="24"/>
          <w:szCs w:val="24"/>
        </w:rPr>
        <w:t>ea TI</w:t>
      </w:r>
      <w:r w:rsidR="006179FF" w:rsidRPr="00E36A94">
        <w:rPr>
          <w:rFonts w:ascii="Times New Roman" w:eastAsia="Times New Roman" w:hAnsi="Times New Roman" w:cs="Times New Roman"/>
          <w:sz w:val="24"/>
          <w:szCs w:val="24"/>
        </w:rPr>
        <w:t>, etc.</w:t>
      </w:r>
    </w:p>
    <w:p w14:paraId="1AE7E467" w14:textId="5534BAC1" w:rsidR="006179FF" w:rsidRPr="00B6648C" w:rsidRDefault="006179FF" w:rsidP="003F6B47">
      <w:pPr>
        <w:shd w:val="clear" w:color="auto" w:fill="FFFFFF"/>
        <w:spacing w:after="120"/>
        <w:jc w:val="both"/>
        <w:rPr>
          <w:rFonts w:ascii="Times New Roman" w:eastAsia="Times New Roman" w:hAnsi="Times New Roman" w:cs="Times New Roman"/>
          <w:sz w:val="24"/>
          <w:szCs w:val="24"/>
        </w:rPr>
      </w:pPr>
      <w:proofErr w:type="spellStart"/>
      <w:r w:rsidRPr="00B6648C">
        <w:rPr>
          <w:rFonts w:ascii="Times New Roman" w:eastAsia="Times New Roman" w:hAnsi="Times New Roman" w:cs="Times New Roman"/>
          <w:sz w:val="24"/>
          <w:szCs w:val="24"/>
        </w:rPr>
        <w:t>Startup</w:t>
      </w:r>
      <w:proofErr w:type="spellEnd"/>
      <w:r w:rsidR="00B6648C" w:rsidRPr="00B6648C">
        <w:rPr>
          <w:rFonts w:ascii="Times New Roman" w:eastAsia="Times New Roman" w:hAnsi="Times New Roman" w:cs="Times New Roman"/>
          <w:sz w:val="24"/>
          <w:szCs w:val="24"/>
        </w:rPr>
        <w:t>-</w:t>
      </w:r>
      <w:r w:rsidRPr="00B6648C">
        <w:rPr>
          <w:rFonts w:ascii="Times New Roman" w:eastAsia="Times New Roman" w:hAnsi="Times New Roman" w:cs="Times New Roman"/>
          <w:sz w:val="24"/>
          <w:szCs w:val="24"/>
        </w:rPr>
        <w:t xml:space="preserve">urile </w:t>
      </w:r>
      <w:r w:rsidR="003F6B47">
        <w:rPr>
          <w:rFonts w:ascii="Times New Roman" w:eastAsia="Times New Roman" w:hAnsi="Times New Roman" w:cs="Times New Roman"/>
          <w:sz w:val="24"/>
          <w:szCs w:val="24"/>
        </w:rPr>
        <w:t>și în general</w:t>
      </w:r>
      <w:r w:rsidR="00D71BEB">
        <w:rPr>
          <w:rFonts w:ascii="Times New Roman" w:eastAsia="Times New Roman" w:hAnsi="Times New Roman" w:cs="Times New Roman"/>
          <w:sz w:val="24"/>
          <w:szCs w:val="24"/>
        </w:rPr>
        <w:t>,</w:t>
      </w:r>
      <w:r w:rsidR="003F6B47">
        <w:rPr>
          <w:rFonts w:ascii="Times New Roman" w:eastAsia="Times New Roman" w:hAnsi="Times New Roman" w:cs="Times New Roman"/>
          <w:sz w:val="24"/>
          <w:szCs w:val="24"/>
        </w:rPr>
        <w:t xml:space="preserve"> micile companii TI</w:t>
      </w:r>
      <w:r w:rsidR="00D71BEB">
        <w:rPr>
          <w:rFonts w:ascii="Times New Roman" w:eastAsia="Times New Roman" w:hAnsi="Times New Roman" w:cs="Times New Roman"/>
          <w:sz w:val="24"/>
          <w:szCs w:val="24"/>
        </w:rPr>
        <w:t>,</w:t>
      </w:r>
      <w:r w:rsidR="003F6B47">
        <w:rPr>
          <w:rFonts w:ascii="Times New Roman" w:eastAsia="Times New Roman" w:hAnsi="Times New Roman" w:cs="Times New Roman"/>
          <w:sz w:val="24"/>
          <w:szCs w:val="24"/>
        </w:rPr>
        <w:t xml:space="preserve"> </w:t>
      </w:r>
      <w:r w:rsidRPr="00B6648C">
        <w:rPr>
          <w:rFonts w:ascii="Times New Roman" w:eastAsia="Times New Roman" w:hAnsi="Times New Roman" w:cs="Times New Roman"/>
          <w:sz w:val="24"/>
          <w:szCs w:val="24"/>
        </w:rPr>
        <w:t xml:space="preserve">au un impact transformator asupra economiei și societății, </w:t>
      </w:r>
      <w:r w:rsidR="00F10270" w:rsidRPr="00B6648C">
        <w:rPr>
          <w:rFonts w:ascii="Times New Roman" w:eastAsia="Times New Roman" w:hAnsi="Times New Roman" w:cs="Times New Roman"/>
          <w:sz w:val="24"/>
          <w:szCs w:val="24"/>
        </w:rPr>
        <w:t xml:space="preserve">dar în special </w:t>
      </w:r>
      <w:r w:rsidR="003F6B47">
        <w:rPr>
          <w:rFonts w:ascii="Times New Roman" w:eastAsia="Times New Roman" w:hAnsi="Times New Roman" w:cs="Times New Roman"/>
          <w:sz w:val="24"/>
          <w:szCs w:val="24"/>
        </w:rPr>
        <w:t>companiile</w:t>
      </w:r>
      <w:r w:rsidR="00F10270" w:rsidRPr="00B6648C">
        <w:rPr>
          <w:rFonts w:ascii="Times New Roman" w:eastAsia="Times New Roman" w:hAnsi="Times New Roman" w:cs="Times New Roman"/>
          <w:sz w:val="24"/>
          <w:szCs w:val="24"/>
        </w:rPr>
        <w:t xml:space="preserve"> </w:t>
      </w:r>
      <w:r w:rsidR="00B6648C" w:rsidRPr="00B6648C">
        <w:rPr>
          <w:rFonts w:ascii="Times New Roman" w:eastAsia="Times New Roman" w:hAnsi="Times New Roman" w:cs="Times New Roman"/>
          <w:sz w:val="24"/>
          <w:szCs w:val="24"/>
        </w:rPr>
        <w:t>TI,</w:t>
      </w:r>
      <w:r w:rsidR="00F10270" w:rsidRPr="00B6648C">
        <w:rPr>
          <w:rFonts w:ascii="Times New Roman" w:eastAsia="Times New Roman" w:hAnsi="Times New Roman" w:cs="Times New Roman"/>
          <w:sz w:val="24"/>
          <w:szCs w:val="24"/>
        </w:rPr>
        <w:t xml:space="preserve"> </w:t>
      </w:r>
      <w:r w:rsidRPr="00B6648C">
        <w:rPr>
          <w:rFonts w:ascii="Times New Roman" w:eastAsia="Times New Roman" w:hAnsi="Times New Roman" w:cs="Times New Roman"/>
          <w:sz w:val="24"/>
          <w:szCs w:val="24"/>
        </w:rPr>
        <w:t xml:space="preserve">capabile să influențeze modelele de consum datorită </w:t>
      </w:r>
      <w:r w:rsidRPr="00B6648C">
        <w:rPr>
          <w:rFonts w:ascii="Times New Roman" w:eastAsia="Times New Roman" w:hAnsi="Times New Roman" w:cs="Times New Roman"/>
          <w:sz w:val="24"/>
          <w:szCs w:val="24"/>
        </w:rPr>
        <w:lastRenderedPageBreak/>
        <w:t xml:space="preserve">utilizării inovatoare a tehnologiei. </w:t>
      </w:r>
      <w:r w:rsidR="00B6648C" w:rsidRPr="00B6648C">
        <w:rPr>
          <w:rFonts w:ascii="Times New Roman" w:eastAsia="Times New Roman" w:hAnsi="Times New Roman" w:cs="Times New Roman"/>
          <w:sz w:val="24"/>
          <w:szCs w:val="24"/>
        </w:rPr>
        <w:t xml:space="preserve">Totodată, </w:t>
      </w:r>
      <w:proofErr w:type="spellStart"/>
      <w:r w:rsidR="00B6648C" w:rsidRPr="00B6648C">
        <w:rPr>
          <w:rFonts w:ascii="Times New Roman" w:eastAsia="Times New Roman" w:hAnsi="Times New Roman" w:cs="Times New Roman"/>
          <w:sz w:val="24"/>
          <w:szCs w:val="24"/>
        </w:rPr>
        <w:t>s</w:t>
      </w:r>
      <w:r w:rsidRPr="00B6648C">
        <w:rPr>
          <w:rFonts w:ascii="Times New Roman" w:eastAsia="Times New Roman" w:hAnsi="Times New Roman" w:cs="Times New Roman"/>
          <w:sz w:val="24"/>
          <w:szCs w:val="24"/>
        </w:rPr>
        <w:t>tartup</w:t>
      </w:r>
      <w:proofErr w:type="spellEnd"/>
      <w:r w:rsidRPr="00B6648C">
        <w:rPr>
          <w:rFonts w:ascii="Times New Roman" w:eastAsia="Times New Roman" w:hAnsi="Times New Roman" w:cs="Times New Roman"/>
          <w:sz w:val="24"/>
          <w:szCs w:val="24"/>
        </w:rPr>
        <w:t>-urile încep de asemenea să a</w:t>
      </w:r>
      <w:r w:rsidR="00B6648C" w:rsidRPr="00B6648C">
        <w:rPr>
          <w:rFonts w:ascii="Times New Roman" w:eastAsia="Times New Roman" w:hAnsi="Times New Roman" w:cs="Times New Roman"/>
          <w:sz w:val="24"/>
          <w:szCs w:val="24"/>
        </w:rPr>
        <w:t xml:space="preserve">ibă un impact </w:t>
      </w:r>
      <w:r w:rsidR="00F52FFA">
        <w:rPr>
          <w:rFonts w:ascii="Times New Roman" w:eastAsia="Times New Roman" w:hAnsi="Times New Roman" w:cs="Times New Roman"/>
          <w:sz w:val="24"/>
          <w:szCs w:val="24"/>
        </w:rPr>
        <w:t xml:space="preserve">major </w:t>
      </w:r>
      <w:r w:rsidR="00B6648C" w:rsidRPr="00B6648C">
        <w:rPr>
          <w:rFonts w:ascii="Times New Roman" w:eastAsia="Times New Roman" w:hAnsi="Times New Roman" w:cs="Times New Roman"/>
          <w:sz w:val="24"/>
          <w:szCs w:val="24"/>
        </w:rPr>
        <w:t xml:space="preserve">asupra creării </w:t>
      </w:r>
      <w:r w:rsidRPr="00B6648C">
        <w:rPr>
          <w:rFonts w:ascii="Times New Roman" w:eastAsia="Times New Roman" w:hAnsi="Times New Roman" w:cs="Times New Roman"/>
          <w:sz w:val="24"/>
          <w:szCs w:val="24"/>
        </w:rPr>
        <w:t>locuri</w:t>
      </w:r>
      <w:r w:rsidR="00B6648C" w:rsidRPr="00B6648C">
        <w:rPr>
          <w:rFonts w:ascii="Times New Roman" w:eastAsia="Times New Roman" w:hAnsi="Times New Roman" w:cs="Times New Roman"/>
          <w:sz w:val="24"/>
          <w:szCs w:val="24"/>
        </w:rPr>
        <w:t>lor</w:t>
      </w:r>
      <w:r w:rsidRPr="00B6648C">
        <w:rPr>
          <w:rFonts w:ascii="Times New Roman" w:eastAsia="Times New Roman" w:hAnsi="Times New Roman" w:cs="Times New Roman"/>
          <w:sz w:val="24"/>
          <w:szCs w:val="24"/>
        </w:rPr>
        <w:t xml:space="preserve"> de m</w:t>
      </w:r>
      <w:r w:rsidR="003F6B47">
        <w:rPr>
          <w:rFonts w:ascii="Times New Roman" w:eastAsia="Times New Roman" w:hAnsi="Times New Roman" w:cs="Times New Roman"/>
          <w:sz w:val="24"/>
          <w:szCs w:val="24"/>
        </w:rPr>
        <w:t>uncă înalt tehnologizate și bine remunerate.</w:t>
      </w:r>
    </w:p>
    <w:p w14:paraId="78838828" w14:textId="4946C3D8" w:rsidR="006179FF" w:rsidRPr="006179FF" w:rsidRDefault="006179FF" w:rsidP="006179FF">
      <w:pPr>
        <w:shd w:val="clear" w:color="auto" w:fill="FFFFFF"/>
        <w:spacing w:after="120"/>
        <w:jc w:val="both"/>
        <w:rPr>
          <w:rFonts w:ascii="Times New Roman" w:eastAsia="Times New Roman" w:hAnsi="Times New Roman" w:cs="Times New Roman"/>
          <w:sz w:val="24"/>
          <w:szCs w:val="24"/>
        </w:rPr>
      </w:pPr>
      <w:r w:rsidRPr="006179FF">
        <w:rPr>
          <w:rFonts w:ascii="Times New Roman" w:eastAsia="Times New Roman" w:hAnsi="Times New Roman" w:cs="Times New Roman"/>
          <w:sz w:val="24"/>
          <w:szCs w:val="24"/>
        </w:rPr>
        <w:t xml:space="preserve">Principalul rol al </w:t>
      </w:r>
      <w:r>
        <w:rPr>
          <w:rFonts w:ascii="Times New Roman" w:eastAsia="Times New Roman" w:hAnsi="Times New Roman" w:cs="Times New Roman"/>
          <w:sz w:val="24"/>
          <w:szCs w:val="24"/>
        </w:rPr>
        <w:t>Guvernului</w:t>
      </w:r>
      <w:r w:rsidR="00B6648C">
        <w:rPr>
          <w:rFonts w:ascii="Times New Roman" w:eastAsia="Times New Roman" w:hAnsi="Times New Roman" w:cs="Times New Roman"/>
          <w:sz w:val="24"/>
          <w:szCs w:val="24"/>
        </w:rPr>
        <w:t xml:space="preserve"> în această direcție</w:t>
      </w:r>
      <w:r w:rsidRPr="006179FF">
        <w:rPr>
          <w:rFonts w:ascii="Times New Roman" w:eastAsia="Times New Roman" w:hAnsi="Times New Roman" w:cs="Times New Roman"/>
          <w:sz w:val="24"/>
          <w:szCs w:val="24"/>
        </w:rPr>
        <w:t xml:space="preserve"> </w:t>
      </w:r>
      <w:r w:rsidR="005E4CA6">
        <w:rPr>
          <w:rFonts w:ascii="Times New Roman" w:eastAsia="Times New Roman" w:hAnsi="Times New Roman" w:cs="Times New Roman"/>
          <w:sz w:val="24"/>
          <w:szCs w:val="24"/>
        </w:rPr>
        <w:t>constă</w:t>
      </w:r>
      <w:r w:rsidR="003F6B47">
        <w:rPr>
          <w:rFonts w:ascii="Times New Roman" w:eastAsia="Times New Roman" w:hAnsi="Times New Roman" w:cs="Times New Roman"/>
          <w:sz w:val="24"/>
          <w:szCs w:val="24"/>
        </w:rPr>
        <w:t>,</w:t>
      </w:r>
      <w:r w:rsidR="005E4CA6">
        <w:rPr>
          <w:rFonts w:ascii="Times New Roman" w:eastAsia="Times New Roman" w:hAnsi="Times New Roman" w:cs="Times New Roman"/>
          <w:sz w:val="24"/>
          <w:szCs w:val="24"/>
        </w:rPr>
        <w:t xml:space="preserve"> în</w:t>
      </w:r>
      <w:r w:rsidRPr="006179FF">
        <w:rPr>
          <w:rFonts w:ascii="Times New Roman" w:eastAsia="Times New Roman" w:hAnsi="Times New Roman" w:cs="Times New Roman"/>
          <w:sz w:val="24"/>
          <w:szCs w:val="24"/>
        </w:rPr>
        <w:t xml:space="preserve"> facilitarea apariției unor ecosisteme dinamice</w:t>
      </w:r>
      <w:r w:rsidR="003F6B47">
        <w:rPr>
          <w:rFonts w:ascii="Times New Roman" w:eastAsia="Times New Roman" w:hAnsi="Times New Roman" w:cs="Times New Roman"/>
          <w:sz w:val="24"/>
          <w:szCs w:val="24"/>
        </w:rPr>
        <w:t>,</w:t>
      </w:r>
      <w:r w:rsidRPr="006179FF">
        <w:rPr>
          <w:rFonts w:ascii="Times New Roman" w:eastAsia="Times New Roman" w:hAnsi="Times New Roman" w:cs="Times New Roman"/>
          <w:sz w:val="24"/>
          <w:szCs w:val="24"/>
        </w:rPr>
        <w:t xml:space="preserve"> prin colaborarea strânsă cu antreprenorii, investitorii, corporațiile, campionii loc</w:t>
      </w:r>
      <w:r w:rsidR="003F6B47">
        <w:rPr>
          <w:rFonts w:ascii="Times New Roman" w:eastAsia="Times New Roman" w:hAnsi="Times New Roman" w:cs="Times New Roman"/>
          <w:sz w:val="24"/>
          <w:szCs w:val="24"/>
        </w:rPr>
        <w:t xml:space="preserve">ali, și alți actori interesați, și proliferarea soluțiilor TI pe orizontală. </w:t>
      </w:r>
    </w:p>
    <w:p w14:paraId="758F6F89" w14:textId="4019C165" w:rsidR="006179FF" w:rsidRPr="00E36A94" w:rsidRDefault="00475B63">
      <w:pPr>
        <w:shd w:val="clear" w:color="auto" w:fill="FFFFFF"/>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În </w:t>
      </w:r>
      <w:r w:rsidR="00AA6A61">
        <w:rPr>
          <w:rFonts w:ascii="Times New Roman" w:eastAsia="Times New Roman" w:hAnsi="Times New Roman" w:cs="Times New Roman"/>
          <w:sz w:val="24"/>
          <w:szCs w:val="24"/>
        </w:rPr>
        <w:t>acest sens</w:t>
      </w:r>
      <w:r w:rsidRPr="00E36A94">
        <w:rPr>
          <w:rFonts w:ascii="Times New Roman" w:eastAsia="Times New Roman" w:hAnsi="Times New Roman" w:cs="Times New Roman"/>
          <w:sz w:val="24"/>
          <w:szCs w:val="24"/>
        </w:rPr>
        <w:t xml:space="preserve">, Ministerul Economiei și Infrastructurii </w:t>
      </w:r>
      <w:r w:rsidR="00AA6A61">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a </w:t>
      </w:r>
      <w:r w:rsidR="00AA6A61">
        <w:rPr>
          <w:rFonts w:ascii="Times New Roman" w:eastAsia="Times New Roman" w:hAnsi="Times New Roman" w:cs="Times New Roman"/>
          <w:sz w:val="24"/>
          <w:szCs w:val="24"/>
        </w:rPr>
        <w:t>propus actualizare</w:t>
      </w:r>
      <w:r w:rsidRPr="00E36A94">
        <w:rPr>
          <w:rFonts w:ascii="Times New Roman" w:eastAsia="Times New Roman" w:hAnsi="Times New Roman" w:cs="Times New Roman"/>
          <w:sz w:val="24"/>
          <w:szCs w:val="24"/>
        </w:rPr>
        <w:t>a politicilor de susținere a creșterii și diversificării industriei tehnologiei informației prin</w:t>
      </w:r>
      <w:r w:rsidR="00AA6A61">
        <w:rPr>
          <w:rFonts w:ascii="Times New Roman" w:eastAsia="Times New Roman" w:hAnsi="Times New Roman" w:cs="Times New Roman"/>
          <w:sz w:val="24"/>
          <w:szCs w:val="24"/>
        </w:rPr>
        <w:t>tr-o</w:t>
      </w:r>
      <w:r w:rsidRPr="00E36A94">
        <w:rPr>
          <w:rFonts w:ascii="Times New Roman" w:eastAsia="Times New Roman" w:hAnsi="Times New Roman" w:cs="Times New Roman"/>
          <w:sz w:val="24"/>
          <w:szCs w:val="24"/>
        </w:rPr>
        <w:t xml:space="preserve"> </w:t>
      </w:r>
      <w:r w:rsidR="00AA6A61">
        <w:rPr>
          <w:rFonts w:ascii="Times New Roman" w:eastAsia="Times New Roman" w:hAnsi="Times New Roman" w:cs="Times New Roman"/>
          <w:sz w:val="24"/>
          <w:szCs w:val="24"/>
        </w:rPr>
        <w:t>nouă Strategie,</w:t>
      </w:r>
      <w:r w:rsidRPr="00E36A94">
        <w:rPr>
          <w:rFonts w:ascii="Times New Roman" w:eastAsia="Times New Roman" w:hAnsi="Times New Roman" w:cs="Times New Roman"/>
          <w:sz w:val="24"/>
          <w:szCs w:val="24"/>
        </w:rPr>
        <w:t xml:space="preserve"> axată pe dezvoltarea ecosistemului de inovare digitală </w:t>
      </w:r>
      <w:r w:rsidR="00156B68">
        <w:rPr>
          <w:rFonts w:ascii="Times New Roman" w:eastAsia="Times New Roman" w:hAnsi="Times New Roman" w:cs="Times New Roman"/>
          <w:sz w:val="24"/>
          <w:szCs w:val="24"/>
        </w:rPr>
        <w:t xml:space="preserve">și susținere a </w:t>
      </w:r>
      <w:proofErr w:type="spellStart"/>
      <w:r w:rsidR="00156B68">
        <w:rPr>
          <w:rFonts w:ascii="Times New Roman" w:eastAsia="Times New Roman" w:hAnsi="Times New Roman" w:cs="Times New Roman"/>
          <w:sz w:val="24"/>
          <w:szCs w:val="24"/>
        </w:rPr>
        <w:t>startup</w:t>
      </w:r>
      <w:proofErr w:type="spellEnd"/>
      <w:r w:rsidR="00156B68">
        <w:rPr>
          <w:rFonts w:ascii="Times New Roman" w:eastAsia="Times New Roman" w:hAnsi="Times New Roman" w:cs="Times New Roman"/>
          <w:sz w:val="24"/>
          <w:szCs w:val="24"/>
        </w:rPr>
        <w:t>-urilor TI</w:t>
      </w:r>
      <w:r w:rsidRPr="00E36A94">
        <w:rPr>
          <w:rFonts w:ascii="Times New Roman" w:eastAsia="Times New Roman" w:hAnsi="Times New Roman" w:cs="Times New Roman"/>
          <w:sz w:val="24"/>
          <w:szCs w:val="24"/>
        </w:rPr>
        <w:t>.</w:t>
      </w:r>
    </w:p>
    <w:p w14:paraId="1F051D37" w14:textId="6D37946C" w:rsidR="002F05AE" w:rsidRPr="00444BBB" w:rsidRDefault="00475B63" w:rsidP="00444BBB">
      <w:pPr>
        <w:pStyle w:val="ListParagraph"/>
        <w:numPr>
          <w:ilvl w:val="0"/>
          <w:numId w:val="29"/>
        </w:numPr>
        <w:shd w:val="clear" w:color="auto" w:fill="FFFFFF"/>
        <w:spacing w:before="120" w:after="240"/>
        <w:jc w:val="center"/>
        <w:rPr>
          <w:rFonts w:ascii="Times New Roman" w:eastAsia="Times New Roman" w:hAnsi="Times New Roman" w:cs="Times New Roman"/>
          <w:b/>
          <w:color w:val="auto"/>
          <w:sz w:val="24"/>
          <w:szCs w:val="24"/>
        </w:rPr>
      </w:pPr>
      <w:r w:rsidRPr="00444BBB">
        <w:rPr>
          <w:rFonts w:ascii="Times New Roman" w:eastAsia="Times New Roman" w:hAnsi="Times New Roman" w:cs="Times New Roman"/>
          <w:b/>
          <w:color w:val="auto"/>
          <w:sz w:val="24"/>
          <w:szCs w:val="24"/>
        </w:rPr>
        <w:t>DESCRIEREA SITUAŢIEI ŞI PROBLEMELE ÎN INDUSTRIA TI</w:t>
      </w:r>
    </w:p>
    <w:p w14:paraId="4E1AC4D3" w14:textId="77777777" w:rsidR="005E029E" w:rsidRPr="005E029E" w:rsidRDefault="005E029E" w:rsidP="005E029E">
      <w:pPr>
        <w:pStyle w:val="ListParagraph"/>
        <w:shd w:val="clear" w:color="auto" w:fill="FFFFFF"/>
        <w:spacing w:before="120" w:after="240"/>
        <w:ind w:left="1080"/>
        <w:rPr>
          <w:rFonts w:ascii="Times New Roman" w:eastAsia="Times New Roman" w:hAnsi="Times New Roman" w:cs="Times New Roman"/>
          <w:b/>
          <w:color w:val="auto"/>
          <w:sz w:val="16"/>
          <w:szCs w:val="16"/>
        </w:rPr>
      </w:pPr>
    </w:p>
    <w:p w14:paraId="18557EE2" w14:textId="7FA5678B" w:rsidR="008D7147" w:rsidRPr="006A1E2A" w:rsidRDefault="00A847CC" w:rsidP="00156B68">
      <w:pPr>
        <w:pStyle w:val="ListParagraph"/>
        <w:numPr>
          <w:ilvl w:val="1"/>
          <w:numId w:val="19"/>
        </w:numPr>
        <w:shd w:val="clear" w:color="auto" w:fill="FFFFFF"/>
        <w:spacing w:before="120" w:after="120"/>
        <w:jc w:val="both"/>
        <w:rPr>
          <w:rFonts w:ascii="Times New Roman" w:eastAsia="Times New Roman" w:hAnsi="Times New Roman" w:cs="Times New Roman"/>
          <w:sz w:val="24"/>
          <w:szCs w:val="24"/>
        </w:rPr>
      </w:pPr>
      <w:r w:rsidRPr="006A1E2A">
        <w:rPr>
          <w:rFonts w:ascii="Times New Roman" w:eastAsia="Times New Roman" w:hAnsi="Times New Roman" w:cs="Times New Roman"/>
          <w:b/>
          <w:sz w:val="24"/>
          <w:szCs w:val="24"/>
        </w:rPr>
        <w:t>Situația</w:t>
      </w:r>
      <w:r w:rsidR="00475B63" w:rsidRPr="006A1E2A">
        <w:rPr>
          <w:rFonts w:ascii="Times New Roman" w:eastAsia="Times New Roman" w:hAnsi="Times New Roman" w:cs="Times New Roman"/>
          <w:b/>
          <w:sz w:val="24"/>
          <w:szCs w:val="24"/>
        </w:rPr>
        <w:t xml:space="preserve"> curentă</w:t>
      </w:r>
    </w:p>
    <w:p w14:paraId="22F1757A" w14:textId="77777777" w:rsidR="008D7147" w:rsidRPr="00E36A94" w:rsidRDefault="00475B63">
      <w:pPr>
        <w:shd w:val="clear" w:color="auto" w:fill="FFFFFF"/>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Dezvoltarea sectorului TIC din Republica Moldova a cunoscut o evoluție ascendentă în ultimii ani, devenind un sector de o importanță crescândă pentru economia națională, cu un volum de 7,75 mld. lei în anul 2016. Mai mult decât atât, sectorul TIC a avut în ultimii 5 ani contribuții constant pozitive la creșterea PIB-ului, în 2016 acesta asigurând 7,7% din avansul economic de 4,1%, datorită unei creșteri a indicelui volumului fizic al serviciilor prestate cu 4,6% raportat la anul precedent. </w:t>
      </w:r>
    </w:p>
    <w:p w14:paraId="243486D7" w14:textId="77777777" w:rsidR="008D7147" w:rsidRDefault="00475B63">
      <w:pPr>
        <w:shd w:val="clear" w:color="auto" w:fill="FFFFFF"/>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Rating-urile internaționale poziționează Republica Moldova ca un stat cu o infrastructură de comunicații electronice dezvoltată, favorabilă pentru dezvoltarea afacerilor în domeniul tehnologiei informației și comunicațiilor. </w:t>
      </w:r>
    </w:p>
    <w:p w14:paraId="39F18B8B" w14:textId="7123C2CB" w:rsidR="0079416C" w:rsidRPr="0079416C" w:rsidRDefault="0079416C" w:rsidP="0079416C">
      <w:pPr>
        <w:shd w:val="clear" w:color="auto" w:fill="FFFFFF"/>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Sectorul TIC este factorul catalizator de construcție a unei economii competitive pe plan regional și global. Experiența Republicii Moldova în domeniul TI îi oferă țării o poziționare bună pe plan global, și acest fapt este argumentat de poziția țării în</w:t>
      </w:r>
      <w:r>
        <w:rPr>
          <w:rFonts w:ascii="Times New Roman" w:eastAsia="Times New Roman" w:hAnsi="Times New Roman" w:cs="Times New Roman"/>
          <w:sz w:val="24"/>
          <w:szCs w:val="24"/>
        </w:rPr>
        <w:t xml:space="preserve"> ratingurile internaționale TIC.</w:t>
      </w:r>
    </w:p>
    <w:p w14:paraId="0E259E74" w14:textId="4C8A64E2" w:rsidR="008D7147" w:rsidRPr="0079416C" w:rsidRDefault="0079416C" w:rsidP="0079416C">
      <w:pPr>
        <w:shd w:val="clear" w:color="auto" w:fill="FFFFFF"/>
        <w:spacing w:after="120"/>
        <w:jc w:val="both"/>
        <w:rPr>
          <w:rFonts w:ascii="Times New Roman" w:eastAsia="Times New Roman" w:hAnsi="Times New Roman" w:cs="Times New Roman"/>
          <w:b/>
          <w:color w:val="548DD4"/>
          <w:sz w:val="24"/>
          <w:szCs w:val="24"/>
        </w:rPr>
      </w:pPr>
      <w:r w:rsidRPr="0079416C">
        <w:rPr>
          <w:b/>
          <w:color w:val="4F81BD"/>
          <w:sz w:val="24"/>
          <w:szCs w:val="24"/>
        </w:rPr>
        <w:t>Figura 1. Moldova în ratinguri internaționale TIC</w:t>
      </w:r>
    </w:p>
    <w:p w14:paraId="651500B0" w14:textId="062E58FA" w:rsidR="008D7147" w:rsidRPr="00E36A94" w:rsidRDefault="00475B63">
      <w:pPr>
        <w:shd w:val="clear" w:color="auto" w:fill="FFFFFF"/>
        <w:spacing w:after="0"/>
        <w:jc w:val="both"/>
        <w:rPr>
          <w:rFonts w:ascii="Times New Roman" w:eastAsia="Times New Roman" w:hAnsi="Times New Roman" w:cs="Times New Roman"/>
          <w:sz w:val="24"/>
          <w:szCs w:val="24"/>
        </w:rPr>
      </w:pPr>
      <w:r w:rsidRPr="00E36A94">
        <w:rPr>
          <w:noProof/>
          <w:lang w:val="en-US"/>
        </w:rPr>
        <w:drawing>
          <wp:anchor distT="0" distB="0" distL="114300" distR="114300" simplePos="0" relativeHeight="251657216" behindDoc="0" locked="0" layoutInCell="1" hidden="0" allowOverlap="1" wp14:anchorId="6234FE32" wp14:editId="2608B409">
            <wp:simplePos x="0" y="0"/>
            <wp:positionH relativeFrom="margin">
              <wp:posOffset>9525</wp:posOffset>
            </wp:positionH>
            <wp:positionV relativeFrom="paragraph">
              <wp:posOffset>57150</wp:posOffset>
            </wp:positionV>
            <wp:extent cx="3359150" cy="1987550"/>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359150" cy="1987550"/>
                    </a:xfrm>
                    <a:prstGeom prst="rect">
                      <a:avLst/>
                    </a:prstGeom>
                    <a:ln/>
                  </pic:spPr>
                </pic:pic>
              </a:graphicData>
            </a:graphic>
          </wp:anchor>
        </w:drawing>
      </w:r>
    </w:p>
    <w:p w14:paraId="2D318CDE" w14:textId="77777777" w:rsidR="008D7147" w:rsidRPr="00E36A94" w:rsidRDefault="00475B63" w:rsidP="003271FA">
      <w:pPr>
        <w:numPr>
          <w:ilvl w:val="0"/>
          <w:numId w:val="3"/>
        </w:numPr>
        <w:shd w:val="clear" w:color="auto" w:fill="FFFFFF"/>
        <w:spacing w:after="0"/>
        <w:ind w:hanging="720"/>
        <w:rPr>
          <w:sz w:val="24"/>
          <w:szCs w:val="24"/>
        </w:rPr>
      </w:pPr>
      <w:r w:rsidRPr="00E36A94">
        <w:rPr>
          <w:rFonts w:ascii="Times New Roman" w:eastAsia="Times New Roman" w:hAnsi="Times New Roman" w:cs="Times New Roman"/>
          <w:sz w:val="24"/>
          <w:szCs w:val="24"/>
        </w:rPr>
        <w:t xml:space="preserve">Locul 59 din 175 – ICT </w:t>
      </w:r>
      <w:proofErr w:type="spellStart"/>
      <w:r w:rsidRPr="00E36A94">
        <w:rPr>
          <w:rFonts w:ascii="Times New Roman" w:eastAsia="Times New Roman" w:hAnsi="Times New Roman" w:cs="Times New Roman"/>
          <w:sz w:val="24"/>
          <w:szCs w:val="24"/>
        </w:rPr>
        <w:t>Development</w:t>
      </w:r>
      <w:proofErr w:type="spellEnd"/>
      <w:r w:rsidRPr="00E36A94">
        <w:rPr>
          <w:rFonts w:ascii="Times New Roman" w:eastAsia="Times New Roman" w:hAnsi="Times New Roman" w:cs="Times New Roman"/>
          <w:sz w:val="24"/>
          <w:szCs w:val="24"/>
        </w:rPr>
        <w:t xml:space="preserve"> Index;</w:t>
      </w:r>
    </w:p>
    <w:p w14:paraId="60F5E1E9" w14:textId="77777777" w:rsidR="008D7147" w:rsidRPr="00E36A94" w:rsidRDefault="00475B63" w:rsidP="003271FA">
      <w:pPr>
        <w:numPr>
          <w:ilvl w:val="0"/>
          <w:numId w:val="3"/>
        </w:numPr>
        <w:shd w:val="clear" w:color="auto" w:fill="FFFFFF"/>
        <w:spacing w:after="0"/>
        <w:ind w:hanging="720"/>
        <w:rPr>
          <w:sz w:val="24"/>
          <w:szCs w:val="24"/>
        </w:rPr>
      </w:pPr>
      <w:r w:rsidRPr="00E36A94">
        <w:rPr>
          <w:rFonts w:ascii="Times New Roman" w:eastAsia="Times New Roman" w:hAnsi="Times New Roman" w:cs="Times New Roman"/>
          <w:sz w:val="24"/>
          <w:szCs w:val="24"/>
        </w:rPr>
        <w:t xml:space="preserve">Locul 71 din 139 – </w:t>
      </w:r>
      <w:proofErr w:type="spellStart"/>
      <w:r w:rsidRPr="00E36A94">
        <w:rPr>
          <w:rFonts w:ascii="Times New Roman" w:eastAsia="Times New Roman" w:hAnsi="Times New Roman" w:cs="Times New Roman"/>
          <w:sz w:val="24"/>
          <w:szCs w:val="24"/>
        </w:rPr>
        <w:t>Network</w:t>
      </w:r>
      <w:proofErr w:type="spellEnd"/>
      <w:r w:rsidRPr="00E36A94">
        <w:rPr>
          <w:rFonts w:ascii="Times New Roman" w:eastAsia="Times New Roman" w:hAnsi="Times New Roman" w:cs="Times New Roman"/>
          <w:sz w:val="24"/>
          <w:szCs w:val="24"/>
        </w:rPr>
        <w:t xml:space="preserve"> </w:t>
      </w:r>
      <w:proofErr w:type="spellStart"/>
      <w:r w:rsidRPr="00E36A94">
        <w:rPr>
          <w:rFonts w:ascii="Times New Roman" w:eastAsia="Times New Roman" w:hAnsi="Times New Roman" w:cs="Times New Roman"/>
          <w:sz w:val="24"/>
          <w:szCs w:val="24"/>
        </w:rPr>
        <w:t>Readiness</w:t>
      </w:r>
      <w:proofErr w:type="spellEnd"/>
      <w:r w:rsidRPr="00E36A94">
        <w:rPr>
          <w:rFonts w:ascii="Times New Roman" w:eastAsia="Times New Roman" w:hAnsi="Times New Roman" w:cs="Times New Roman"/>
          <w:sz w:val="24"/>
          <w:szCs w:val="24"/>
        </w:rPr>
        <w:t xml:space="preserve"> Index;</w:t>
      </w:r>
    </w:p>
    <w:p w14:paraId="53E88980" w14:textId="77777777" w:rsidR="008D7147" w:rsidRPr="00E36A94" w:rsidRDefault="00475B63" w:rsidP="003271FA">
      <w:pPr>
        <w:numPr>
          <w:ilvl w:val="0"/>
          <w:numId w:val="3"/>
        </w:numPr>
        <w:shd w:val="clear" w:color="auto" w:fill="FFFFFF"/>
        <w:spacing w:after="0"/>
        <w:ind w:hanging="720"/>
        <w:rPr>
          <w:sz w:val="24"/>
          <w:szCs w:val="24"/>
        </w:rPr>
      </w:pPr>
      <w:r w:rsidRPr="00E36A94">
        <w:rPr>
          <w:rFonts w:ascii="Times New Roman" w:eastAsia="Times New Roman" w:hAnsi="Times New Roman" w:cs="Times New Roman"/>
          <w:sz w:val="24"/>
          <w:szCs w:val="24"/>
        </w:rPr>
        <w:t>Locul 65 din 193 – e-</w:t>
      </w:r>
      <w:proofErr w:type="spellStart"/>
      <w:r w:rsidRPr="00E36A94">
        <w:rPr>
          <w:rFonts w:ascii="Times New Roman" w:eastAsia="Times New Roman" w:hAnsi="Times New Roman" w:cs="Times New Roman"/>
          <w:sz w:val="24"/>
          <w:szCs w:val="24"/>
        </w:rPr>
        <w:t>Governmnet</w:t>
      </w:r>
      <w:proofErr w:type="spellEnd"/>
      <w:r w:rsidRPr="00E36A94">
        <w:rPr>
          <w:rFonts w:ascii="Times New Roman" w:eastAsia="Times New Roman" w:hAnsi="Times New Roman" w:cs="Times New Roman"/>
          <w:sz w:val="24"/>
          <w:szCs w:val="24"/>
        </w:rPr>
        <w:t xml:space="preserve"> </w:t>
      </w:r>
      <w:proofErr w:type="spellStart"/>
      <w:r w:rsidRPr="00E36A94">
        <w:rPr>
          <w:rFonts w:ascii="Times New Roman" w:eastAsia="Times New Roman" w:hAnsi="Times New Roman" w:cs="Times New Roman"/>
          <w:sz w:val="24"/>
          <w:szCs w:val="24"/>
        </w:rPr>
        <w:t>Readiness</w:t>
      </w:r>
      <w:proofErr w:type="spellEnd"/>
      <w:r w:rsidRPr="00E36A94">
        <w:rPr>
          <w:rFonts w:ascii="Times New Roman" w:eastAsia="Times New Roman" w:hAnsi="Times New Roman" w:cs="Times New Roman"/>
          <w:sz w:val="24"/>
          <w:szCs w:val="24"/>
        </w:rPr>
        <w:t xml:space="preserve"> Index;</w:t>
      </w:r>
    </w:p>
    <w:p w14:paraId="1AEFD5E2" w14:textId="77777777" w:rsidR="008D7147" w:rsidRPr="00E36A94" w:rsidRDefault="00475B63" w:rsidP="003271FA">
      <w:pPr>
        <w:numPr>
          <w:ilvl w:val="0"/>
          <w:numId w:val="3"/>
        </w:numPr>
        <w:shd w:val="clear" w:color="auto" w:fill="FFFFFF"/>
        <w:spacing w:after="120"/>
        <w:ind w:hanging="720"/>
        <w:rPr>
          <w:sz w:val="24"/>
          <w:szCs w:val="24"/>
        </w:rPr>
      </w:pPr>
      <w:r w:rsidRPr="00E36A94">
        <w:rPr>
          <w:rFonts w:ascii="Times New Roman" w:eastAsia="Times New Roman" w:hAnsi="Times New Roman" w:cs="Times New Roman"/>
          <w:sz w:val="24"/>
          <w:szCs w:val="24"/>
        </w:rPr>
        <w:t xml:space="preserve">Locul 46 din 128 – The Global </w:t>
      </w:r>
      <w:proofErr w:type="spellStart"/>
      <w:r w:rsidRPr="00E36A94">
        <w:rPr>
          <w:rFonts w:ascii="Times New Roman" w:eastAsia="Times New Roman" w:hAnsi="Times New Roman" w:cs="Times New Roman"/>
          <w:sz w:val="24"/>
          <w:szCs w:val="24"/>
        </w:rPr>
        <w:t>Innovation</w:t>
      </w:r>
      <w:proofErr w:type="spellEnd"/>
      <w:r w:rsidRPr="00E36A94">
        <w:rPr>
          <w:rFonts w:ascii="Times New Roman" w:eastAsia="Times New Roman" w:hAnsi="Times New Roman" w:cs="Times New Roman"/>
          <w:sz w:val="24"/>
          <w:szCs w:val="24"/>
        </w:rPr>
        <w:t xml:space="preserve"> Index.</w:t>
      </w:r>
    </w:p>
    <w:p w14:paraId="3C272F9F" w14:textId="77777777" w:rsidR="0079416C" w:rsidRDefault="0079416C" w:rsidP="00156B68">
      <w:pPr>
        <w:shd w:val="clear" w:color="auto" w:fill="FFFFFF"/>
        <w:spacing w:after="120"/>
        <w:jc w:val="both"/>
        <w:rPr>
          <w:rFonts w:ascii="Times New Roman" w:eastAsia="Times New Roman" w:hAnsi="Times New Roman" w:cs="Times New Roman"/>
          <w:sz w:val="24"/>
          <w:szCs w:val="24"/>
        </w:rPr>
      </w:pPr>
    </w:p>
    <w:p w14:paraId="3C1B27EC" w14:textId="1A0DEA56" w:rsidR="008D7147" w:rsidRPr="00E36A94" w:rsidRDefault="00475B63" w:rsidP="00156B68">
      <w:pPr>
        <w:shd w:val="clear" w:color="auto" w:fill="FFFFFF"/>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Datorită unor avantaje competitive ce țin de amplasarea geografică și fusul orar echilibrat, de aprofundarea relațiilor cu Uniunea Europeană prin Acordul de Liber Schimb (DCFTA), de existența unui acces liber către o piață potențială de peste 880 milioane consumatori, de capitalul uman multilingv </w:t>
      </w:r>
      <w:r w:rsidR="00E36A94"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creativ, de </w:t>
      </w:r>
      <w:r w:rsidR="00E36A94" w:rsidRPr="00E36A94">
        <w:rPr>
          <w:rFonts w:ascii="Times New Roman" w:eastAsia="Times New Roman" w:hAnsi="Times New Roman" w:cs="Times New Roman"/>
          <w:sz w:val="24"/>
          <w:szCs w:val="24"/>
        </w:rPr>
        <w:t>facilitățile</w:t>
      </w:r>
      <w:r w:rsidRPr="00E36A94">
        <w:rPr>
          <w:rFonts w:ascii="Times New Roman" w:eastAsia="Times New Roman" w:hAnsi="Times New Roman" w:cs="Times New Roman"/>
          <w:sz w:val="24"/>
          <w:szCs w:val="24"/>
        </w:rPr>
        <w:t xml:space="preserve"> acordate de Guvern pentru industria TI, de costul derulării afacerilor în domeniul TI inferioare celor din statele vecine, precum </w:t>
      </w:r>
      <w:r w:rsidR="00E36A94"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de extinderea </w:t>
      </w:r>
      <w:r w:rsidR="00E36A94" w:rsidRPr="00E36A94">
        <w:rPr>
          <w:rFonts w:ascii="Times New Roman" w:eastAsia="Times New Roman" w:hAnsi="Times New Roman" w:cs="Times New Roman"/>
          <w:sz w:val="24"/>
          <w:szCs w:val="24"/>
        </w:rPr>
        <w:t>pieței</w:t>
      </w:r>
      <w:r w:rsidRPr="00E36A94">
        <w:rPr>
          <w:rFonts w:ascii="Times New Roman" w:eastAsia="Times New Roman" w:hAnsi="Times New Roman" w:cs="Times New Roman"/>
          <w:sz w:val="24"/>
          <w:szCs w:val="24"/>
        </w:rPr>
        <w:t xml:space="preserve"> TIC autohtone – în ultimii 5 ani ritmul de creștere din industria TI a depășit alte sectoare economice.</w:t>
      </w:r>
    </w:p>
    <w:p w14:paraId="07F1C0D4" w14:textId="77777777" w:rsidR="00A57B4E" w:rsidRDefault="00A57B4E">
      <w:pPr>
        <w:shd w:val="clear" w:color="auto" w:fill="FFFFFF"/>
        <w:spacing w:after="0"/>
        <w:jc w:val="both"/>
        <w:rPr>
          <w:rFonts w:ascii="Times New Roman" w:eastAsia="Times New Roman" w:hAnsi="Times New Roman" w:cs="Times New Roman"/>
          <w:sz w:val="24"/>
          <w:szCs w:val="24"/>
        </w:rPr>
      </w:pPr>
    </w:p>
    <w:p w14:paraId="78D7674A" w14:textId="77777777" w:rsidR="008D7147" w:rsidRPr="00E36A94" w:rsidRDefault="00475B63">
      <w:pPr>
        <w:shd w:val="clear" w:color="auto" w:fill="FFFFFF"/>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lastRenderedPageBreak/>
        <w:t>În acest sens:</w:t>
      </w:r>
    </w:p>
    <w:p w14:paraId="7AA28AEC" w14:textId="1DDEFE2A" w:rsidR="008D7147" w:rsidRPr="00156B68" w:rsidRDefault="00475B63" w:rsidP="00156B68">
      <w:pPr>
        <w:pStyle w:val="ListParagraph"/>
        <w:numPr>
          <w:ilvl w:val="2"/>
          <w:numId w:val="19"/>
        </w:numPr>
        <w:shd w:val="clear" w:color="auto" w:fill="FFFFFF"/>
        <w:spacing w:after="0"/>
        <w:ind w:left="0" w:firstLine="0"/>
        <w:jc w:val="both"/>
        <w:rPr>
          <w:rFonts w:ascii="Times New Roman" w:eastAsia="Times New Roman" w:hAnsi="Times New Roman" w:cs="Times New Roman"/>
          <w:sz w:val="24"/>
          <w:szCs w:val="24"/>
        </w:rPr>
      </w:pPr>
      <w:r w:rsidRPr="00156B68">
        <w:rPr>
          <w:rFonts w:ascii="Times New Roman" w:eastAsia="Times New Roman" w:hAnsi="Times New Roman" w:cs="Times New Roman"/>
          <w:b/>
          <w:i/>
          <w:sz w:val="24"/>
          <w:szCs w:val="24"/>
        </w:rPr>
        <w:t xml:space="preserve">Volumul exportului de servicii de informatică </w:t>
      </w:r>
      <w:r w:rsidR="00E36A94" w:rsidRPr="00156B68">
        <w:rPr>
          <w:rFonts w:ascii="Times New Roman" w:eastAsia="Times New Roman" w:hAnsi="Times New Roman" w:cs="Times New Roman"/>
          <w:b/>
          <w:i/>
          <w:sz w:val="24"/>
          <w:szCs w:val="24"/>
        </w:rPr>
        <w:t>și</w:t>
      </w:r>
      <w:r w:rsidRPr="00156B68">
        <w:rPr>
          <w:rFonts w:ascii="Times New Roman" w:eastAsia="Times New Roman" w:hAnsi="Times New Roman" w:cs="Times New Roman"/>
          <w:b/>
          <w:i/>
          <w:sz w:val="24"/>
          <w:szCs w:val="24"/>
        </w:rPr>
        <w:t xml:space="preserve"> </w:t>
      </w:r>
      <w:r w:rsidR="00E36A94" w:rsidRPr="00156B68">
        <w:rPr>
          <w:rFonts w:ascii="Times New Roman" w:eastAsia="Times New Roman" w:hAnsi="Times New Roman" w:cs="Times New Roman"/>
          <w:b/>
          <w:i/>
          <w:sz w:val="24"/>
          <w:szCs w:val="24"/>
        </w:rPr>
        <w:t>informaționale</w:t>
      </w:r>
      <w:r w:rsidRPr="00156B68">
        <w:rPr>
          <w:rFonts w:ascii="Times New Roman" w:eastAsia="Times New Roman" w:hAnsi="Times New Roman" w:cs="Times New Roman"/>
          <w:i/>
          <w:sz w:val="24"/>
          <w:szCs w:val="24"/>
        </w:rPr>
        <w:t xml:space="preserve"> </w:t>
      </w:r>
      <w:r w:rsidRPr="00156B68">
        <w:rPr>
          <w:rFonts w:ascii="Times New Roman" w:eastAsia="Times New Roman" w:hAnsi="Times New Roman" w:cs="Times New Roman"/>
          <w:sz w:val="24"/>
          <w:szCs w:val="24"/>
        </w:rPr>
        <w:t xml:space="preserve">a crescut în intervalul 2011-2016 cu o rată medie anuală de 10,6% până la valoarea de 79,2 mil. USD, ponderea acestora în totalul exporturilor de servicii majorându-se de la 5,6% în 2011 la 8,9% în 2016. </w:t>
      </w:r>
    </w:p>
    <w:p w14:paraId="48B8887A" w14:textId="2846FBB9" w:rsidR="008D7147" w:rsidRPr="00E36A94" w:rsidRDefault="00475B63">
      <w:pPr>
        <w:shd w:val="clear" w:color="auto" w:fill="FFFFFF"/>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Sectorul TIC este foarte integrat în economia globală </w:t>
      </w:r>
      <w:r w:rsidR="00E36A94"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depinde în mare măsură atât de regimul de import, cât </w:t>
      </w:r>
      <w:r w:rsidR="00E36A94"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de cel de export. Cantitativ exportul de servicii TIC este considerat mic, dar în creștere rapidă. După piețele de desfacere, structura exporturilor de aceste servicii este dominată de Europa de Vest cu o cotă de 45%, urmată de America (SUA, Canada) cu 21% și Europa Centrală și de Est cu 18%. După tipul serviciilor prestate,70% din exportul companiilor din Republica </w:t>
      </w:r>
      <w:r w:rsidR="00E13460">
        <w:rPr>
          <w:rFonts w:ascii="Times New Roman" w:eastAsia="Times New Roman" w:hAnsi="Times New Roman" w:cs="Times New Roman"/>
          <w:sz w:val="24"/>
          <w:szCs w:val="24"/>
        </w:rPr>
        <w:t>Moldova constituie serviciile TI</w:t>
      </w:r>
      <w:r w:rsidRPr="00E36A94">
        <w:rPr>
          <w:rFonts w:ascii="Times New Roman" w:eastAsia="Times New Roman" w:hAnsi="Times New Roman" w:cs="Times New Roman"/>
          <w:sz w:val="24"/>
          <w:szCs w:val="24"/>
        </w:rPr>
        <w:t xml:space="preserve">, urmate de R&amp;D / Servicii inginerești cu 15% și serviciile BPO cu o cotă de 10%. La rândul lor, 70% din exporturile de servicii TI vizează Dezvoltarea aplicațiilor și testări, în timp ce </w:t>
      </w:r>
      <w:proofErr w:type="spellStart"/>
      <w:r w:rsidRPr="00E36A94">
        <w:rPr>
          <w:rFonts w:ascii="Times New Roman" w:eastAsia="Times New Roman" w:hAnsi="Times New Roman" w:cs="Times New Roman"/>
          <w:sz w:val="24"/>
          <w:szCs w:val="24"/>
        </w:rPr>
        <w:t>Customizarea</w:t>
      </w:r>
      <w:proofErr w:type="spellEnd"/>
      <w:r w:rsidRPr="00E36A94">
        <w:rPr>
          <w:rFonts w:ascii="Times New Roman" w:eastAsia="Times New Roman" w:hAnsi="Times New Roman" w:cs="Times New Roman"/>
          <w:sz w:val="24"/>
          <w:szCs w:val="24"/>
        </w:rPr>
        <w:t xml:space="preserve"> aplicațiilor și suport generează circa 14% din serviciile date. Este de notat și că o parte importantă din exporturile TI nu sunt reflectate în balanța de plăți externe, datorită </w:t>
      </w:r>
      <w:proofErr w:type="spellStart"/>
      <w:r w:rsidRPr="00E36A94">
        <w:rPr>
          <w:rFonts w:ascii="Times New Roman" w:eastAsia="Times New Roman" w:hAnsi="Times New Roman" w:cs="Times New Roman"/>
          <w:sz w:val="24"/>
          <w:szCs w:val="24"/>
        </w:rPr>
        <w:t>freelancerilor</w:t>
      </w:r>
      <w:proofErr w:type="spellEnd"/>
      <w:r w:rsidRPr="00E36A94">
        <w:rPr>
          <w:rFonts w:ascii="Times New Roman" w:eastAsia="Times New Roman" w:hAnsi="Times New Roman" w:cs="Times New Roman"/>
          <w:sz w:val="24"/>
          <w:szCs w:val="24"/>
        </w:rPr>
        <w:t>, care activează individual ca persoane fizice pentru companii internaționale.</w:t>
      </w:r>
    </w:p>
    <w:p w14:paraId="6A589D30" w14:textId="5AAA2D59" w:rsidR="008D7147" w:rsidRPr="0079416C" w:rsidRDefault="00475B63">
      <w:pPr>
        <w:jc w:val="center"/>
        <w:rPr>
          <w:b/>
          <w:color w:val="4F81BD"/>
          <w:sz w:val="24"/>
          <w:szCs w:val="24"/>
        </w:rPr>
      </w:pPr>
      <w:r w:rsidRPr="0079416C">
        <w:rPr>
          <w:b/>
          <w:color w:val="4F81BD"/>
          <w:sz w:val="24"/>
          <w:szCs w:val="24"/>
        </w:rPr>
        <w:t xml:space="preserve">Figura 2. Evoluția exporturilor de servicii de informatică </w:t>
      </w:r>
      <w:r w:rsidR="00E36A94" w:rsidRPr="0079416C">
        <w:rPr>
          <w:b/>
          <w:color w:val="4F81BD"/>
          <w:sz w:val="24"/>
          <w:szCs w:val="24"/>
        </w:rPr>
        <w:t>și</w:t>
      </w:r>
      <w:r w:rsidRPr="0079416C">
        <w:rPr>
          <w:b/>
          <w:color w:val="4F81BD"/>
          <w:sz w:val="24"/>
          <w:szCs w:val="24"/>
        </w:rPr>
        <w:t xml:space="preserve"> </w:t>
      </w:r>
      <w:r w:rsidR="00E36A94" w:rsidRPr="0079416C">
        <w:rPr>
          <w:b/>
          <w:color w:val="4F81BD"/>
          <w:sz w:val="24"/>
          <w:szCs w:val="24"/>
        </w:rPr>
        <w:t>informaționale</w:t>
      </w:r>
      <w:r w:rsidRPr="0079416C">
        <w:rPr>
          <w:b/>
          <w:color w:val="4F81BD"/>
          <w:sz w:val="24"/>
          <w:szCs w:val="24"/>
        </w:rPr>
        <w:t>, mil. USD</w:t>
      </w:r>
    </w:p>
    <w:p w14:paraId="649337B7" w14:textId="77777777" w:rsidR="008D7147" w:rsidRPr="00E36A94" w:rsidRDefault="00475B63">
      <w:pPr>
        <w:jc w:val="center"/>
        <w:rPr>
          <w:b/>
          <w:sz w:val="28"/>
          <w:szCs w:val="28"/>
        </w:rPr>
      </w:pPr>
      <w:r w:rsidRPr="00E36A94">
        <w:rPr>
          <w:noProof/>
          <w:lang w:val="en-US"/>
        </w:rPr>
        <w:drawing>
          <wp:inline distT="0" distB="0" distL="0" distR="0" wp14:anchorId="36EF7804" wp14:editId="1BDBF484">
            <wp:extent cx="4572000" cy="27432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572000" cy="2743200"/>
                    </a:xfrm>
                    <a:prstGeom prst="rect">
                      <a:avLst/>
                    </a:prstGeom>
                    <a:ln/>
                  </pic:spPr>
                </pic:pic>
              </a:graphicData>
            </a:graphic>
          </wp:inline>
        </w:drawing>
      </w:r>
    </w:p>
    <w:p w14:paraId="7ECD5C4A" w14:textId="45587534" w:rsidR="008D7147" w:rsidRPr="00E36A94" w:rsidRDefault="00156B68">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2.1.2. </w:t>
      </w:r>
      <w:r w:rsidR="00475B63" w:rsidRPr="00E36A94">
        <w:rPr>
          <w:rFonts w:ascii="Times New Roman" w:eastAsia="Times New Roman" w:hAnsi="Times New Roman" w:cs="Times New Roman"/>
          <w:b/>
          <w:i/>
          <w:sz w:val="24"/>
          <w:szCs w:val="24"/>
        </w:rPr>
        <w:t>Piața TI internă crește continuu</w:t>
      </w:r>
      <w:r w:rsidR="00475B63" w:rsidRPr="00E36A94">
        <w:rPr>
          <w:rFonts w:ascii="Times New Roman" w:eastAsia="Times New Roman" w:hAnsi="Times New Roman" w:cs="Times New Roman"/>
          <w:sz w:val="24"/>
          <w:szCs w:val="24"/>
        </w:rPr>
        <w:t xml:space="preserve"> cu o medie anuală a ultimilor 3 perioade de 6,8%, în anul 2016 valoarea estimată ajungând la 27,5 mil. USD. Serviciile de bază precum achiziționarea componentelor hardware, implementarea softurilor și serviciile de suport acontează circa ¾ din venituri, consultanței TI revenind o cotă estimativă de 10%, Sectorul public este cel ma</w:t>
      </w:r>
      <w:r w:rsidR="00E13460">
        <w:rPr>
          <w:rFonts w:ascii="Times New Roman" w:eastAsia="Times New Roman" w:hAnsi="Times New Roman" w:cs="Times New Roman"/>
          <w:sz w:val="24"/>
          <w:szCs w:val="24"/>
        </w:rPr>
        <w:t>i mare consumator de servicii TI</w:t>
      </w:r>
      <w:r w:rsidR="00475B63" w:rsidRPr="00E36A94">
        <w:rPr>
          <w:rFonts w:ascii="Times New Roman" w:eastAsia="Times New Roman" w:hAnsi="Times New Roman" w:cs="Times New Roman"/>
          <w:sz w:val="24"/>
          <w:szCs w:val="24"/>
        </w:rPr>
        <w:t>, printre clienții privați numărându-se doar companiile mari din sectorul telecom și producere, precum și băncile comerciale.</w:t>
      </w:r>
    </w:p>
    <w:p w14:paraId="275A89E8" w14:textId="4A358650" w:rsidR="008D7147" w:rsidRPr="00E36A94" w:rsidRDefault="00156B68">
      <w:pPr>
        <w:spacing w:after="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2.1.3. </w:t>
      </w:r>
      <w:r w:rsidR="00475B63" w:rsidRPr="00E36A94">
        <w:rPr>
          <w:rFonts w:ascii="Times New Roman" w:eastAsia="Times New Roman" w:hAnsi="Times New Roman" w:cs="Times New Roman"/>
          <w:b/>
          <w:i/>
          <w:sz w:val="24"/>
          <w:szCs w:val="24"/>
        </w:rPr>
        <w:t>În perioada 2011-2015 sectorul TI a consemnat creșteri remarcabile</w:t>
      </w:r>
      <w:r w:rsidR="00475B63" w:rsidRPr="00E36A94">
        <w:rPr>
          <w:rFonts w:ascii="Times New Roman" w:eastAsia="Times New Roman" w:hAnsi="Times New Roman" w:cs="Times New Roman"/>
          <w:sz w:val="24"/>
          <w:szCs w:val="24"/>
        </w:rPr>
        <w:t>, reușind o extindere atât cantitativă, cât și calitativă:</w:t>
      </w:r>
    </w:p>
    <w:p w14:paraId="5769490B" w14:textId="1C36936C" w:rsidR="008D7147" w:rsidRPr="00E36A94" w:rsidRDefault="00475B63">
      <w:pPr>
        <w:numPr>
          <w:ilvl w:val="0"/>
          <w:numId w:val="1"/>
        </w:numPr>
        <w:spacing w:after="0"/>
        <w:ind w:left="426" w:hanging="426"/>
        <w:contextualSpacing/>
        <w:jc w:val="both"/>
      </w:pPr>
      <w:r w:rsidRPr="00E36A94">
        <w:rPr>
          <w:rFonts w:ascii="Times New Roman" w:eastAsia="Times New Roman" w:hAnsi="Times New Roman" w:cs="Times New Roman"/>
          <w:sz w:val="24"/>
          <w:szCs w:val="24"/>
        </w:rPr>
        <w:t>În 5 ani, sectorul dat a reușit dubla</w:t>
      </w:r>
      <w:r w:rsidR="00A46BC0">
        <w:rPr>
          <w:rFonts w:ascii="Times New Roman" w:eastAsia="Times New Roman" w:hAnsi="Times New Roman" w:cs="Times New Roman"/>
          <w:sz w:val="24"/>
          <w:szCs w:val="24"/>
        </w:rPr>
        <w:t>rea cifrei de afaceri de la 1,3</w:t>
      </w:r>
      <w:r w:rsidRPr="00E36A94">
        <w:rPr>
          <w:rFonts w:ascii="Times New Roman" w:eastAsia="Times New Roman" w:hAnsi="Times New Roman" w:cs="Times New Roman"/>
          <w:sz w:val="24"/>
          <w:szCs w:val="24"/>
        </w:rPr>
        <w:t xml:space="preserve"> mil</w:t>
      </w:r>
      <w:r w:rsidR="000E57BC">
        <w:rPr>
          <w:rFonts w:ascii="Times New Roman" w:eastAsia="Times New Roman" w:hAnsi="Times New Roman" w:cs="Times New Roman"/>
          <w:sz w:val="24"/>
          <w:szCs w:val="24"/>
        </w:rPr>
        <w:t>d. l</w:t>
      </w:r>
      <w:r w:rsidRPr="00E36A94">
        <w:rPr>
          <w:rFonts w:ascii="Times New Roman" w:eastAsia="Times New Roman" w:hAnsi="Times New Roman" w:cs="Times New Roman"/>
          <w:sz w:val="24"/>
          <w:szCs w:val="24"/>
        </w:rPr>
        <w:t>ei în 2011 la 2,6 mil</w:t>
      </w:r>
      <w:r w:rsidR="000E57BC">
        <w:rPr>
          <w:rFonts w:ascii="Times New Roman" w:eastAsia="Times New Roman" w:hAnsi="Times New Roman" w:cs="Times New Roman"/>
          <w:sz w:val="24"/>
          <w:szCs w:val="24"/>
        </w:rPr>
        <w:t>d. l</w:t>
      </w:r>
      <w:r w:rsidRPr="00E36A94">
        <w:rPr>
          <w:rFonts w:ascii="Times New Roman" w:eastAsia="Times New Roman" w:hAnsi="Times New Roman" w:cs="Times New Roman"/>
          <w:sz w:val="24"/>
          <w:szCs w:val="24"/>
        </w:rPr>
        <w:t xml:space="preserve">ei în 2015. </w:t>
      </w:r>
    </w:p>
    <w:p w14:paraId="7D241AF0" w14:textId="4BA22504" w:rsidR="008D7147" w:rsidRPr="00E36A94" w:rsidRDefault="00475B63">
      <w:pPr>
        <w:numPr>
          <w:ilvl w:val="0"/>
          <w:numId w:val="1"/>
        </w:numPr>
        <w:spacing w:after="0"/>
        <w:ind w:left="426" w:hanging="426"/>
        <w:contextualSpacing/>
        <w:jc w:val="both"/>
      </w:pPr>
      <w:r w:rsidRPr="00E36A94">
        <w:rPr>
          <w:rFonts w:ascii="Times New Roman" w:eastAsia="Times New Roman" w:hAnsi="Times New Roman" w:cs="Times New Roman"/>
          <w:sz w:val="24"/>
          <w:szCs w:val="24"/>
        </w:rPr>
        <w:t>Față de anul 2011, în 2015 sectorul avea cu 61% mai multe întreprinderi înregistrate, iar vânzările medii per companie au ajuns la 3,3 mil</w:t>
      </w:r>
      <w:r w:rsidR="000E57BC">
        <w:rPr>
          <w:rFonts w:ascii="Times New Roman" w:eastAsia="Times New Roman" w:hAnsi="Times New Roman" w:cs="Times New Roman"/>
          <w:sz w:val="24"/>
          <w:szCs w:val="24"/>
        </w:rPr>
        <w:t>. l</w:t>
      </w:r>
      <w:r w:rsidRPr="00E36A94">
        <w:rPr>
          <w:rFonts w:ascii="Times New Roman" w:eastAsia="Times New Roman" w:hAnsi="Times New Roman" w:cs="Times New Roman"/>
          <w:sz w:val="24"/>
          <w:szCs w:val="24"/>
        </w:rPr>
        <w:t>ei.</w:t>
      </w:r>
    </w:p>
    <w:p w14:paraId="65359B02" w14:textId="42FD97D6" w:rsidR="001170B0" w:rsidRPr="003B1E0A" w:rsidRDefault="00475B63" w:rsidP="001170B0">
      <w:pPr>
        <w:numPr>
          <w:ilvl w:val="0"/>
          <w:numId w:val="1"/>
        </w:numPr>
        <w:spacing w:after="240"/>
        <w:ind w:left="426" w:hanging="426"/>
        <w:contextualSpacing/>
        <w:jc w:val="both"/>
      </w:pPr>
      <w:r w:rsidRPr="00E36A94">
        <w:rPr>
          <w:rFonts w:ascii="Times New Roman" w:eastAsia="Times New Roman" w:hAnsi="Times New Roman" w:cs="Times New Roman"/>
          <w:sz w:val="24"/>
          <w:szCs w:val="24"/>
        </w:rPr>
        <w:lastRenderedPageBreak/>
        <w:t xml:space="preserve">În intervalul 2011-2015 acest sector a reușit să creeze adițional peste 3 mii locuri de muncă bine plătite (peste media națională) având un număr total de angajați de 9 300 persoane. În același timp, creșterea a fost și una calitativă întrucât a crescut și nivelul de productivitate, astfel încât vânzările per angajat din 2015 (279 mii MDL) sunt cu aproape 40% mai </w:t>
      </w:r>
      <w:r w:rsidR="001170B0">
        <w:rPr>
          <w:rFonts w:ascii="Times New Roman" w:eastAsia="Times New Roman" w:hAnsi="Times New Roman" w:cs="Times New Roman"/>
          <w:sz w:val="24"/>
          <w:szCs w:val="24"/>
        </w:rPr>
        <w:t xml:space="preserve">mari </w:t>
      </w:r>
      <w:r w:rsidRPr="00E36A94">
        <w:rPr>
          <w:rFonts w:ascii="Times New Roman" w:eastAsia="Times New Roman" w:hAnsi="Times New Roman" w:cs="Times New Roman"/>
          <w:sz w:val="24"/>
          <w:szCs w:val="24"/>
        </w:rPr>
        <w:t>față de anul 2011.</w:t>
      </w:r>
    </w:p>
    <w:p w14:paraId="0B7C5CB9" w14:textId="77777777" w:rsidR="008D7147" w:rsidRPr="00E36A94" w:rsidRDefault="00475B63" w:rsidP="00E13460">
      <w:pPr>
        <w:spacing w:before="240" w:line="240" w:lineRule="auto"/>
        <w:jc w:val="center"/>
        <w:rPr>
          <w:color w:val="4F81BD"/>
          <w:sz w:val="20"/>
          <w:szCs w:val="20"/>
        </w:rPr>
      </w:pPr>
      <w:r w:rsidRPr="00E36A94">
        <w:rPr>
          <w:b/>
          <w:color w:val="4F81BD"/>
          <w:sz w:val="20"/>
          <w:szCs w:val="20"/>
        </w:rPr>
        <w:t xml:space="preserve">Tabelul 1: </w:t>
      </w:r>
      <w:r w:rsidRPr="00E36A94">
        <w:rPr>
          <w:color w:val="4F81BD"/>
          <w:sz w:val="18"/>
          <w:szCs w:val="18"/>
        </w:rPr>
        <w:t>Evoluția companiilor cu genurile de activitate: K72200 - Realizarea de programe și consultanță în domeniul dat, K72300 - Prelucrarea datelor, K72400 - Activități legate de băncile de date, CAEM 2005</w:t>
      </w:r>
    </w:p>
    <w:tbl>
      <w:tblPr>
        <w:tblStyle w:val="a"/>
        <w:tblW w:w="8646" w:type="dxa"/>
        <w:tblInd w:w="534" w:type="dxa"/>
        <w:tblLayout w:type="fixed"/>
        <w:tblLook w:val="0400" w:firstRow="0" w:lastRow="0" w:firstColumn="0" w:lastColumn="0" w:noHBand="0" w:noVBand="1"/>
      </w:tblPr>
      <w:tblGrid>
        <w:gridCol w:w="1701"/>
        <w:gridCol w:w="1103"/>
        <w:gridCol w:w="1103"/>
        <w:gridCol w:w="1103"/>
        <w:gridCol w:w="1103"/>
        <w:gridCol w:w="1103"/>
        <w:gridCol w:w="1430"/>
      </w:tblGrid>
      <w:tr w:rsidR="008D7147" w:rsidRPr="00E36A94" w14:paraId="50496383" w14:textId="77777777">
        <w:trPr>
          <w:trHeight w:val="300"/>
        </w:trPr>
        <w:tc>
          <w:tcPr>
            <w:tcW w:w="1701" w:type="dxa"/>
            <w:tcBorders>
              <w:top w:val="single" w:sz="4" w:space="0" w:color="95B3D7"/>
              <w:left w:val="single" w:sz="4" w:space="0" w:color="95B3D7"/>
              <w:bottom w:val="nil"/>
              <w:right w:val="nil"/>
            </w:tcBorders>
            <w:shd w:val="clear" w:color="auto" w:fill="4F81BD"/>
            <w:vAlign w:val="center"/>
          </w:tcPr>
          <w:p w14:paraId="3CFDCF8B" w14:textId="77777777" w:rsidR="008D7147" w:rsidRPr="00E36A94" w:rsidRDefault="00475B63">
            <w:pPr>
              <w:spacing w:after="0" w:line="240" w:lineRule="auto"/>
              <w:rPr>
                <w:b/>
                <w:color w:val="FFFFFF"/>
              </w:rPr>
            </w:pPr>
            <w:r w:rsidRPr="00E36A94">
              <w:rPr>
                <w:b/>
                <w:color w:val="FFFFFF"/>
              </w:rPr>
              <w:t>Indicatori</w:t>
            </w:r>
          </w:p>
        </w:tc>
        <w:tc>
          <w:tcPr>
            <w:tcW w:w="1103" w:type="dxa"/>
            <w:tcBorders>
              <w:top w:val="single" w:sz="4" w:space="0" w:color="95B3D7"/>
              <w:left w:val="nil"/>
              <w:bottom w:val="nil"/>
              <w:right w:val="nil"/>
            </w:tcBorders>
            <w:shd w:val="clear" w:color="auto" w:fill="4F81BD"/>
            <w:vAlign w:val="center"/>
          </w:tcPr>
          <w:p w14:paraId="700FD305" w14:textId="77777777" w:rsidR="008D7147" w:rsidRPr="00E36A94" w:rsidRDefault="00475B63">
            <w:pPr>
              <w:spacing w:after="0" w:line="240" w:lineRule="auto"/>
              <w:jc w:val="center"/>
              <w:rPr>
                <w:b/>
                <w:color w:val="FFFFFF"/>
              </w:rPr>
            </w:pPr>
            <w:r w:rsidRPr="00E36A94">
              <w:rPr>
                <w:b/>
                <w:color w:val="FFFFFF"/>
              </w:rPr>
              <w:t>2011</w:t>
            </w:r>
          </w:p>
        </w:tc>
        <w:tc>
          <w:tcPr>
            <w:tcW w:w="1103" w:type="dxa"/>
            <w:tcBorders>
              <w:top w:val="single" w:sz="4" w:space="0" w:color="95B3D7"/>
              <w:left w:val="nil"/>
              <w:bottom w:val="nil"/>
              <w:right w:val="nil"/>
            </w:tcBorders>
            <w:shd w:val="clear" w:color="auto" w:fill="4F81BD"/>
            <w:vAlign w:val="center"/>
          </w:tcPr>
          <w:p w14:paraId="2A1F6A9E" w14:textId="77777777" w:rsidR="008D7147" w:rsidRPr="00E36A94" w:rsidRDefault="00475B63">
            <w:pPr>
              <w:spacing w:after="0" w:line="240" w:lineRule="auto"/>
              <w:jc w:val="center"/>
              <w:rPr>
                <w:b/>
                <w:color w:val="FFFFFF"/>
              </w:rPr>
            </w:pPr>
            <w:r w:rsidRPr="00E36A94">
              <w:rPr>
                <w:b/>
                <w:color w:val="FFFFFF"/>
              </w:rPr>
              <w:t>2012</w:t>
            </w:r>
          </w:p>
        </w:tc>
        <w:tc>
          <w:tcPr>
            <w:tcW w:w="1103" w:type="dxa"/>
            <w:tcBorders>
              <w:top w:val="single" w:sz="4" w:space="0" w:color="95B3D7"/>
              <w:left w:val="nil"/>
              <w:bottom w:val="nil"/>
              <w:right w:val="nil"/>
            </w:tcBorders>
            <w:shd w:val="clear" w:color="auto" w:fill="4F81BD"/>
            <w:vAlign w:val="center"/>
          </w:tcPr>
          <w:p w14:paraId="1249F65C" w14:textId="77777777" w:rsidR="008D7147" w:rsidRPr="00E36A94" w:rsidRDefault="00475B63">
            <w:pPr>
              <w:spacing w:after="0" w:line="240" w:lineRule="auto"/>
              <w:jc w:val="center"/>
              <w:rPr>
                <w:b/>
                <w:color w:val="FFFFFF"/>
              </w:rPr>
            </w:pPr>
            <w:r w:rsidRPr="00E36A94">
              <w:rPr>
                <w:b/>
                <w:color w:val="FFFFFF"/>
              </w:rPr>
              <w:t>2013</w:t>
            </w:r>
          </w:p>
        </w:tc>
        <w:tc>
          <w:tcPr>
            <w:tcW w:w="1103" w:type="dxa"/>
            <w:tcBorders>
              <w:top w:val="single" w:sz="4" w:space="0" w:color="95B3D7"/>
              <w:left w:val="nil"/>
              <w:bottom w:val="nil"/>
              <w:right w:val="nil"/>
            </w:tcBorders>
            <w:shd w:val="clear" w:color="auto" w:fill="4F81BD"/>
            <w:vAlign w:val="center"/>
          </w:tcPr>
          <w:p w14:paraId="3A7CDB6C" w14:textId="77777777" w:rsidR="008D7147" w:rsidRPr="00E36A94" w:rsidRDefault="00475B63">
            <w:pPr>
              <w:spacing w:after="0" w:line="240" w:lineRule="auto"/>
              <w:jc w:val="center"/>
              <w:rPr>
                <w:b/>
                <w:color w:val="FFFFFF"/>
              </w:rPr>
            </w:pPr>
            <w:r w:rsidRPr="00E36A94">
              <w:rPr>
                <w:b/>
                <w:color w:val="FFFFFF"/>
              </w:rPr>
              <w:t>2014</w:t>
            </w:r>
          </w:p>
        </w:tc>
        <w:tc>
          <w:tcPr>
            <w:tcW w:w="1103" w:type="dxa"/>
            <w:tcBorders>
              <w:top w:val="single" w:sz="4" w:space="0" w:color="95B3D7"/>
              <w:left w:val="nil"/>
              <w:bottom w:val="nil"/>
              <w:right w:val="nil"/>
            </w:tcBorders>
            <w:shd w:val="clear" w:color="auto" w:fill="4F81BD"/>
            <w:vAlign w:val="center"/>
          </w:tcPr>
          <w:p w14:paraId="62FA9A52" w14:textId="77777777" w:rsidR="008D7147" w:rsidRPr="00E36A94" w:rsidRDefault="00475B63">
            <w:pPr>
              <w:spacing w:after="0" w:line="240" w:lineRule="auto"/>
              <w:jc w:val="center"/>
              <w:rPr>
                <w:b/>
                <w:color w:val="FFFFFF"/>
              </w:rPr>
            </w:pPr>
            <w:r w:rsidRPr="00E36A94">
              <w:rPr>
                <w:b/>
                <w:color w:val="FFFFFF"/>
              </w:rPr>
              <w:t>2015</w:t>
            </w:r>
          </w:p>
        </w:tc>
        <w:tc>
          <w:tcPr>
            <w:tcW w:w="1430" w:type="dxa"/>
            <w:tcBorders>
              <w:top w:val="single" w:sz="4" w:space="0" w:color="95B3D7"/>
              <w:left w:val="nil"/>
              <w:bottom w:val="nil"/>
              <w:right w:val="single" w:sz="4" w:space="0" w:color="95B3D7"/>
            </w:tcBorders>
            <w:shd w:val="clear" w:color="auto" w:fill="4F81BD"/>
            <w:vAlign w:val="center"/>
          </w:tcPr>
          <w:p w14:paraId="42FF1EB2" w14:textId="77777777" w:rsidR="008D7147" w:rsidRPr="00E36A94" w:rsidRDefault="00475B63">
            <w:pPr>
              <w:spacing w:after="0" w:line="240" w:lineRule="auto"/>
              <w:jc w:val="center"/>
              <w:rPr>
                <w:b/>
                <w:color w:val="FFFFFF"/>
              </w:rPr>
            </w:pPr>
            <w:r w:rsidRPr="00E36A94">
              <w:rPr>
                <w:b/>
                <w:color w:val="FFFFFF"/>
              </w:rPr>
              <w:t>CAGR 11-15</w:t>
            </w:r>
          </w:p>
        </w:tc>
      </w:tr>
      <w:tr w:rsidR="008D7147" w:rsidRPr="00E36A94" w14:paraId="4C1221D0" w14:textId="77777777">
        <w:trPr>
          <w:trHeight w:val="300"/>
        </w:trPr>
        <w:tc>
          <w:tcPr>
            <w:tcW w:w="1701" w:type="dxa"/>
            <w:tcBorders>
              <w:top w:val="single" w:sz="4" w:space="0" w:color="95B3D7"/>
              <w:left w:val="single" w:sz="4" w:space="0" w:color="95B3D7"/>
              <w:bottom w:val="nil"/>
              <w:right w:val="nil"/>
            </w:tcBorders>
            <w:shd w:val="clear" w:color="auto" w:fill="DCE6F1"/>
            <w:vAlign w:val="bottom"/>
          </w:tcPr>
          <w:p w14:paraId="2A7B720E" w14:textId="77777777" w:rsidR="008D7147" w:rsidRPr="00E36A94" w:rsidRDefault="00475B63">
            <w:pPr>
              <w:spacing w:after="0" w:line="240" w:lineRule="auto"/>
            </w:pPr>
            <w:r w:rsidRPr="00E36A94">
              <w:t>Cifra de Afaceri, milioane Lei</w:t>
            </w:r>
          </w:p>
        </w:tc>
        <w:tc>
          <w:tcPr>
            <w:tcW w:w="1103" w:type="dxa"/>
            <w:tcBorders>
              <w:top w:val="single" w:sz="4" w:space="0" w:color="95B3D7"/>
              <w:left w:val="nil"/>
              <w:bottom w:val="nil"/>
              <w:right w:val="nil"/>
            </w:tcBorders>
            <w:shd w:val="clear" w:color="auto" w:fill="DCE6F1"/>
            <w:vAlign w:val="center"/>
          </w:tcPr>
          <w:p w14:paraId="5CD35847" w14:textId="77777777" w:rsidR="008D7147" w:rsidRPr="00E36A94" w:rsidRDefault="00475B63">
            <w:pPr>
              <w:spacing w:after="0" w:line="240" w:lineRule="auto"/>
              <w:jc w:val="center"/>
            </w:pPr>
            <w:r w:rsidRPr="00E36A94">
              <w:t>1 287</w:t>
            </w:r>
          </w:p>
        </w:tc>
        <w:tc>
          <w:tcPr>
            <w:tcW w:w="1103" w:type="dxa"/>
            <w:tcBorders>
              <w:top w:val="single" w:sz="4" w:space="0" w:color="95B3D7"/>
              <w:left w:val="nil"/>
              <w:bottom w:val="nil"/>
              <w:right w:val="nil"/>
            </w:tcBorders>
            <w:shd w:val="clear" w:color="auto" w:fill="DCE6F1"/>
            <w:vAlign w:val="center"/>
          </w:tcPr>
          <w:p w14:paraId="32EE89CA" w14:textId="77777777" w:rsidR="008D7147" w:rsidRPr="00E36A94" w:rsidRDefault="00475B63">
            <w:pPr>
              <w:spacing w:after="0" w:line="240" w:lineRule="auto"/>
              <w:jc w:val="center"/>
            </w:pPr>
            <w:r w:rsidRPr="00E36A94">
              <w:t>1 380</w:t>
            </w:r>
          </w:p>
        </w:tc>
        <w:tc>
          <w:tcPr>
            <w:tcW w:w="1103" w:type="dxa"/>
            <w:tcBorders>
              <w:top w:val="single" w:sz="4" w:space="0" w:color="95B3D7"/>
              <w:left w:val="nil"/>
              <w:bottom w:val="nil"/>
              <w:right w:val="nil"/>
            </w:tcBorders>
            <w:shd w:val="clear" w:color="auto" w:fill="DCE6F1"/>
            <w:vAlign w:val="center"/>
          </w:tcPr>
          <w:p w14:paraId="0428D6BD" w14:textId="77777777" w:rsidR="008D7147" w:rsidRPr="00E36A94" w:rsidRDefault="00475B63">
            <w:pPr>
              <w:spacing w:after="0" w:line="240" w:lineRule="auto"/>
              <w:jc w:val="center"/>
            </w:pPr>
            <w:r w:rsidRPr="00E36A94">
              <w:t>1 601</w:t>
            </w:r>
          </w:p>
        </w:tc>
        <w:tc>
          <w:tcPr>
            <w:tcW w:w="1103" w:type="dxa"/>
            <w:tcBorders>
              <w:top w:val="single" w:sz="4" w:space="0" w:color="95B3D7"/>
              <w:left w:val="nil"/>
              <w:bottom w:val="nil"/>
              <w:right w:val="nil"/>
            </w:tcBorders>
            <w:shd w:val="clear" w:color="auto" w:fill="DCE6F1"/>
            <w:vAlign w:val="center"/>
          </w:tcPr>
          <w:p w14:paraId="2DC2C7A9" w14:textId="77777777" w:rsidR="008D7147" w:rsidRPr="00E36A94" w:rsidRDefault="00475B63">
            <w:pPr>
              <w:spacing w:after="0" w:line="240" w:lineRule="auto"/>
              <w:jc w:val="center"/>
            </w:pPr>
            <w:r w:rsidRPr="00E36A94">
              <w:t>2 115</w:t>
            </w:r>
          </w:p>
        </w:tc>
        <w:tc>
          <w:tcPr>
            <w:tcW w:w="1103" w:type="dxa"/>
            <w:tcBorders>
              <w:top w:val="single" w:sz="4" w:space="0" w:color="95B3D7"/>
              <w:left w:val="nil"/>
              <w:bottom w:val="nil"/>
              <w:right w:val="nil"/>
            </w:tcBorders>
            <w:shd w:val="clear" w:color="auto" w:fill="DCE6F1"/>
            <w:vAlign w:val="center"/>
          </w:tcPr>
          <w:p w14:paraId="24725E4F" w14:textId="77777777" w:rsidR="008D7147" w:rsidRPr="00E36A94" w:rsidRDefault="00475B63">
            <w:pPr>
              <w:spacing w:after="0" w:line="240" w:lineRule="auto"/>
              <w:jc w:val="center"/>
            </w:pPr>
            <w:r w:rsidRPr="00E36A94">
              <w:t>2 596</w:t>
            </w:r>
          </w:p>
        </w:tc>
        <w:tc>
          <w:tcPr>
            <w:tcW w:w="1430" w:type="dxa"/>
            <w:tcBorders>
              <w:top w:val="single" w:sz="4" w:space="0" w:color="95B3D7"/>
              <w:left w:val="nil"/>
              <w:bottom w:val="nil"/>
              <w:right w:val="single" w:sz="4" w:space="0" w:color="95B3D7"/>
            </w:tcBorders>
            <w:shd w:val="clear" w:color="auto" w:fill="DCE6F1"/>
            <w:vAlign w:val="center"/>
          </w:tcPr>
          <w:p w14:paraId="5298D437" w14:textId="77777777" w:rsidR="008D7147" w:rsidRPr="00E36A94" w:rsidRDefault="00475B63">
            <w:pPr>
              <w:spacing w:after="0" w:line="240" w:lineRule="auto"/>
              <w:jc w:val="center"/>
            </w:pPr>
            <w:r w:rsidRPr="00E36A94">
              <w:t>19,2%</w:t>
            </w:r>
          </w:p>
        </w:tc>
      </w:tr>
      <w:tr w:rsidR="008D7147" w:rsidRPr="00E36A94" w14:paraId="0C57863B" w14:textId="77777777">
        <w:trPr>
          <w:trHeight w:val="300"/>
        </w:trPr>
        <w:tc>
          <w:tcPr>
            <w:tcW w:w="1701" w:type="dxa"/>
            <w:tcBorders>
              <w:top w:val="single" w:sz="4" w:space="0" w:color="95B3D7"/>
              <w:left w:val="single" w:sz="4" w:space="0" w:color="95B3D7"/>
              <w:bottom w:val="nil"/>
              <w:right w:val="nil"/>
            </w:tcBorders>
            <w:shd w:val="clear" w:color="auto" w:fill="auto"/>
            <w:vAlign w:val="bottom"/>
          </w:tcPr>
          <w:p w14:paraId="6EA80E9D" w14:textId="77777777" w:rsidR="008D7147" w:rsidRPr="00E36A94" w:rsidRDefault="00475B63">
            <w:pPr>
              <w:spacing w:after="0" w:line="240" w:lineRule="auto"/>
            </w:pPr>
            <w:r w:rsidRPr="00E36A94">
              <w:t>Numărul de angajați</w:t>
            </w:r>
          </w:p>
        </w:tc>
        <w:tc>
          <w:tcPr>
            <w:tcW w:w="1103" w:type="dxa"/>
            <w:tcBorders>
              <w:top w:val="single" w:sz="4" w:space="0" w:color="95B3D7"/>
              <w:left w:val="nil"/>
              <w:bottom w:val="nil"/>
              <w:right w:val="nil"/>
            </w:tcBorders>
            <w:shd w:val="clear" w:color="auto" w:fill="auto"/>
            <w:vAlign w:val="center"/>
          </w:tcPr>
          <w:p w14:paraId="40458603" w14:textId="77777777" w:rsidR="008D7147" w:rsidRPr="00E36A94" w:rsidRDefault="00475B63">
            <w:pPr>
              <w:spacing w:after="0" w:line="240" w:lineRule="auto"/>
              <w:jc w:val="center"/>
            </w:pPr>
            <w:r w:rsidRPr="00E36A94">
              <w:t>6 289</w:t>
            </w:r>
          </w:p>
        </w:tc>
        <w:tc>
          <w:tcPr>
            <w:tcW w:w="1103" w:type="dxa"/>
            <w:tcBorders>
              <w:top w:val="single" w:sz="4" w:space="0" w:color="95B3D7"/>
              <w:left w:val="nil"/>
              <w:bottom w:val="nil"/>
              <w:right w:val="nil"/>
            </w:tcBorders>
            <w:shd w:val="clear" w:color="auto" w:fill="auto"/>
            <w:vAlign w:val="center"/>
          </w:tcPr>
          <w:p w14:paraId="4632E6FF" w14:textId="77777777" w:rsidR="008D7147" w:rsidRPr="00E36A94" w:rsidRDefault="00475B63">
            <w:pPr>
              <w:spacing w:after="0" w:line="240" w:lineRule="auto"/>
              <w:jc w:val="center"/>
            </w:pPr>
            <w:r w:rsidRPr="00E36A94">
              <w:t>7 678</w:t>
            </w:r>
          </w:p>
        </w:tc>
        <w:tc>
          <w:tcPr>
            <w:tcW w:w="1103" w:type="dxa"/>
            <w:tcBorders>
              <w:top w:val="single" w:sz="4" w:space="0" w:color="95B3D7"/>
              <w:left w:val="nil"/>
              <w:bottom w:val="nil"/>
              <w:right w:val="nil"/>
            </w:tcBorders>
            <w:shd w:val="clear" w:color="auto" w:fill="auto"/>
            <w:vAlign w:val="center"/>
          </w:tcPr>
          <w:p w14:paraId="29D4B089" w14:textId="77777777" w:rsidR="008D7147" w:rsidRPr="00E36A94" w:rsidRDefault="00475B63">
            <w:pPr>
              <w:spacing w:after="0" w:line="240" w:lineRule="auto"/>
              <w:jc w:val="center"/>
            </w:pPr>
            <w:r w:rsidRPr="00E36A94">
              <w:t>8 093</w:t>
            </w:r>
          </w:p>
        </w:tc>
        <w:tc>
          <w:tcPr>
            <w:tcW w:w="1103" w:type="dxa"/>
            <w:tcBorders>
              <w:top w:val="single" w:sz="4" w:space="0" w:color="95B3D7"/>
              <w:left w:val="nil"/>
              <w:bottom w:val="nil"/>
              <w:right w:val="nil"/>
            </w:tcBorders>
            <w:shd w:val="clear" w:color="auto" w:fill="auto"/>
            <w:vAlign w:val="center"/>
          </w:tcPr>
          <w:p w14:paraId="5F8540D3" w14:textId="77777777" w:rsidR="008D7147" w:rsidRPr="00E36A94" w:rsidRDefault="00475B63">
            <w:pPr>
              <w:spacing w:after="0" w:line="240" w:lineRule="auto"/>
              <w:jc w:val="center"/>
            </w:pPr>
            <w:r w:rsidRPr="00E36A94">
              <w:t>8 384</w:t>
            </w:r>
          </w:p>
        </w:tc>
        <w:tc>
          <w:tcPr>
            <w:tcW w:w="1103" w:type="dxa"/>
            <w:tcBorders>
              <w:top w:val="single" w:sz="4" w:space="0" w:color="95B3D7"/>
              <w:left w:val="nil"/>
              <w:bottom w:val="nil"/>
              <w:right w:val="nil"/>
            </w:tcBorders>
            <w:shd w:val="clear" w:color="auto" w:fill="auto"/>
            <w:vAlign w:val="center"/>
          </w:tcPr>
          <w:p w14:paraId="1614BC51" w14:textId="77777777" w:rsidR="008D7147" w:rsidRPr="00E36A94" w:rsidRDefault="00475B63">
            <w:pPr>
              <w:spacing w:after="0" w:line="240" w:lineRule="auto"/>
              <w:jc w:val="center"/>
            </w:pPr>
            <w:r w:rsidRPr="00E36A94">
              <w:t>9 301</w:t>
            </w:r>
          </w:p>
        </w:tc>
        <w:tc>
          <w:tcPr>
            <w:tcW w:w="1430" w:type="dxa"/>
            <w:tcBorders>
              <w:top w:val="single" w:sz="4" w:space="0" w:color="95B3D7"/>
              <w:left w:val="nil"/>
              <w:bottom w:val="nil"/>
              <w:right w:val="single" w:sz="4" w:space="0" w:color="95B3D7"/>
            </w:tcBorders>
            <w:shd w:val="clear" w:color="auto" w:fill="auto"/>
            <w:vAlign w:val="center"/>
          </w:tcPr>
          <w:p w14:paraId="348924DA" w14:textId="77777777" w:rsidR="008D7147" w:rsidRPr="00E36A94" w:rsidRDefault="00475B63">
            <w:pPr>
              <w:spacing w:after="0" w:line="240" w:lineRule="auto"/>
              <w:jc w:val="center"/>
            </w:pPr>
            <w:r w:rsidRPr="00E36A94">
              <w:t>10,3%</w:t>
            </w:r>
          </w:p>
        </w:tc>
      </w:tr>
      <w:tr w:rsidR="008D7147" w:rsidRPr="00E36A94" w14:paraId="08F10326" w14:textId="77777777">
        <w:trPr>
          <w:trHeight w:val="300"/>
        </w:trPr>
        <w:tc>
          <w:tcPr>
            <w:tcW w:w="1701" w:type="dxa"/>
            <w:tcBorders>
              <w:top w:val="single" w:sz="4" w:space="0" w:color="95B3D7"/>
              <w:left w:val="single" w:sz="4" w:space="0" w:color="95B3D7"/>
              <w:bottom w:val="single" w:sz="4" w:space="0" w:color="95B3D7"/>
              <w:right w:val="nil"/>
            </w:tcBorders>
            <w:shd w:val="clear" w:color="auto" w:fill="DCE6F1"/>
            <w:vAlign w:val="bottom"/>
          </w:tcPr>
          <w:p w14:paraId="14C54068" w14:textId="77777777" w:rsidR="008D7147" w:rsidRPr="00E36A94" w:rsidRDefault="00475B63">
            <w:pPr>
              <w:spacing w:after="0" w:line="240" w:lineRule="auto"/>
            </w:pPr>
            <w:r w:rsidRPr="00E36A94">
              <w:t>Numărul de întreprinderi</w:t>
            </w:r>
          </w:p>
        </w:tc>
        <w:tc>
          <w:tcPr>
            <w:tcW w:w="1103" w:type="dxa"/>
            <w:tcBorders>
              <w:top w:val="single" w:sz="4" w:space="0" w:color="95B3D7"/>
              <w:left w:val="nil"/>
              <w:bottom w:val="single" w:sz="4" w:space="0" w:color="95B3D7"/>
              <w:right w:val="nil"/>
            </w:tcBorders>
            <w:shd w:val="clear" w:color="auto" w:fill="DCE6F1"/>
            <w:vAlign w:val="center"/>
          </w:tcPr>
          <w:p w14:paraId="6E448762" w14:textId="77777777" w:rsidR="008D7147" w:rsidRPr="00E36A94" w:rsidRDefault="00475B63">
            <w:pPr>
              <w:spacing w:after="0" w:line="240" w:lineRule="auto"/>
              <w:jc w:val="center"/>
            </w:pPr>
            <w:r w:rsidRPr="00E36A94">
              <w:t>483</w:t>
            </w:r>
          </w:p>
        </w:tc>
        <w:tc>
          <w:tcPr>
            <w:tcW w:w="1103" w:type="dxa"/>
            <w:tcBorders>
              <w:top w:val="single" w:sz="4" w:space="0" w:color="95B3D7"/>
              <w:left w:val="nil"/>
              <w:bottom w:val="single" w:sz="4" w:space="0" w:color="95B3D7"/>
              <w:right w:val="nil"/>
            </w:tcBorders>
            <w:shd w:val="clear" w:color="auto" w:fill="DCE6F1"/>
            <w:vAlign w:val="center"/>
          </w:tcPr>
          <w:p w14:paraId="560A9DE1" w14:textId="77777777" w:rsidR="008D7147" w:rsidRPr="00E36A94" w:rsidRDefault="00475B63">
            <w:pPr>
              <w:spacing w:after="0" w:line="240" w:lineRule="auto"/>
              <w:jc w:val="center"/>
            </w:pPr>
            <w:r w:rsidRPr="00E36A94">
              <w:t>572</w:t>
            </w:r>
          </w:p>
        </w:tc>
        <w:tc>
          <w:tcPr>
            <w:tcW w:w="1103" w:type="dxa"/>
            <w:tcBorders>
              <w:top w:val="single" w:sz="4" w:space="0" w:color="95B3D7"/>
              <w:left w:val="nil"/>
              <w:bottom w:val="single" w:sz="4" w:space="0" w:color="95B3D7"/>
              <w:right w:val="nil"/>
            </w:tcBorders>
            <w:shd w:val="clear" w:color="auto" w:fill="DCE6F1"/>
            <w:vAlign w:val="center"/>
          </w:tcPr>
          <w:p w14:paraId="7057B480" w14:textId="77777777" w:rsidR="008D7147" w:rsidRPr="00E36A94" w:rsidRDefault="00475B63">
            <w:pPr>
              <w:spacing w:after="0" w:line="240" w:lineRule="auto"/>
              <w:jc w:val="center"/>
            </w:pPr>
            <w:r w:rsidRPr="00E36A94">
              <w:t>618</w:t>
            </w:r>
          </w:p>
        </w:tc>
        <w:tc>
          <w:tcPr>
            <w:tcW w:w="1103" w:type="dxa"/>
            <w:tcBorders>
              <w:top w:val="single" w:sz="4" w:space="0" w:color="95B3D7"/>
              <w:left w:val="nil"/>
              <w:bottom w:val="single" w:sz="4" w:space="0" w:color="95B3D7"/>
              <w:right w:val="nil"/>
            </w:tcBorders>
            <w:shd w:val="clear" w:color="auto" w:fill="DCE6F1"/>
            <w:vAlign w:val="center"/>
          </w:tcPr>
          <w:p w14:paraId="6FB484B0" w14:textId="77777777" w:rsidR="008D7147" w:rsidRPr="00E36A94" w:rsidRDefault="00475B63">
            <w:pPr>
              <w:spacing w:after="0" w:line="240" w:lineRule="auto"/>
              <w:jc w:val="center"/>
            </w:pPr>
            <w:r w:rsidRPr="00E36A94">
              <w:t>703</w:t>
            </w:r>
          </w:p>
        </w:tc>
        <w:tc>
          <w:tcPr>
            <w:tcW w:w="1103" w:type="dxa"/>
            <w:tcBorders>
              <w:top w:val="single" w:sz="4" w:space="0" w:color="95B3D7"/>
              <w:left w:val="nil"/>
              <w:bottom w:val="single" w:sz="4" w:space="0" w:color="95B3D7"/>
              <w:right w:val="nil"/>
            </w:tcBorders>
            <w:shd w:val="clear" w:color="auto" w:fill="DCE6F1"/>
            <w:vAlign w:val="center"/>
          </w:tcPr>
          <w:p w14:paraId="7B534D3E" w14:textId="77777777" w:rsidR="008D7147" w:rsidRPr="00E36A94" w:rsidRDefault="00475B63">
            <w:pPr>
              <w:spacing w:after="0" w:line="240" w:lineRule="auto"/>
              <w:jc w:val="center"/>
            </w:pPr>
            <w:r w:rsidRPr="00E36A94">
              <w:t>779</w:t>
            </w:r>
          </w:p>
        </w:tc>
        <w:tc>
          <w:tcPr>
            <w:tcW w:w="1430" w:type="dxa"/>
            <w:tcBorders>
              <w:top w:val="single" w:sz="4" w:space="0" w:color="95B3D7"/>
              <w:left w:val="nil"/>
              <w:bottom w:val="single" w:sz="4" w:space="0" w:color="95B3D7"/>
              <w:right w:val="single" w:sz="4" w:space="0" w:color="95B3D7"/>
            </w:tcBorders>
            <w:shd w:val="clear" w:color="auto" w:fill="DCE6F1"/>
            <w:vAlign w:val="center"/>
          </w:tcPr>
          <w:p w14:paraId="45C746B9" w14:textId="77777777" w:rsidR="008D7147" w:rsidRPr="00E36A94" w:rsidRDefault="00475B63">
            <w:pPr>
              <w:spacing w:after="0" w:line="240" w:lineRule="auto"/>
              <w:jc w:val="center"/>
            </w:pPr>
            <w:r w:rsidRPr="00E36A94">
              <w:t>12,7%</w:t>
            </w:r>
          </w:p>
        </w:tc>
      </w:tr>
    </w:tbl>
    <w:p w14:paraId="2112776A" w14:textId="64A866B1" w:rsidR="008D7147" w:rsidRPr="00E36A94" w:rsidRDefault="00156B68">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2.1.4. </w:t>
      </w:r>
      <w:r w:rsidR="00475B63" w:rsidRPr="00E36A94">
        <w:rPr>
          <w:rFonts w:ascii="Times New Roman" w:eastAsia="Times New Roman" w:hAnsi="Times New Roman" w:cs="Times New Roman"/>
          <w:b/>
          <w:i/>
          <w:sz w:val="24"/>
          <w:szCs w:val="24"/>
        </w:rPr>
        <w:t>Creșterea simultană atât a salariilor cât și a efectivului de personal a avut un impact major asupra încasărilor la buget</w:t>
      </w:r>
      <w:r w:rsidR="00475B63" w:rsidRPr="00E36A94">
        <w:rPr>
          <w:rFonts w:ascii="Times New Roman" w:eastAsia="Times New Roman" w:hAnsi="Times New Roman" w:cs="Times New Roman"/>
          <w:i/>
          <w:sz w:val="24"/>
          <w:szCs w:val="24"/>
        </w:rPr>
        <w:t xml:space="preserve">, </w:t>
      </w:r>
      <w:r w:rsidR="00475B63" w:rsidRPr="00E36A94">
        <w:rPr>
          <w:rFonts w:ascii="Times New Roman" w:eastAsia="Times New Roman" w:hAnsi="Times New Roman" w:cs="Times New Roman"/>
          <w:sz w:val="24"/>
          <w:szCs w:val="24"/>
        </w:rPr>
        <w:t xml:space="preserve">astfel încât un studiu al </w:t>
      </w:r>
      <w:proofErr w:type="spellStart"/>
      <w:r w:rsidR="00475B63" w:rsidRPr="00E36A94">
        <w:rPr>
          <w:rFonts w:ascii="Times New Roman" w:eastAsia="Times New Roman" w:hAnsi="Times New Roman" w:cs="Times New Roman"/>
          <w:sz w:val="24"/>
          <w:szCs w:val="24"/>
        </w:rPr>
        <w:t>PwC</w:t>
      </w:r>
      <w:proofErr w:type="spellEnd"/>
      <w:r w:rsidR="00475B63" w:rsidRPr="00E36A94">
        <w:rPr>
          <w:rFonts w:ascii="Times New Roman" w:eastAsia="Times New Roman" w:hAnsi="Times New Roman" w:cs="Times New Roman"/>
          <w:sz w:val="24"/>
          <w:szCs w:val="24"/>
        </w:rPr>
        <w:t xml:space="preserve"> din anul 2016 ce a luat în calcul cele mai reprezentative companii din sector arată că veniturile aferente componentelor impozitului unic din anul 2014 de 258,4 mil. Lei era de 2,3 ori mai mare față de indicatorul anului 2012. La fel, este de consemnat că facilitățile fiscale de plafonare a CAS și PAM a avut o influență pozitivă asupra încasărilor bugetare, sporind gradul de conformare fiscală.</w:t>
      </w:r>
    </w:p>
    <w:p w14:paraId="5C7BD03C" w14:textId="4967DE40" w:rsidR="008D7147" w:rsidRPr="00E36A94" w:rsidRDefault="00156B68">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2.1.5. </w:t>
      </w:r>
      <w:r w:rsidR="00475B63" w:rsidRPr="00E36A94">
        <w:rPr>
          <w:rFonts w:ascii="Times New Roman" w:eastAsia="Times New Roman" w:hAnsi="Times New Roman" w:cs="Times New Roman"/>
          <w:b/>
          <w:i/>
          <w:sz w:val="24"/>
          <w:szCs w:val="24"/>
        </w:rPr>
        <w:t>Rezultatele de mai sus au fost însoțite și de creșteri robuste a nivelului salariului mediu.</w:t>
      </w:r>
      <w:r w:rsidR="00475B63" w:rsidRPr="00E36A94">
        <w:rPr>
          <w:rFonts w:ascii="Times New Roman" w:eastAsia="Times New Roman" w:hAnsi="Times New Roman" w:cs="Times New Roman"/>
          <w:i/>
          <w:sz w:val="24"/>
          <w:szCs w:val="24"/>
        </w:rPr>
        <w:t xml:space="preserve"> </w:t>
      </w:r>
      <w:r w:rsidR="00475B63" w:rsidRPr="00E36A94">
        <w:rPr>
          <w:rFonts w:ascii="Times New Roman" w:eastAsia="Times New Roman" w:hAnsi="Times New Roman" w:cs="Times New Roman"/>
          <w:sz w:val="24"/>
          <w:szCs w:val="24"/>
        </w:rPr>
        <w:t>Astfel, cei antrenați în Activități de servicii în tehnologia informației au beneficiat de creșteri medii salariale de peste30% în 2014 și peste 20% în 2015. Salariul mediu din această activitate (care concentrează circa 70% din numărul de angajați din sector) este în 2016 de 2,9 ori mai mare raportat la salariul mediu pe economie.</w:t>
      </w:r>
    </w:p>
    <w:p w14:paraId="14F06684" w14:textId="3EEA5C4D" w:rsidR="008D7147" w:rsidRPr="0079769C" w:rsidRDefault="00156B68">
      <w:pPr>
        <w:spacing w:after="120"/>
        <w:jc w:val="both"/>
        <w:rPr>
          <w:rFonts w:ascii="Times New Roman" w:eastAsia="Times New Roman" w:hAnsi="Times New Roman" w:cs="Times New Roman"/>
          <w:color w:val="auto"/>
          <w:sz w:val="24"/>
          <w:szCs w:val="24"/>
        </w:rPr>
      </w:pPr>
      <w:r>
        <w:rPr>
          <w:rFonts w:ascii="Times New Roman" w:eastAsia="Times New Roman" w:hAnsi="Times New Roman" w:cs="Times New Roman"/>
          <w:b/>
          <w:i/>
          <w:sz w:val="24"/>
          <w:szCs w:val="24"/>
        </w:rPr>
        <w:t xml:space="preserve">2.1.6. </w:t>
      </w:r>
      <w:r w:rsidR="00E36A94" w:rsidRPr="00E36A94">
        <w:rPr>
          <w:rFonts w:ascii="Times New Roman" w:eastAsia="Times New Roman" w:hAnsi="Times New Roman" w:cs="Times New Roman"/>
          <w:b/>
          <w:i/>
          <w:sz w:val="24"/>
          <w:szCs w:val="24"/>
        </w:rPr>
        <w:t>Investițiile</w:t>
      </w:r>
      <w:r w:rsidR="00475B63" w:rsidRPr="00E36A94">
        <w:rPr>
          <w:rFonts w:ascii="Times New Roman" w:eastAsia="Times New Roman" w:hAnsi="Times New Roman" w:cs="Times New Roman"/>
          <w:b/>
          <w:i/>
          <w:sz w:val="24"/>
          <w:szCs w:val="24"/>
        </w:rPr>
        <w:t xml:space="preserve"> în </w:t>
      </w:r>
      <w:r w:rsidR="00E36A94" w:rsidRPr="00E36A94">
        <w:rPr>
          <w:rFonts w:ascii="Times New Roman" w:eastAsia="Times New Roman" w:hAnsi="Times New Roman" w:cs="Times New Roman"/>
          <w:b/>
          <w:i/>
          <w:sz w:val="24"/>
          <w:szCs w:val="24"/>
        </w:rPr>
        <w:t>piața</w:t>
      </w:r>
      <w:r w:rsidR="00475B63" w:rsidRPr="00E36A94">
        <w:rPr>
          <w:rFonts w:ascii="Times New Roman" w:eastAsia="Times New Roman" w:hAnsi="Times New Roman" w:cs="Times New Roman"/>
          <w:b/>
          <w:i/>
          <w:sz w:val="24"/>
          <w:szCs w:val="24"/>
        </w:rPr>
        <w:t xml:space="preserve"> TI din Moldova sunt în </w:t>
      </w:r>
      <w:r w:rsidR="00E36A94" w:rsidRPr="00E36A94">
        <w:rPr>
          <w:rFonts w:ascii="Times New Roman" w:eastAsia="Times New Roman" w:hAnsi="Times New Roman" w:cs="Times New Roman"/>
          <w:b/>
          <w:i/>
          <w:sz w:val="24"/>
          <w:szCs w:val="24"/>
        </w:rPr>
        <w:t>creștere</w:t>
      </w:r>
      <w:r w:rsidR="00475B63" w:rsidRPr="00E36A94">
        <w:rPr>
          <w:rFonts w:ascii="Times New Roman" w:eastAsia="Times New Roman" w:hAnsi="Times New Roman" w:cs="Times New Roman"/>
          <w:sz w:val="24"/>
          <w:szCs w:val="24"/>
        </w:rPr>
        <w:t xml:space="preserve">, ceea ce demonstrează avantajele competitive ale Moldovei în </w:t>
      </w:r>
      <w:r w:rsidR="001170B0">
        <w:rPr>
          <w:rFonts w:ascii="Times New Roman" w:eastAsia="Times New Roman" w:hAnsi="Times New Roman" w:cs="Times New Roman"/>
          <w:sz w:val="24"/>
          <w:szCs w:val="24"/>
        </w:rPr>
        <w:t xml:space="preserve">această industrie. În anul 2016, </w:t>
      </w:r>
      <w:r w:rsidR="00475B63" w:rsidRPr="00E36A94">
        <w:rPr>
          <w:rFonts w:ascii="Times New Roman" w:eastAsia="Times New Roman" w:hAnsi="Times New Roman" w:cs="Times New Roman"/>
          <w:sz w:val="24"/>
          <w:szCs w:val="24"/>
        </w:rPr>
        <w:t>cele 4 companii private din sector cu un număr</w:t>
      </w:r>
      <w:r w:rsidR="001170B0">
        <w:rPr>
          <w:rFonts w:ascii="Times New Roman" w:eastAsia="Times New Roman" w:hAnsi="Times New Roman" w:cs="Times New Roman"/>
          <w:sz w:val="24"/>
          <w:szCs w:val="24"/>
        </w:rPr>
        <w:t xml:space="preserve"> al angajaților mai mare de 250</w:t>
      </w:r>
      <w:r w:rsidR="00475B63" w:rsidRPr="0079769C">
        <w:rPr>
          <w:rFonts w:ascii="Times New Roman" w:eastAsia="Times New Roman" w:hAnsi="Times New Roman" w:cs="Times New Roman"/>
          <w:color w:val="auto"/>
          <w:sz w:val="24"/>
          <w:szCs w:val="24"/>
        </w:rPr>
        <w:t xml:space="preserve"> sunt cu capital străin. </w:t>
      </w:r>
    </w:p>
    <w:p w14:paraId="541FCE69" w14:textId="63348C85" w:rsidR="003B4EE4" w:rsidRPr="00E13460" w:rsidRDefault="00CE4D30">
      <w:pPr>
        <w:spacing w:after="120"/>
        <w:jc w:val="both"/>
        <w:rPr>
          <w:rFonts w:ascii="Times New Roman" w:eastAsia="Times New Roman" w:hAnsi="Times New Roman" w:cs="Times New Roman"/>
          <w:color w:val="auto"/>
          <w:sz w:val="24"/>
          <w:szCs w:val="24"/>
        </w:rPr>
      </w:pPr>
      <w:r w:rsidRPr="0079769C">
        <w:rPr>
          <w:rFonts w:ascii="Times New Roman" w:eastAsia="Times New Roman" w:hAnsi="Times New Roman" w:cs="Times New Roman"/>
          <w:color w:val="auto"/>
          <w:sz w:val="24"/>
          <w:szCs w:val="24"/>
        </w:rPr>
        <w:t xml:space="preserve">În același timp, numărul de companii în domeniul TI, cu capital total sau parțial străin, constituie 20 la sută din numărul total al companiilor. Este de consemnat că nivelul de eficiență al întreprinderilor cu capital străini, reflectat prin indicatori precum Venitul mediu din </w:t>
      </w:r>
      <w:r w:rsidR="003B1E0A" w:rsidRPr="0079769C">
        <w:rPr>
          <w:rFonts w:ascii="Times New Roman" w:eastAsia="Times New Roman" w:hAnsi="Times New Roman" w:cs="Times New Roman"/>
          <w:color w:val="auto"/>
          <w:sz w:val="24"/>
          <w:szCs w:val="24"/>
        </w:rPr>
        <w:t>vânzări</w:t>
      </w:r>
      <w:r w:rsidRPr="0079769C">
        <w:rPr>
          <w:rFonts w:ascii="Times New Roman" w:eastAsia="Times New Roman" w:hAnsi="Times New Roman" w:cs="Times New Roman"/>
          <w:color w:val="auto"/>
          <w:sz w:val="24"/>
          <w:szCs w:val="24"/>
        </w:rPr>
        <w:t xml:space="preserve"> per angajat, este net superior celor locale, fapt ce denotă utilizarea mai intensă a tehnologiilor inovative.</w:t>
      </w:r>
    </w:p>
    <w:p w14:paraId="4E960E7E" w14:textId="27440DF4"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Ultimele date existente, cu privire la alocările investiționale pentru informatizar</w:t>
      </w:r>
      <w:r w:rsidR="00D020AE">
        <w:rPr>
          <w:rFonts w:ascii="Times New Roman" w:eastAsia="Times New Roman" w:hAnsi="Times New Roman" w:cs="Times New Roman"/>
          <w:sz w:val="24"/>
          <w:szCs w:val="24"/>
        </w:rPr>
        <w:t>e, constituie anual peste 800 mil. l</w:t>
      </w:r>
      <w:r w:rsidRPr="00E36A94">
        <w:rPr>
          <w:rFonts w:ascii="Times New Roman" w:eastAsia="Times New Roman" w:hAnsi="Times New Roman" w:cs="Times New Roman"/>
          <w:sz w:val="24"/>
          <w:szCs w:val="24"/>
        </w:rPr>
        <w:t xml:space="preserve">ei, dintre care </w:t>
      </w:r>
      <w:r w:rsidR="00D020AE">
        <w:rPr>
          <w:rFonts w:ascii="Times New Roman" w:eastAsia="Times New Roman" w:hAnsi="Times New Roman" w:cs="Times New Roman"/>
          <w:sz w:val="24"/>
          <w:szCs w:val="24"/>
        </w:rPr>
        <w:t>c</w:t>
      </w:r>
      <w:r w:rsidRPr="00E36A94">
        <w:rPr>
          <w:rFonts w:ascii="Times New Roman" w:eastAsia="Times New Roman" w:hAnsi="Times New Roman" w:cs="Times New Roman"/>
          <w:sz w:val="24"/>
          <w:szCs w:val="24"/>
        </w:rPr>
        <w:t xml:space="preserve">ca. 12% sunt alocate din bugetul de stat. Ponderea investițiilor TIC constituie cca. 11% din totalul investițiilor în economie. </w:t>
      </w:r>
    </w:p>
    <w:p w14:paraId="4735C581" w14:textId="77777777" w:rsidR="00A847CC"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Totuși, mediul de afaceri poate fi apreciat ca fiind imperfect. Barierele mediului de afaceri fac referire la gradul de atractivitate al țării pentru dezvoltarea afacerilor și acestea se caracterizează prin povara administrativă (ex. Timpul și costuri monetare pentru etapa de intrare în afaceri, stimulente fiscale cu perioadă determinată, cadrul de reglementare imprevizibil). </w:t>
      </w:r>
    </w:p>
    <w:p w14:paraId="6DB6E6BD" w14:textId="19433439" w:rsidR="008D7147" w:rsidRPr="00E36A94" w:rsidRDefault="00382BB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u</w:t>
      </w:r>
      <w:r w:rsidR="00475B63" w:rsidRPr="00E36A94">
        <w:rPr>
          <w:rFonts w:ascii="Times New Roman" w:eastAsia="Times New Roman" w:hAnsi="Times New Roman" w:cs="Times New Roman"/>
          <w:sz w:val="24"/>
          <w:szCs w:val="24"/>
        </w:rPr>
        <w:t xml:space="preserve">ltimii ani, au fost realizați pași importanți în sens de ameliorare a climatului antreprenorial, pentru anul 2017, Moldova îmbunătățindu-și poziția în raportul </w:t>
      </w:r>
      <w:proofErr w:type="spellStart"/>
      <w:r w:rsidR="00475B63" w:rsidRPr="00E36A94">
        <w:rPr>
          <w:rFonts w:ascii="Times New Roman" w:eastAsia="Times New Roman" w:hAnsi="Times New Roman" w:cs="Times New Roman"/>
          <w:sz w:val="24"/>
          <w:szCs w:val="24"/>
        </w:rPr>
        <w:t>Doing</w:t>
      </w:r>
      <w:proofErr w:type="spellEnd"/>
      <w:r w:rsidR="00475B63" w:rsidRPr="00E36A94">
        <w:rPr>
          <w:rFonts w:ascii="Times New Roman" w:eastAsia="Times New Roman" w:hAnsi="Times New Roman" w:cs="Times New Roman"/>
          <w:sz w:val="24"/>
          <w:szCs w:val="24"/>
        </w:rPr>
        <w:t xml:space="preserve"> Business, avansând cu trei poziții față de anul 2016, ocupând poziția 44 din 190 de țări.</w:t>
      </w:r>
    </w:p>
    <w:p w14:paraId="1CBEE13D" w14:textId="7995A252" w:rsidR="008D7147" w:rsidRPr="006A1E2A" w:rsidRDefault="00B72BA7" w:rsidP="003271FA">
      <w:pPr>
        <w:pStyle w:val="ListParagraph"/>
        <w:numPr>
          <w:ilvl w:val="1"/>
          <w:numId w:val="19"/>
        </w:numPr>
        <w:spacing w:after="120"/>
        <w:jc w:val="both"/>
        <w:rPr>
          <w:rFonts w:ascii="Times New Roman" w:eastAsia="Times New Roman" w:hAnsi="Times New Roman" w:cs="Times New Roman"/>
          <w:sz w:val="24"/>
          <w:szCs w:val="24"/>
        </w:rPr>
      </w:pPr>
      <w:r w:rsidRPr="006A1E2A">
        <w:rPr>
          <w:rFonts w:ascii="Times New Roman" w:eastAsia="Times New Roman" w:hAnsi="Times New Roman" w:cs="Times New Roman"/>
          <w:b/>
          <w:sz w:val="24"/>
          <w:szCs w:val="24"/>
        </w:rPr>
        <w:lastRenderedPageBreak/>
        <w:t xml:space="preserve"> </w:t>
      </w:r>
      <w:r w:rsidR="00475B63" w:rsidRPr="006A1E2A">
        <w:rPr>
          <w:rFonts w:ascii="Times New Roman" w:eastAsia="Times New Roman" w:hAnsi="Times New Roman" w:cs="Times New Roman"/>
          <w:b/>
          <w:sz w:val="24"/>
          <w:szCs w:val="24"/>
        </w:rPr>
        <w:t>Problemele identificate</w:t>
      </w:r>
    </w:p>
    <w:p w14:paraId="61D3AF4F" w14:textId="54DE85B7" w:rsidR="008D7147" w:rsidRPr="00E36A94" w:rsidRDefault="003C71B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Industria TI</w:t>
      </w:r>
      <w:r w:rsidR="00475B63" w:rsidRPr="00E36A94">
        <w:rPr>
          <w:rFonts w:ascii="Times New Roman" w:eastAsia="Times New Roman" w:hAnsi="Times New Roman" w:cs="Times New Roman"/>
          <w:sz w:val="24"/>
          <w:szCs w:val="24"/>
        </w:rPr>
        <w:t xml:space="preserve"> are nevoie de un ecosistem favorabil pentru dezvoltarea afacerilor, inclusiv a afacerilor inovaționale. Unele dintre mecanismele posibile sunt regim fiscal și economic special, care </w:t>
      </w:r>
      <w:r>
        <w:rPr>
          <w:rFonts w:ascii="Times New Roman" w:eastAsia="Times New Roman" w:hAnsi="Times New Roman" w:cs="Times New Roman"/>
          <w:sz w:val="24"/>
          <w:szCs w:val="24"/>
        </w:rPr>
        <w:t>este</w:t>
      </w:r>
      <w:r w:rsidR="00475B63" w:rsidRPr="00E36A94">
        <w:rPr>
          <w:rFonts w:ascii="Times New Roman" w:eastAsia="Times New Roman" w:hAnsi="Times New Roman" w:cs="Times New Roman"/>
          <w:sz w:val="24"/>
          <w:szCs w:val="24"/>
        </w:rPr>
        <w:t xml:space="preserve"> asigurat prin </w:t>
      </w:r>
      <w:r>
        <w:rPr>
          <w:rFonts w:ascii="Times New Roman" w:eastAsia="Times New Roman" w:hAnsi="Times New Roman" w:cs="Times New Roman"/>
          <w:sz w:val="24"/>
          <w:szCs w:val="24"/>
        </w:rPr>
        <w:t>parcuri specializate în domeniul TI</w:t>
      </w:r>
      <w:r w:rsidR="00475B63" w:rsidRPr="00E36A94">
        <w:rPr>
          <w:rFonts w:ascii="Times New Roman" w:eastAsia="Times New Roman" w:hAnsi="Times New Roman" w:cs="Times New Roman"/>
          <w:sz w:val="24"/>
          <w:szCs w:val="24"/>
        </w:rPr>
        <w:t>.</w:t>
      </w:r>
    </w:p>
    <w:p w14:paraId="10F954DA" w14:textId="6A06A65F" w:rsidR="008D7147" w:rsidRPr="00E36A94" w:rsidRDefault="00475B63">
      <w:pPr>
        <w:spacing w:before="120"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Acest cadru de oportunități </w:t>
      </w:r>
      <w:r w:rsidR="003C71B5">
        <w:rPr>
          <w:rFonts w:ascii="Times New Roman" w:eastAsia="Times New Roman" w:hAnsi="Times New Roman" w:cs="Times New Roman"/>
          <w:sz w:val="24"/>
          <w:szCs w:val="24"/>
        </w:rPr>
        <w:t xml:space="preserve">presupune </w:t>
      </w:r>
      <w:r w:rsidRPr="00E36A94">
        <w:rPr>
          <w:rFonts w:ascii="Times New Roman" w:eastAsia="Times New Roman" w:hAnsi="Times New Roman" w:cs="Times New Roman"/>
          <w:sz w:val="24"/>
          <w:szCs w:val="24"/>
        </w:rPr>
        <w:t>implement</w:t>
      </w:r>
      <w:r w:rsidR="003C71B5">
        <w:rPr>
          <w:rFonts w:ascii="Times New Roman" w:eastAsia="Times New Roman" w:hAnsi="Times New Roman" w:cs="Times New Roman"/>
          <w:sz w:val="24"/>
          <w:szCs w:val="24"/>
        </w:rPr>
        <w:t>area</w:t>
      </w:r>
      <w:r w:rsidRPr="00E36A94">
        <w:rPr>
          <w:rFonts w:ascii="Times New Roman" w:eastAsia="Times New Roman" w:hAnsi="Times New Roman" w:cs="Times New Roman"/>
          <w:sz w:val="24"/>
          <w:szCs w:val="24"/>
        </w:rPr>
        <w:t xml:space="preserve"> unui cadru de reglementare previzibil și motivant prin </w:t>
      </w:r>
      <w:r w:rsidR="003C71B5">
        <w:rPr>
          <w:rFonts w:ascii="Times New Roman" w:eastAsia="Times New Roman" w:hAnsi="Times New Roman" w:cs="Times New Roman"/>
          <w:sz w:val="24"/>
          <w:szCs w:val="24"/>
        </w:rPr>
        <w:t>simplificarea</w:t>
      </w:r>
      <w:r w:rsidRPr="00E36A94">
        <w:rPr>
          <w:rFonts w:ascii="Times New Roman" w:eastAsia="Times New Roman" w:hAnsi="Times New Roman" w:cs="Times New Roman"/>
          <w:sz w:val="24"/>
          <w:szCs w:val="24"/>
        </w:rPr>
        <w:t xml:space="preserve"> sistemului administrativ și fiscal. Pentru a asigura în continuare o creștere </w:t>
      </w:r>
      <w:r w:rsidR="003C71B5">
        <w:rPr>
          <w:rFonts w:ascii="Times New Roman" w:eastAsia="Times New Roman" w:hAnsi="Times New Roman" w:cs="Times New Roman"/>
          <w:sz w:val="24"/>
          <w:szCs w:val="24"/>
        </w:rPr>
        <w:t>constantă și dinamică</w:t>
      </w:r>
      <w:r w:rsidRPr="00E36A94">
        <w:rPr>
          <w:rFonts w:ascii="Times New Roman" w:eastAsia="Times New Roman" w:hAnsi="Times New Roman" w:cs="Times New Roman"/>
          <w:sz w:val="24"/>
          <w:szCs w:val="24"/>
        </w:rPr>
        <w:t xml:space="preserve"> a industriei TI este nevoie de o viziune inovativă și un plan de acțiuni ambițios, dar realist întru soluționarea următoarelor provocări:</w:t>
      </w:r>
    </w:p>
    <w:p w14:paraId="4838D8EE" w14:textId="77777777" w:rsidR="008D7147" w:rsidRPr="00E36A94" w:rsidRDefault="008D7147">
      <w:pPr>
        <w:spacing w:after="0"/>
        <w:jc w:val="both"/>
        <w:rPr>
          <w:rFonts w:ascii="Times New Roman" w:eastAsia="Times New Roman" w:hAnsi="Times New Roman" w:cs="Times New Roman"/>
          <w:sz w:val="12"/>
          <w:szCs w:val="12"/>
        </w:rPr>
      </w:pPr>
    </w:p>
    <w:p w14:paraId="47E702F8" w14:textId="3EFB63E5" w:rsidR="008D7147" w:rsidRPr="00E36A94" w:rsidRDefault="00156B68">
      <w:pPr>
        <w:tabs>
          <w:tab w:val="left" w:pos="426"/>
        </w:tabs>
        <w:spacing w:after="0"/>
        <w:jc w:val="both"/>
        <w:rPr>
          <w:rFonts w:ascii="Times New Roman" w:eastAsia="Times New Roman" w:hAnsi="Times New Roman" w:cs="Times New Roman"/>
          <w:sz w:val="24"/>
          <w:szCs w:val="24"/>
        </w:rPr>
      </w:pPr>
      <w:r w:rsidRPr="00156B68">
        <w:rPr>
          <w:rFonts w:ascii="Times New Roman" w:eastAsia="Times New Roman" w:hAnsi="Times New Roman" w:cs="Times New Roman"/>
          <w:b/>
          <w:i/>
          <w:sz w:val="24"/>
          <w:szCs w:val="24"/>
        </w:rPr>
        <w:t xml:space="preserve">2.2.1 </w:t>
      </w:r>
      <w:r w:rsidR="00475B63" w:rsidRPr="00E36A94">
        <w:rPr>
          <w:rFonts w:ascii="Times New Roman" w:eastAsia="Times New Roman" w:hAnsi="Times New Roman" w:cs="Times New Roman"/>
          <w:b/>
          <w:i/>
          <w:sz w:val="24"/>
          <w:szCs w:val="24"/>
        </w:rPr>
        <w:t>Capacitățile și numărul specialiștilor TI nu corespund necesităților industriei TI locale și potențialelor proiecte investiționale TI de anvergură</w:t>
      </w:r>
      <w:r w:rsidR="00475B63" w:rsidRPr="00E36A94">
        <w:rPr>
          <w:rFonts w:ascii="Times New Roman" w:eastAsia="Times New Roman" w:hAnsi="Times New Roman" w:cs="Times New Roman"/>
          <w:sz w:val="24"/>
          <w:szCs w:val="24"/>
        </w:rPr>
        <w:t xml:space="preserve"> – activul de bază al afacerilor TIC este capitalul uman. </w:t>
      </w:r>
      <w:r w:rsidR="00475B63" w:rsidRPr="00940067">
        <w:rPr>
          <w:rFonts w:ascii="Times New Roman" w:eastAsia="Times New Roman" w:hAnsi="Times New Roman" w:cs="Times New Roman"/>
          <w:color w:val="auto"/>
          <w:sz w:val="24"/>
          <w:szCs w:val="24"/>
        </w:rPr>
        <w:t>C</w:t>
      </w:r>
      <w:r w:rsidR="00AD00A8" w:rsidRPr="00940067">
        <w:rPr>
          <w:rFonts w:ascii="Times New Roman" w:eastAsia="Times New Roman" w:hAnsi="Times New Roman" w:cs="Times New Roman"/>
          <w:color w:val="auto"/>
          <w:sz w:val="24"/>
          <w:szCs w:val="24"/>
        </w:rPr>
        <w:t>u toate că, în cele cca. 750</w:t>
      </w:r>
      <w:r w:rsidR="00475B63" w:rsidRPr="00940067">
        <w:rPr>
          <w:rFonts w:ascii="Times New Roman" w:eastAsia="Times New Roman" w:hAnsi="Times New Roman" w:cs="Times New Roman"/>
          <w:color w:val="auto"/>
          <w:sz w:val="24"/>
          <w:szCs w:val="24"/>
        </w:rPr>
        <w:t xml:space="preserve"> companii act</w:t>
      </w:r>
      <w:r w:rsidR="00AD00A8" w:rsidRPr="00940067">
        <w:rPr>
          <w:rFonts w:ascii="Times New Roman" w:eastAsia="Times New Roman" w:hAnsi="Times New Roman" w:cs="Times New Roman"/>
          <w:color w:val="auto"/>
          <w:sz w:val="24"/>
          <w:szCs w:val="24"/>
        </w:rPr>
        <w:t xml:space="preserve">ive din domeniul TI activează circa 12,5 </w:t>
      </w:r>
      <w:r w:rsidR="00475B63" w:rsidRPr="00940067">
        <w:rPr>
          <w:rFonts w:ascii="Times New Roman" w:eastAsia="Times New Roman" w:hAnsi="Times New Roman" w:cs="Times New Roman"/>
          <w:color w:val="auto"/>
          <w:sz w:val="24"/>
          <w:szCs w:val="24"/>
        </w:rPr>
        <w:t>mii de angajați, dintre care nemijlocit în</w:t>
      </w:r>
      <w:r w:rsidR="00AD00A8" w:rsidRPr="00940067">
        <w:rPr>
          <w:rFonts w:ascii="Times New Roman" w:eastAsia="Times New Roman" w:hAnsi="Times New Roman" w:cs="Times New Roman"/>
          <w:color w:val="auto"/>
          <w:sz w:val="24"/>
          <w:szCs w:val="24"/>
        </w:rPr>
        <w:t xml:space="preserve"> industria TI activează aproximativ 8</w:t>
      </w:r>
      <w:r w:rsidR="00475B63" w:rsidRPr="00940067">
        <w:rPr>
          <w:rFonts w:ascii="Times New Roman" w:eastAsia="Times New Roman" w:hAnsi="Times New Roman" w:cs="Times New Roman"/>
          <w:color w:val="auto"/>
          <w:sz w:val="24"/>
          <w:szCs w:val="24"/>
        </w:rPr>
        <w:t xml:space="preserve"> mii </w:t>
      </w:r>
      <w:r w:rsidR="00475B63" w:rsidRPr="00E36A94">
        <w:rPr>
          <w:rFonts w:ascii="Times New Roman" w:eastAsia="Times New Roman" w:hAnsi="Times New Roman" w:cs="Times New Roman"/>
          <w:sz w:val="24"/>
          <w:szCs w:val="24"/>
        </w:rPr>
        <w:t>de persoane, se constată o insuficiență de specialiști calificați estimat la circa 1000 persoane</w:t>
      </w:r>
      <w:r w:rsidR="005E07E1">
        <w:rPr>
          <w:rFonts w:ascii="Times New Roman" w:eastAsia="Times New Roman" w:hAnsi="Times New Roman" w:cs="Times New Roman"/>
          <w:sz w:val="24"/>
          <w:szCs w:val="24"/>
        </w:rPr>
        <w:t>,</w:t>
      </w:r>
      <w:r w:rsidR="00475B63" w:rsidRPr="00E36A94">
        <w:rPr>
          <w:rFonts w:ascii="Times New Roman" w:eastAsia="Times New Roman" w:hAnsi="Times New Roman" w:cs="Times New Roman"/>
          <w:sz w:val="24"/>
          <w:szCs w:val="24"/>
        </w:rPr>
        <w:t xml:space="preserve"> deși numărul absolvenților în acest domeniul este de circa </w:t>
      </w:r>
      <w:r w:rsidR="005E07E1" w:rsidRPr="002659A7">
        <w:rPr>
          <w:rFonts w:ascii="Times New Roman" w:eastAsia="Times New Roman" w:hAnsi="Times New Roman" w:cs="Times New Roman"/>
          <w:color w:val="auto"/>
          <w:sz w:val="24"/>
          <w:szCs w:val="24"/>
        </w:rPr>
        <w:t>823</w:t>
      </w:r>
      <w:r w:rsidR="00475B63" w:rsidRPr="002659A7">
        <w:rPr>
          <w:rFonts w:ascii="Times New Roman" w:eastAsia="Times New Roman" w:hAnsi="Times New Roman" w:cs="Times New Roman"/>
          <w:color w:val="auto"/>
          <w:sz w:val="24"/>
          <w:szCs w:val="24"/>
        </w:rPr>
        <w:t xml:space="preserve"> </w:t>
      </w:r>
      <w:r w:rsidR="00475B63" w:rsidRPr="00E36A94">
        <w:rPr>
          <w:rFonts w:ascii="Times New Roman" w:eastAsia="Times New Roman" w:hAnsi="Times New Roman" w:cs="Times New Roman"/>
          <w:sz w:val="24"/>
          <w:szCs w:val="24"/>
        </w:rPr>
        <w:t xml:space="preserve">persoane </w:t>
      </w:r>
      <w:r w:rsidR="005E07E1">
        <w:rPr>
          <w:rFonts w:ascii="Times New Roman" w:eastAsia="Times New Roman" w:hAnsi="Times New Roman" w:cs="Times New Roman"/>
          <w:sz w:val="24"/>
          <w:szCs w:val="24"/>
        </w:rPr>
        <w:t>în anul 2016</w:t>
      </w:r>
      <w:r w:rsidR="00475B63" w:rsidRPr="00E36A94">
        <w:rPr>
          <w:rFonts w:ascii="Times New Roman" w:eastAsia="Times New Roman" w:hAnsi="Times New Roman" w:cs="Times New Roman"/>
          <w:sz w:val="24"/>
          <w:szCs w:val="24"/>
        </w:rPr>
        <w:t xml:space="preserve">. Cauzele rezidă </w:t>
      </w:r>
      <w:r w:rsidR="004B22C0">
        <w:rPr>
          <w:rFonts w:ascii="Times New Roman" w:eastAsia="Times New Roman" w:hAnsi="Times New Roman" w:cs="Times New Roman"/>
          <w:sz w:val="24"/>
          <w:szCs w:val="24"/>
        </w:rPr>
        <w:t xml:space="preserve">în </w:t>
      </w:r>
      <w:r w:rsidR="00475B63" w:rsidRPr="00E36A94">
        <w:rPr>
          <w:rFonts w:ascii="Times New Roman" w:eastAsia="Times New Roman" w:hAnsi="Times New Roman" w:cs="Times New Roman"/>
          <w:sz w:val="24"/>
          <w:szCs w:val="24"/>
        </w:rPr>
        <w:t>metode</w:t>
      </w:r>
      <w:r w:rsidR="004B22C0">
        <w:rPr>
          <w:rFonts w:ascii="Times New Roman" w:eastAsia="Times New Roman" w:hAnsi="Times New Roman" w:cs="Times New Roman"/>
          <w:sz w:val="24"/>
          <w:szCs w:val="24"/>
        </w:rPr>
        <w:t>le</w:t>
      </w:r>
      <w:r w:rsidR="00475B63" w:rsidRPr="00E36A94">
        <w:rPr>
          <w:rFonts w:ascii="Times New Roman" w:eastAsia="Times New Roman" w:hAnsi="Times New Roman" w:cs="Times New Roman"/>
          <w:sz w:val="24"/>
          <w:szCs w:val="24"/>
        </w:rPr>
        <w:t xml:space="preserve"> de instruire care nu satisfac exigențele industriei. </w:t>
      </w:r>
    </w:p>
    <w:p w14:paraId="0469BC23" w14:textId="616F7C94" w:rsidR="008D7147" w:rsidRPr="00E36A94" w:rsidRDefault="00475B63">
      <w:pPr>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După cum poate fi desprins din rezultatele un</w:t>
      </w:r>
      <w:r w:rsidR="004B22C0">
        <w:rPr>
          <w:rFonts w:ascii="Times New Roman" w:eastAsia="Times New Roman" w:hAnsi="Times New Roman" w:cs="Times New Roman"/>
          <w:sz w:val="24"/>
          <w:szCs w:val="24"/>
        </w:rPr>
        <w:t>or</w:t>
      </w:r>
      <w:r w:rsidRPr="00E36A94">
        <w:rPr>
          <w:rFonts w:ascii="Times New Roman" w:eastAsia="Times New Roman" w:hAnsi="Times New Roman" w:cs="Times New Roman"/>
          <w:sz w:val="24"/>
          <w:szCs w:val="24"/>
        </w:rPr>
        <w:t xml:space="preserve"> cercetări, angajatorii din sectorul TI cred că ar putea contribui mai mult la dezvoltarea economică, creșterea exporturilor și crearea locurilor de muncă dacă ar avea acces la forță de muncă mai calificată. Companiile au mari dificultăți în recrutarea de personal experimentat din piață. Cel mai frecvent aceștia utilizează ca mecanism de selecție stagiile de practică și își dezvoltă personalul. Ariile unde există cele mai mari lipsuri privind competențele în rândul angajaților sunt:</w:t>
      </w:r>
    </w:p>
    <w:p w14:paraId="67634E99" w14:textId="77777777" w:rsidR="008D7147" w:rsidRPr="00E36A94" w:rsidRDefault="00475B63">
      <w:pPr>
        <w:numPr>
          <w:ilvl w:val="1"/>
          <w:numId w:val="8"/>
        </w:numPr>
        <w:spacing w:after="0"/>
        <w:ind w:left="426" w:hanging="426"/>
        <w:contextualSpacing/>
        <w:jc w:val="both"/>
      </w:pPr>
      <w:r w:rsidRPr="00E36A94">
        <w:rPr>
          <w:rFonts w:ascii="Times New Roman" w:eastAsia="Times New Roman" w:hAnsi="Times New Roman" w:cs="Times New Roman"/>
          <w:sz w:val="24"/>
          <w:szCs w:val="24"/>
        </w:rPr>
        <w:t xml:space="preserve">Limbajele de programare modernă, în special Java și </w:t>
      </w:r>
      <w:proofErr w:type="spellStart"/>
      <w:r w:rsidRPr="00E36A94">
        <w:rPr>
          <w:rFonts w:ascii="Times New Roman" w:eastAsia="Times New Roman" w:hAnsi="Times New Roman" w:cs="Times New Roman"/>
          <w:sz w:val="24"/>
          <w:szCs w:val="24"/>
        </w:rPr>
        <w:t>JavaScript</w:t>
      </w:r>
      <w:proofErr w:type="spellEnd"/>
    </w:p>
    <w:p w14:paraId="67CB3326" w14:textId="77777777" w:rsidR="008D7147" w:rsidRPr="00E36A94" w:rsidRDefault="00475B63">
      <w:pPr>
        <w:numPr>
          <w:ilvl w:val="1"/>
          <w:numId w:val="8"/>
        </w:numPr>
        <w:spacing w:after="0"/>
        <w:ind w:left="426" w:hanging="426"/>
        <w:contextualSpacing/>
        <w:jc w:val="both"/>
      </w:pPr>
      <w:r w:rsidRPr="00E36A94">
        <w:rPr>
          <w:rFonts w:ascii="Times New Roman" w:eastAsia="Times New Roman" w:hAnsi="Times New Roman" w:cs="Times New Roman"/>
          <w:sz w:val="24"/>
          <w:szCs w:val="24"/>
        </w:rPr>
        <w:t>Cunoștințe de afaceri, probleme de comunicare și lucru în echipă</w:t>
      </w:r>
    </w:p>
    <w:p w14:paraId="79762466" w14:textId="023776B8" w:rsidR="008D7147" w:rsidRPr="00E36A94" w:rsidRDefault="00475B63">
      <w:pPr>
        <w:numPr>
          <w:ilvl w:val="1"/>
          <w:numId w:val="8"/>
        </w:numPr>
        <w:spacing w:after="0"/>
        <w:ind w:left="426" w:hanging="426"/>
        <w:contextualSpacing/>
        <w:jc w:val="both"/>
      </w:pPr>
      <w:r w:rsidRPr="00E36A94">
        <w:rPr>
          <w:rFonts w:ascii="Times New Roman" w:eastAsia="Times New Roman" w:hAnsi="Times New Roman" w:cs="Times New Roman"/>
          <w:sz w:val="24"/>
          <w:szCs w:val="24"/>
        </w:rPr>
        <w:t xml:space="preserve">Cunoașterea </w:t>
      </w:r>
      <w:r w:rsidR="004B22C0">
        <w:rPr>
          <w:rFonts w:ascii="Times New Roman" w:eastAsia="Times New Roman" w:hAnsi="Times New Roman" w:cs="Times New Roman"/>
          <w:sz w:val="24"/>
          <w:szCs w:val="24"/>
        </w:rPr>
        <w:t>avansată</w:t>
      </w:r>
      <w:r w:rsidRPr="00E36A94">
        <w:rPr>
          <w:rFonts w:ascii="Times New Roman" w:eastAsia="Times New Roman" w:hAnsi="Times New Roman" w:cs="Times New Roman"/>
          <w:sz w:val="24"/>
          <w:szCs w:val="24"/>
        </w:rPr>
        <w:t xml:space="preserve"> a limbii engleze sau altor limbi de circulație internațională</w:t>
      </w:r>
    </w:p>
    <w:p w14:paraId="445F56F7" w14:textId="77777777" w:rsidR="008D7147" w:rsidRPr="00E36A94" w:rsidRDefault="00475B63">
      <w:pPr>
        <w:numPr>
          <w:ilvl w:val="1"/>
          <w:numId w:val="8"/>
        </w:numPr>
        <w:spacing w:after="120"/>
        <w:ind w:left="426" w:hanging="426"/>
        <w:contextualSpacing/>
        <w:jc w:val="both"/>
      </w:pPr>
      <w:r w:rsidRPr="00E36A94">
        <w:rPr>
          <w:rFonts w:ascii="Times New Roman" w:eastAsia="Times New Roman" w:hAnsi="Times New Roman" w:cs="Times New Roman"/>
          <w:sz w:val="24"/>
          <w:szCs w:val="24"/>
        </w:rPr>
        <w:t>Abilități practice și nu doar preponderent cunoștințe teoretice.</w:t>
      </w:r>
    </w:p>
    <w:p w14:paraId="18980997" w14:textId="77777777" w:rsidR="008D7147" w:rsidRPr="00E36A94" w:rsidRDefault="00475B63">
      <w:pPr>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În unele instituții predau profesori angajați în companii TI, care-și formează materialul didactic în baza problemelor reale. Angajarea a mai multor practicieni este dificilă din cauza că aceștia nu dețin grade științifice. Or, conform Ghidului de evaluare externă a programului de studii de licență, instituția trebuie să asigure ca cel puțin 80% din cadrele didactice ce predau cursuri teoretice să dețină grade științifice și titluri științifico-didactice.</w:t>
      </w:r>
    </w:p>
    <w:p w14:paraId="7B87B6BF" w14:textId="57CF04CC" w:rsidR="008D7147" w:rsidRPr="00A847CC" w:rsidRDefault="00475B63" w:rsidP="004B22C0">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O altă problemă în implicarea profesorilor din sector este restricția, începând cu 1 septembrie 2019, ce prevede că doar persoane cu grad științific de doctor pot fi profesori universitari. Problema e mult mai gravă, ținând cont de faptul că profesorii din domeniul TI sunt reticenți în ceea ce privește susținerea tezei de doctor. Salariile de două-trei ori mai mari, pe care le oferă sectorul, indiferent de gradul științific al salariatului, duc la o descurajare și mai mare a profesorilor valoroși în a susține teza și a continua activitatea didactică la facultate.</w:t>
      </w:r>
    </w:p>
    <w:p w14:paraId="207AA4CA" w14:textId="5F939A1A" w:rsidR="008D7147" w:rsidRPr="00E36A94" w:rsidRDefault="00156B68" w:rsidP="00362BE8">
      <w:pPr>
        <w:tabs>
          <w:tab w:val="left" w:pos="426"/>
        </w:tabs>
        <w:spacing w:after="120"/>
        <w:jc w:val="both"/>
        <w:rPr>
          <w:rFonts w:ascii="Times New Roman" w:eastAsia="Times New Roman" w:hAnsi="Times New Roman" w:cs="Times New Roman"/>
          <w:sz w:val="24"/>
          <w:szCs w:val="24"/>
        </w:rPr>
      </w:pPr>
      <w:r w:rsidRPr="00156B68">
        <w:rPr>
          <w:rFonts w:ascii="Times New Roman" w:eastAsia="Times New Roman" w:hAnsi="Times New Roman" w:cs="Times New Roman"/>
          <w:b/>
          <w:i/>
          <w:sz w:val="24"/>
          <w:szCs w:val="24"/>
        </w:rPr>
        <w:t>2.2.2.</w:t>
      </w:r>
      <w:r>
        <w:rPr>
          <w:rFonts w:ascii="Times New Roman" w:eastAsia="Times New Roman" w:hAnsi="Times New Roman" w:cs="Times New Roman"/>
          <w:sz w:val="24"/>
          <w:szCs w:val="24"/>
        </w:rPr>
        <w:t xml:space="preserve"> </w:t>
      </w:r>
      <w:r w:rsidR="00475B63" w:rsidRPr="00E36A94">
        <w:rPr>
          <w:rFonts w:ascii="Times New Roman" w:eastAsia="Times New Roman" w:hAnsi="Times New Roman" w:cs="Times New Roman"/>
          <w:b/>
          <w:i/>
          <w:sz w:val="24"/>
          <w:szCs w:val="24"/>
        </w:rPr>
        <w:t>Investițiile limitate în training ș</w:t>
      </w:r>
      <w:r w:rsidR="00362BE8">
        <w:rPr>
          <w:rFonts w:ascii="Times New Roman" w:eastAsia="Times New Roman" w:hAnsi="Times New Roman" w:cs="Times New Roman"/>
          <w:b/>
          <w:i/>
          <w:sz w:val="24"/>
          <w:szCs w:val="24"/>
        </w:rPr>
        <w:t>i dezvoltare a specialiștilor TI</w:t>
      </w:r>
      <w:r w:rsidR="00475B63" w:rsidRPr="00E36A94">
        <w:rPr>
          <w:rFonts w:ascii="Times New Roman" w:eastAsia="Times New Roman" w:hAnsi="Times New Roman" w:cs="Times New Roman"/>
          <w:b/>
          <w:i/>
          <w:sz w:val="24"/>
          <w:szCs w:val="24"/>
        </w:rPr>
        <w:t xml:space="preserve">, de rând cu emigrarea forței de muncă calificate, creează un deficit permanent pe piața forței de muncă în domeniul TI și limitează posibilitățile de lansare de noi </w:t>
      </w:r>
      <w:proofErr w:type="spellStart"/>
      <w:r w:rsidR="00475B63" w:rsidRPr="00E36A94">
        <w:rPr>
          <w:rFonts w:ascii="Times New Roman" w:eastAsia="Times New Roman" w:hAnsi="Times New Roman" w:cs="Times New Roman"/>
          <w:b/>
          <w:i/>
          <w:sz w:val="24"/>
          <w:szCs w:val="24"/>
        </w:rPr>
        <w:t>startup</w:t>
      </w:r>
      <w:proofErr w:type="spellEnd"/>
      <w:r w:rsidR="00475B63" w:rsidRPr="00E36A94">
        <w:rPr>
          <w:rFonts w:ascii="Times New Roman" w:eastAsia="Times New Roman" w:hAnsi="Times New Roman" w:cs="Times New Roman"/>
          <w:b/>
          <w:i/>
          <w:sz w:val="24"/>
          <w:szCs w:val="24"/>
        </w:rPr>
        <w:t xml:space="preserve">-uri </w:t>
      </w:r>
      <w:r w:rsidR="00475B63" w:rsidRPr="00E36A94">
        <w:rPr>
          <w:rFonts w:ascii="Times New Roman" w:eastAsia="Times New Roman" w:hAnsi="Times New Roman" w:cs="Times New Roman"/>
          <w:sz w:val="24"/>
          <w:szCs w:val="24"/>
        </w:rPr>
        <w:t xml:space="preserve">– estimările </w:t>
      </w:r>
      <w:r w:rsidR="004B22C0">
        <w:rPr>
          <w:rFonts w:ascii="Times New Roman" w:eastAsia="Times New Roman" w:hAnsi="Times New Roman" w:cs="Times New Roman"/>
          <w:sz w:val="24"/>
          <w:szCs w:val="24"/>
        </w:rPr>
        <w:t xml:space="preserve">efectuate </w:t>
      </w:r>
      <w:r w:rsidR="00475B63" w:rsidRPr="00E36A94">
        <w:rPr>
          <w:rFonts w:ascii="Times New Roman" w:eastAsia="Times New Roman" w:hAnsi="Times New Roman" w:cs="Times New Roman"/>
          <w:sz w:val="24"/>
          <w:szCs w:val="24"/>
        </w:rPr>
        <w:t xml:space="preserve">relevă un deficit de forță de muncă calificată pe sector de circa 1 000 de persoane, deși este accentuat că problema este mai mult în calitatea oamenilor decât în numărul acestora. Din cele 31 de universități și 45 de colegii funcționale în anul 2016, doar în 14 universități și 6 colegii </w:t>
      </w:r>
      <w:r w:rsidR="00762B8C">
        <w:rPr>
          <w:rFonts w:ascii="Times New Roman" w:eastAsia="Times New Roman" w:hAnsi="Times New Roman" w:cs="Times New Roman"/>
          <w:sz w:val="24"/>
          <w:szCs w:val="24"/>
        </w:rPr>
        <w:t>sunt predate</w:t>
      </w:r>
      <w:r w:rsidR="00475B63" w:rsidRPr="00E36A94">
        <w:rPr>
          <w:rFonts w:ascii="Times New Roman" w:eastAsia="Times New Roman" w:hAnsi="Times New Roman" w:cs="Times New Roman"/>
          <w:sz w:val="24"/>
          <w:szCs w:val="24"/>
        </w:rPr>
        <w:t xml:space="preserve"> specialități asociate cu sectorul TI. În anul 2016 au fost 823 absolvenți de asemenea specialități, cu 601 mai puțini comparativ cu anul 2011. Însă jumătate din acești absolvenți dispun de diplome cu profil </w:t>
      </w:r>
      <w:r w:rsidR="00475B63" w:rsidRPr="00E36A94">
        <w:rPr>
          <w:rFonts w:ascii="Times New Roman" w:eastAsia="Times New Roman" w:hAnsi="Times New Roman" w:cs="Times New Roman"/>
          <w:sz w:val="24"/>
          <w:szCs w:val="24"/>
        </w:rPr>
        <w:lastRenderedPageBreak/>
        <w:t xml:space="preserve">pedagogic și este puțin probabil ca aceștia să se înroleze în forța de muncă din TI. Potrivit rezultatelor unui sondaj, aproximativ 45% dintre tinerii profesioniști și 34% dintre studenți au afirmat că au fost ”destul de nemulțumiți” sau ”foarte nemulțumiți” de experiența lor universitară. </w:t>
      </w:r>
      <w:proofErr w:type="spellStart"/>
      <w:r w:rsidR="00475B63" w:rsidRPr="00E36A94">
        <w:rPr>
          <w:rFonts w:ascii="Times New Roman" w:eastAsia="Times New Roman" w:hAnsi="Times New Roman" w:cs="Times New Roman"/>
          <w:sz w:val="24"/>
          <w:szCs w:val="24"/>
        </w:rPr>
        <w:t>Curricula</w:t>
      </w:r>
      <w:proofErr w:type="spellEnd"/>
      <w:r w:rsidR="00475B63" w:rsidRPr="00E36A94">
        <w:rPr>
          <w:rFonts w:ascii="Times New Roman" w:eastAsia="Times New Roman" w:hAnsi="Times New Roman" w:cs="Times New Roman"/>
          <w:sz w:val="24"/>
          <w:szCs w:val="24"/>
        </w:rPr>
        <w:t xml:space="preserve"> a fost cel mai criticat aspect. Peste jumătate dintre absolvenți au declarat că au avut nevoie de instruire adițională în programare și alte tehnologii. Această situație denotă clar necesitatea luării unor măsuri de îmbunătățire a relaționării dintre universități și mediul privat, precum și a adaptării la realități a </w:t>
      </w:r>
      <w:proofErr w:type="spellStart"/>
      <w:r w:rsidR="00475B63" w:rsidRPr="00E36A94">
        <w:rPr>
          <w:rFonts w:ascii="Times New Roman" w:eastAsia="Times New Roman" w:hAnsi="Times New Roman" w:cs="Times New Roman"/>
          <w:sz w:val="24"/>
          <w:szCs w:val="24"/>
        </w:rPr>
        <w:t>curriculei</w:t>
      </w:r>
      <w:proofErr w:type="spellEnd"/>
      <w:r w:rsidR="00475B63" w:rsidRPr="00E36A94">
        <w:rPr>
          <w:rFonts w:ascii="Times New Roman" w:eastAsia="Times New Roman" w:hAnsi="Times New Roman" w:cs="Times New Roman"/>
          <w:sz w:val="24"/>
          <w:szCs w:val="24"/>
        </w:rPr>
        <w:t xml:space="preserve"> universitare și a tehnicilor de predare.</w:t>
      </w:r>
    </w:p>
    <w:p w14:paraId="67969A63" w14:textId="77777777" w:rsidR="00156B68" w:rsidRDefault="00156B68" w:rsidP="00362BE8">
      <w:pPr>
        <w:tabs>
          <w:tab w:val="left" w:pos="426"/>
        </w:tabs>
        <w:spacing w:after="120"/>
        <w:jc w:val="both"/>
        <w:rPr>
          <w:sz w:val="24"/>
          <w:szCs w:val="24"/>
        </w:rPr>
      </w:pPr>
      <w:r>
        <w:rPr>
          <w:rFonts w:ascii="Times New Roman" w:eastAsia="Times New Roman" w:hAnsi="Times New Roman" w:cs="Times New Roman"/>
          <w:b/>
          <w:i/>
          <w:sz w:val="24"/>
          <w:szCs w:val="24"/>
        </w:rPr>
        <w:t xml:space="preserve">2.2.3. </w:t>
      </w:r>
      <w:r w:rsidR="00475B63" w:rsidRPr="00E36A94">
        <w:rPr>
          <w:rFonts w:ascii="Times New Roman" w:eastAsia="Times New Roman" w:hAnsi="Times New Roman" w:cs="Times New Roman"/>
          <w:b/>
          <w:i/>
          <w:sz w:val="24"/>
          <w:szCs w:val="24"/>
        </w:rPr>
        <w:t>Industria TI locală fragmentată, axată pe segmente periferice (</w:t>
      </w:r>
      <w:proofErr w:type="spellStart"/>
      <w:r w:rsidR="00475B63" w:rsidRPr="00E36A94">
        <w:rPr>
          <w:rFonts w:ascii="Times New Roman" w:eastAsia="Times New Roman" w:hAnsi="Times New Roman" w:cs="Times New Roman"/>
          <w:b/>
          <w:i/>
          <w:sz w:val="24"/>
          <w:szCs w:val="24"/>
        </w:rPr>
        <w:t>testing</w:t>
      </w:r>
      <w:proofErr w:type="spellEnd"/>
      <w:r w:rsidR="00475B63" w:rsidRPr="00E36A94">
        <w:rPr>
          <w:rFonts w:ascii="Times New Roman" w:eastAsia="Times New Roman" w:hAnsi="Times New Roman" w:cs="Times New Roman"/>
          <w:b/>
          <w:i/>
          <w:sz w:val="24"/>
          <w:szCs w:val="24"/>
        </w:rPr>
        <w:t xml:space="preserve">, software </w:t>
      </w:r>
      <w:proofErr w:type="spellStart"/>
      <w:r w:rsidR="00475B63" w:rsidRPr="00E36A94">
        <w:rPr>
          <w:rFonts w:ascii="Times New Roman" w:eastAsia="Times New Roman" w:hAnsi="Times New Roman" w:cs="Times New Roman"/>
          <w:b/>
          <w:i/>
          <w:sz w:val="24"/>
          <w:szCs w:val="24"/>
        </w:rPr>
        <w:t>development</w:t>
      </w:r>
      <w:proofErr w:type="spellEnd"/>
      <w:r w:rsidR="00475B63" w:rsidRPr="00E36A94">
        <w:rPr>
          <w:rFonts w:ascii="Times New Roman" w:eastAsia="Times New Roman" w:hAnsi="Times New Roman" w:cs="Times New Roman"/>
          <w:b/>
          <w:i/>
          <w:sz w:val="24"/>
          <w:szCs w:val="24"/>
        </w:rPr>
        <w:t>, BPO etc.) cu valoare adăugată nesemnificativă, în condițiile unei economii digitale subdezvoltate</w:t>
      </w:r>
      <w:r w:rsidR="00475B63" w:rsidRPr="00E36A94">
        <w:rPr>
          <w:rFonts w:ascii="Times New Roman" w:eastAsia="Times New Roman" w:hAnsi="Times New Roman" w:cs="Times New Roman"/>
          <w:sz w:val="24"/>
          <w:szCs w:val="24"/>
        </w:rPr>
        <w:t xml:space="preserve"> - după cum arată datele agregate pentru anul 2015 ale companiilor cu genuri de activitate eligibile pentru activitatea în TI parcuri, deși peste ¾ din numărul companiilor private sunt cu capital local, acestea generează doar circa 42% din cifra de afacer</w:t>
      </w:r>
      <w:r w:rsidR="005E4E5E">
        <w:rPr>
          <w:rFonts w:ascii="Times New Roman" w:eastAsia="Times New Roman" w:hAnsi="Times New Roman" w:cs="Times New Roman"/>
          <w:sz w:val="24"/>
          <w:szCs w:val="24"/>
        </w:rPr>
        <w:t>e pe sector și înrolează doar 40</w:t>
      </w:r>
      <w:r w:rsidR="00475B63" w:rsidRPr="00E36A94">
        <w:rPr>
          <w:rFonts w:ascii="Times New Roman" w:eastAsia="Times New Roman" w:hAnsi="Times New Roman" w:cs="Times New Roman"/>
          <w:sz w:val="24"/>
          <w:szCs w:val="24"/>
        </w:rPr>
        <w:t>% din angajați. Pe de altă parte, multe din companiile cu capital străin fiind parte a unor grupuri internaționale, utilizează diviziile din Moldova doar pentru elaborarea unor produse intermediare și mai puțin pentru produse finale.</w:t>
      </w:r>
    </w:p>
    <w:p w14:paraId="45C9F99F" w14:textId="68A1888B" w:rsidR="008D7147" w:rsidRPr="00E36A94" w:rsidRDefault="00156B68" w:rsidP="00362BE8">
      <w:pPr>
        <w:tabs>
          <w:tab w:val="left" w:pos="426"/>
        </w:tabs>
        <w:spacing w:after="120"/>
        <w:jc w:val="both"/>
        <w:rPr>
          <w:sz w:val="24"/>
          <w:szCs w:val="24"/>
        </w:rPr>
      </w:pPr>
      <w:r w:rsidRPr="00156B68">
        <w:rPr>
          <w:rFonts w:ascii="Times New Roman" w:eastAsia="Times New Roman" w:hAnsi="Times New Roman" w:cs="Times New Roman"/>
          <w:b/>
          <w:i/>
          <w:sz w:val="24"/>
          <w:szCs w:val="24"/>
        </w:rPr>
        <w:t>2.2.4.</w:t>
      </w:r>
      <w:r>
        <w:rPr>
          <w:sz w:val="24"/>
          <w:szCs w:val="24"/>
        </w:rPr>
        <w:t xml:space="preserve"> </w:t>
      </w:r>
      <w:r w:rsidR="00475B63" w:rsidRPr="00E36A94">
        <w:rPr>
          <w:rFonts w:ascii="Times New Roman" w:eastAsia="Times New Roman" w:hAnsi="Times New Roman" w:cs="Times New Roman"/>
          <w:b/>
          <w:i/>
          <w:sz w:val="24"/>
          <w:szCs w:val="24"/>
        </w:rPr>
        <w:t>Capacitățile limitate ale companiilor TI locale de inovare digitală</w:t>
      </w:r>
      <w:r w:rsidR="00475B63" w:rsidRPr="00E36A94">
        <w:rPr>
          <w:rFonts w:ascii="Times New Roman" w:eastAsia="Times New Roman" w:hAnsi="Times New Roman" w:cs="Times New Roman"/>
          <w:i/>
          <w:sz w:val="24"/>
          <w:szCs w:val="24"/>
        </w:rPr>
        <w:t xml:space="preserve"> </w:t>
      </w:r>
      <w:r w:rsidR="00475B63" w:rsidRPr="00E36A94">
        <w:rPr>
          <w:rFonts w:ascii="Times New Roman" w:eastAsia="Times New Roman" w:hAnsi="Times New Roman" w:cs="Times New Roman"/>
          <w:sz w:val="24"/>
          <w:szCs w:val="24"/>
        </w:rPr>
        <w:t xml:space="preserve">- În prezent, în Republica Moldova inovațiile sunt orientate pe crearea produselor pentru piețele internaționale, în general UE și CSI, și mai puțin sau deloc pentru piața locală. </w:t>
      </w:r>
      <w:r w:rsidR="00762B8C">
        <w:rPr>
          <w:rFonts w:ascii="Times New Roman" w:eastAsia="Times New Roman" w:hAnsi="Times New Roman" w:cs="Times New Roman"/>
          <w:sz w:val="24"/>
          <w:szCs w:val="24"/>
        </w:rPr>
        <w:t>Aceste</w:t>
      </w:r>
      <w:r w:rsidR="00475B63" w:rsidRPr="00E36A94">
        <w:rPr>
          <w:rFonts w:ascii="Times New Roman" w:eastAsia="Times New Roman" w:hAnsi="Times New Roman" w:cs="Times New Roman"/>
          <w:sz w:val="24"/>
          <w:szCs w:val="24"/>
        </w:rPr>
        <w:t xml:space="preserve"> companii dezvoltă proiecte care nu au un impact substanțial, durabil sau care nu corespund nevoilor pieței interne. Acest lucru, în parte, conduce la adoptarea lentă a produselor și serviciilor inovative TIC în țară, care face parte dintr-un ciclu vicios, deoarece proiectele inovaționale relevan</w:t>
      </w:r>
      <w:r w:rsidR="00762B8C">
        <w:rPr>
          <w:rFonts w:ascii="Times New Roman" w:eastAsia="Times New Roman" w:hAnsi="Times New Roman" w:cs="Times New Roman"/>
          <w:sz w:val="24"/>
          <w:szCs w:val="24"/>
        </w:rPr>
        <w:t>te sunt realizate doar pentru</w:t>
      </w:r>
      <w:r w:rsidR="00475B63" w:rsidRPr="00E36A94">
        <w:rPr>
          <w:rFonts w:ascii="Times New Roman" w:eastAsia="Times New Roman" w:hAnsi="Times New Roman" w:cs="Times New Roman"/>
          <w:sz w:val="24"/>
          <w:szCs w:val="24"/>
        </w:rPr>
        <w:t xml:space="preserve"> piețele </w:t>
      </w:r>
      <w:r w:rsidR="00762B8C">
        <w:rPr>
          <w:rFonts w:ascii="Times New Roman" w:eastAsia="Times New Roman" w:hAnsi="Times New Roman" w:cs="Times New Roman"/>
          <w:sz w:val="24"/>
          <w:szCs w:val="24"/>
        </w:rPr>
        <w:t>externe</w:t>
      </w:r>
      <w:r w:rsidR="00475B63" w:rsidRPr="00E36A94">
        <w:rPr>
          <w:rFonts w:ascii="Times New Roman" w:eastAsia="Times New Roman" w:hAnsi="Times New Roman" w:cs="Times New Roman"/>
          <w:sz w:val="24"/>
          <w:szCs w:val="24"/>
        </w:rPr>
        <w:t>, reducând în continuare valoarea percepută a TI pe intern.</w:t>
      </w:r>
    </w:p>
    <w:p w14:paraId="707A346E" w14:textId="72BE6D9F" w:rsidR="008D7147" w:rsidRPr="00E36A94" w:rsidRDefault="00156B68" w:rsidP="00362BE8">
      <w:pPr>
        <w:tabs>
          <w:tab w:val="left" w:pos="426"/>
        </w:tabs>
        <w:spacing w:after="120"/>
        <w:jc w:val="both"/>
        <w:rPr>
          <w:sz w:val="24"/>
          <w:szCs w:val="24"/>
        </w:rPr>
      </w:pPr>
      <w:r>
        <w:rPr>
          <w:rFonts w:ascii="Times New Roman" w:eastAsia="Times New Roman" w:hAnsi="Times New Roman" w:cs="Times New Roman"/>
          <w:b/>
          <w:i/>
          <w:sz w:val="24"/>
          <w:szCs w:val="24"/>
        </w:rPr>
        <w:t xml:space="preserve">2.2.5. </w:t>
      </w:r>
      <w:r w:rsidR="00475B63" w:rsidRPr="00E36A94">
        <w:rPr>
          <w:rFonts w:ascii="Times New Roman" w:eastAsia="Times New Roman" w:hAnsi="Times New Roman" w:cs="Times New Roman"/>
          <w:b/>
          <w:i/>
          <w:sz w:val="24"/>
          <w:szCs w:val="24"/>
        </w:rPr>
        <w:t>Lipsa accesului la finanțare de risc și business angel</w:t>
      </w:r>
      <w:r w:rsidR="00475B63" w:rsidRPr="00E36A94">
        <w:rPr>
          <w:rFonts w:ascii="Times New Roman" w:eastAsia="Times New Roman" w:hAnsi="Times New Roman" w:cs="Times New Roman"/>
          <w:sz w:val="24"/>
          <w:szCs w:val="24"/>
        </w:rPr>
        <w:t xml:space="preserve"> </w:t>
      </w:r>
      <w:r w:rsidR="007332E0">
        <w:rPr>
          <w:rFonts w:ascii="Times New Roman" w:eastAsia="Times New Roman" w:hAnsi="Times New Roman" w:cs="Times New Roman"/>
          <w:sz w:val="24"/>
          <w:szCs w:val="24"/>
        </w:rPr>
        <w:t xml:space="preserve">și explorarea posibilităților de către </w:t>
      </w:r>
      <w:proofErr w:type="spellStart"/>
      <w:r w:rsidR="007332E0">
        <w:rPr>
          <w:rFonts w:ascii="Times New Roman" w:eastAsia="Times New Roman" w:hAnsi="Times New Roman" w:cs="Times New Roman"/>
          <w:sz w:val="24"/>
          <w:szCs w:val="24"/>
        </w:rPr>
        <w:t>startup</w:t>
      </w:r>
      <w:proofErr w:type="spellEnd"/>
      <w:r w:rsidR="001922F9">
        <w:rPr>
          <w:rFonts w:ascii="Times New Roman" w:eastAsia="Times New Roman" w:hAnsi="Times New Roman" w:cs="Times New Roman"/>
          <w:sz w:val="24"/>
          <w:szCs w:val="24"/>
        </w:rPr>
        <w:t>-</w:t>
      </w:r>
      <w:r w:rsidR="007332E0">
        <w:rPr>
          <w:rFonts w:ascii="Times New Roman" w:eastAsia="Times New Roman" w:hAnsi="Times New Roman" w:cs="Times New Roman"/>
          <w:sz w:val="24"/>
          <w:szCs w:val="24"/>
        </w:rPr>
        <w:t>uri de a atrage investiții prin intermediul Ofertei Inițiale de Monede</w:t>
      </w:r>
      <w:r w:rsidR="002D57D3">
        <w:rPr>
          <w:rFonts w:ascii="Times New Roman" w:eastAsia="Times New Roman" w:hAnsi="Times New Roman" w:cs="Times New Roman"/>
          <w:sz w:val="24"/>
          <w:szCs w:val="24"/>
        </w:rPr>
        <w:t xml:space="preserve"> (ICO)</w:t>
      </w:r>
      <w:r w:rsidR="007332E0">
        <w:rPr>
          <w:rFonts w:ascii="Times New Roman" w:eastAsia="Times New Roman" w:hAnsi="Times New Roman" w:cs="Times New Roman"/>
          <w:sz w:val="24"/>
          <w:szCs w:val="24"/>
        </w:rPr>
        <w:t xml:space="preserve"> </w:t>
      </w:r>
      <w:r w:rsidR="00475B63" w:rsidRPr="00E36A94">
        <w:rPr>
          <w:rFonts w:ascii="Times New Roman" w:eastAsia="Times New Roman" w:hAnsi="Times New Roman" w:cs="Times New Roman"/>
          <w:sz w:val="24"/>
          <w:szCs w:val="24"/>
        </w:rPr>
        <w:t xml:space="preserve">– Accesul la finanțe este considerat a fi unul din cele 4 probleme critice în dezvoltarea social-economică a Republicii Moldova și principala preocupare pentru IMM-urile din Republica Moldova. Conform Raportului Global al </w:t>
      </w:r>
      <w:r w:rsidR="00E36A94" w:rsidRPr="00E36A94">
        <w:rPr>
          <w:rFonts w:ascii="Times New Roman" w:eastAsia="Times New Roman" w:hAnsi="Times New Roman" w:cs="Times New Roman"/>
          <w:sz w:val="24"/>
          <w:szCs w:val="24"/>
        </w:rPr>
        <w:t>Competitivității</w:t>
      </w:r>
      <w:r w:rsidR="005E4E5E">
        <w:rPr>
          <w:rFonts w:ascii="Times New Roman" w:eastAsia="Times New Roman" w:hAnsi="Times New Roman" w:cs="Times New Roman"/>
          <w:sz w:val="24"/>
          <w:szCs w:val="24"/>
        </w:rPr>
        <w:t xml:space="preserve"> 2016-2017</w:t>
      </w:r>
      <w:r w:rsidR="00475B63" w:rsidRPr="00E36A94">
        <w:rPr>
          <w:rFonts w:ascii="Times New Roman" w:eastAsia="Times New Roman" w:hAnsi="Times New Roman" w:cs="Times New Roman"/>
          <w:sz w:val="24"/>
          <w:szCs w:val="24"/>
        </w:rPr>
        <w:t xml:space="preserve"> mediul de afaceri din Moldova a indicat accesul la </w:t>
      </w:r>
      <w:r w:rsidR="004C0AD7" w:rsidRPr="00E36A94">
        <w:rPr>
          <w:rFonts w:ascii="Times New Roman" w:eastAsia="Times New Roman" w:hAnsi="Times New Roman" w:cs="Times New Roman"/>
          <w:sz w:val="24"/>
          <w:szCs w:val="24"/>
        </w:rPr>
        <w:t>finanțare</w:t>
      </w:r>
      <w:r w:rsidR="00475B63" w:rsidRPr="00E36A94">
        <w:rPr>
          <w:rFonts w:ascii="Times New Roman" w:eastAsia="Times New Roman" w:hAnsi="Times New Roman" w:cs="Times New Roman"/>
          <w:sz w:val="24"/>
          <w:szCs w:val="24"/>
        </w:rPr>
        <w:t xml:space="preserve"> drept cel mai mare imp</w:t>
      </w:r>
      <w:r w:rsidR="0059094B">
        <w:rPr>
          <w:rFonts w:ascii="Times New Roman" w:eastAsia="Times New Roman" w:hAnsi="Times New Roman" w:cs="Times New Roman"/>
          <w:sz w:val="24"/>
          <w:szCs w:val="24"/>
        </w:rPr>
        <w:t>ediment în derularea afacerilor</w:t>
      </w:r>
      <w:r w:rsidR="00475B63" w:rsidRPr="00E36A94">
        <w:rPr>
          <w:rFonts w:ascii="Times New Roman" w:eastAsia="Times New Roman" w:hAnsi="Times New Roman" w:cs="Times New Roman"/>
          <w:sz w:val="24"/>
          <w:szCs w:val="24"/>
        </w:rPr>
        <w:t xml:space="preserve">. Accesul limitat la </w:t>
      </w:r>
      <w:r w:rsidR="004C0AD7" w:rsidRPr="00E36A94">
        <w:rPr>
          <w:rFonts w:ascii="Times New Roman" w:eastAsia="Times New Roman" w:hAnsi="Times New Roman" w:cs="Times New Roman"/>
          <w:sz w:val="24"/>
          <w:szCs w:val="24"/>
        </w:rPr>
        <w:t>finanțare</w:t>
      </w:r>
      <w:r w:rsidR="00475B63" w:rsidRPr="00E36A94">
        <w:rPr>
          <w:rFonts w:ascii="Times New Roman" w:eastAsia="Times New Roman" w:hAnsi="Times New Roman" w:cs="Times New Roman"/>
          <w:sz w:val="24"/>
          <w:szCs w:val="24"/>
        </w:rPr>
        <w:t xml:space="preserve"> al companiilor din </w:t>
      </w:r>
      <w:r w:rsidR="0059094B">
        <w:rPr>
          <w:rFonts w:ascii="Times New Roman" w:eastAsia="Times New Roman" w:hAnsi="Times New Roman" w:cs="Times New Roman"/>
          <w:sz w:val="24"/>
          <w:szCs w:val="24"/>
        </w:rPr>
        <w:t>industria TI a fost identificat</w:t>
      </w:r>
      <w:r w:rsidR="00475B63" w:rsidRPr="00E36A94">
        <w:rPr>
          <w:rFonts w:ascii="Times New Roman" w:eastAsia="Times New Roman" w:hAnsi="Times New Roman" w:cs="Times New Roman"/>
          <w:sz w:val="24"/>
          <w:szCs w:val="24"/>
        </w:rPr>
        <w:t xml:space="preserve"> drept una din problemele principale. </w:t>
      </w:r>
    </w:p>
    <w:p w14:paraId="1B3A60D7" w14:textId="77777777" w:rsidR="008D7147" w:rsidRPr="00E36A94" w:rsidRDefault="00475B63" w:rsidP="0001558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Problematica accesului la finanțe pentru companiile din industria TI este în mod special acută pentru </w:t>
      </w:r>
      <w:proofErr w:type="spellStart"/>
      <w:r w:rsidRPr="00E36A94">
        <w:rPr>
          <w:rFonts w:ascii="Times New Roman" w:eastAsia="Times New Roman" w:hAnsi="Times New Roman" w:cs="Times New Roman"/>
          <w:sz w:val="24"/>
          <w:szCs w:val="24"/>
        </w:rPr>
        <w:t>startup</w:t>
      </w:r>
      <w:proofErr w:type="spellEnd"/>
      <w:r w:rsidRPr="00E36A94">
        <w:rPr>
          <w:rFonts w:ascii="Times New Roman" w:eastAsia="Times New Roman" w:hAnsi="Times New Roman" w:cs="Times New Roman"/>
          <w:sz w:val="24"/>
          <w:szCs w:val="24"/>
        </w:rPr>
        <w:t xml:space="preserve">-uri și implementarea proiectelor inovaționale în cadrul activității de întreprinzător, datorită gradului înalt de risc investițional pe care le implică. De regulă, companiile din industria TI, la fel ca orice companie aflată la etapa inițierii afacerii sau demarării unor activități de afaceri noi, nu dispun de active care ar putea servi ca garanție (gaj) la obținerea creditelor bancare și împrumuturilor de la organizațiile de </w:t>
      </w:r>
      <w:proofErr w:type="spellStart"/>
      <w:r w:rsidRPr="00E36A94">
        <w:rPr>
          <w:rFonts w:ascii="Times New Roman" w:eastAsia="Times New Roman" w:hAnsi="Times New Roman" w:cs="Times New Roman"/>
          <w:sz w:val="24"/>
          <w:szCs w:val="24"/>
        </w:rPr>
        <w:t>microfinanțare</w:t>
      </w:r>
      <w:proofErr w:type="spellEnd"/>
      <w:r w:rsidRPr="00E36A94">
        <w:rPr>
          <w:rFonts w:ascii="Times New Roman" w:eastAsia="Times New Roman" w:hAnsi="Times New Roman" w:cs="Times New Roman"/>
          <w:sz w:val="24"/>
          <w:szCs w:val="24"/>
        </w:rPr>
        <w:t>.</w:t>
      </w:r>
    </w:p>
    <w:p w14:paraId="29A1DBC4" w14:textId="77777777" w:rsidR="008D7147" w:rsidRPr="00E36A94" w:rsidRDefault="00475B63" w:rsidP="0001558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Piața de capital nu oferă soluții de finanțare. Emisiunile și ofertele publice de instrumente financiare nu sunt considerate de companiile de Republica Moldova ca mecanism de atragere a investițiilor.</w:t>
      </w:r>
    </w:p>
    <w:p w14:paraId="4178C8DE" w14:textId="27D777A9" w:rsidR="008D7147" w:rsidRPr="00E36A94" w:rsidRDefault="00475B63" w:rsidP="00362BE8">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În egală măsură, leasing-</w:t>
      </w:r>
      <w:proofErr w:type="spellStart"/>
      <w:r w:rsidRPr="00E36A94">
        <w:rPr>
          <w:rFonts w:ascii="Times New Roman" w:eastAsia="Times New Roman" w:hAnsi="Times New Roman" w:cs="Times New Roman"/>
          <w:sz w:val="24"/>
          <w:szCs w:val="24"/>
        </w:rPr>
        <w:t>ul</w:t>
      </w:r>
      <w:proofErr w:type="spellEnd"/>
      <w:r w:rsidRPr="00E36A94">
        <w:rPr>
          <w:rFonts w:ascii="Times New Roman" w:eastAsia="Times New Roman" w:hAnsi="Times New Roman" w:cs="Times New Roman"/>
          <w:sz w:val="24"/>
          <w:szCs w:val="24"/>
        </w:rPr>
        <w:t xml:space="preserve"> nu poate fi considerat un instrument de susținere a proiectelor inovaționale ale companiilor din industria TI. Tradițional, leasing-</w:t>
      </w:r>
      <w:proofErr w:type="spellStart"/>
      <w:r w:rsidRPr="00E36A94">
        <w:rPr>
          <w:rFonts w:ascii="Times New Roman" w:eastAsia="Times New Roman" w:hAnsi="Times New Roman" w:cs="Times New Roman"/>
          <w:sz w:val="24"/>
          <w:szCs w:val="24"/>
        </w:rPr>
        <w:t>ul</w:t>
      </w:r>
      <w:proofErr w:type="spellEnd"/>
      <w:r w:rsidRPr="00E36A94">
        <w:rPr>
          <w:rFonts w:ascii="Times New Roman" w:eastAsia="Times New Roman" w:hAnsi="Times New Roman" w:cs="Times New Roman"/>
          <w:sz w:val="24"/>
          <w:szCs w:val="24"/>
        </w:rPr>
        <w:t xml:space="preserve"> oferă resurse pentru mijloace fixe, pe când proiectele investiționale și cele inovaționale, și în mod special </w:t>
      </w:r>
      <w:proofErr w:type="spellStart"/>
      <w:r w:rsidRPr="00E36A94">
        <w:rPr>
          <w:rFonts w:ascii="Times New Roman" w:eastAsia="Times New Roman" w:hAnsi="Times New Roman" w:cs="Times New Roman"/>
          <w:sz w:val="24"/>
          <w:szCs w:val="24"/>
        </w:rPr>
        <w:t>startup</w:t>
      </w:r>
      <w:proofErr w:type="spellEnd"/>
      <w:r w:rsidRPr="00E36A94">
        <w:rPr>
          <w:rFonts w:ascii="Times New Roman" w:eastAsia="Times New Roman" w:hAnsi="Times New Roman" w:cs="Times New Roman"/>
          <w:sz w:val="24"/>
          <w:szCs w:val="24"/>
        </w:rPr>
        <w:t xml:space="preserve">-urile din industria TI implică costuri de altă natură, precum ar fi cheltuieli administrative și </w:t>
      </w:r>
      <w:r w:rsidRPr="00E36A94">
        <w:rPr>
          <w:rFonts w:ascii="Times New Roman" w:eastAsia="Times New Roman" w:hAnsi="Times New Roman" w:cs="Times New Roman"/>
          <w:sz w:val="24"/>
          <w:szCs w:val="24"/>
        </w:rPr>
        <w:lastRenderedPageBreak/>
        <w:t xml:space="preserve">mijloace circulate. În aceste condiții, crearea unor instrumente de finanțare adaptate și destinate </w:t>
      </w:r>
      <w:proofErr w:type="spellStart"/>
      <w:r w:rsidRPr="00E36A94">
        <w:rPr>
          <w:rFonts w:ascii="Times New Roman" w:eastAsia="Times New Roman" w:hAnsi="Times New Roman" w:cs="Times New Roman"/>
          <w:sz w:val="24"/>
          <w:szCs w:val="24"/>
        </w:rPr>
        <w:t>startup</w:t>
      </w:r>
      <w:proofErr w:type="spellEnd"/>
      <w:r w:rsidRPr="00E36A94">
        <w:rPr>
          <w:rFonts w:ascii="Times New Roman" w:eastAsia="Times New Roman" w:hAnsi="Times New Roman" w:cs="Times New Roman"/>
          <w:sz w:val="24"/>
          <w:szCs w:val="24"/>
        </w:rPr>
        <w:t>-uri</w:t>
      </w:r>
      <w:r w:rsidR="00D8376E">
        <w:rPr>
          <w:rFonts w:ascii="Times New Roman" w:eastAsia="Times New Roman" w:hAnsi="Times New Roman" w:cs="Times New Roman"/>
          <w:sz w:val="24"/>
          <w:szCs w:val="24"/>
        </w:rPr>
        <w:t>lor</w:t>
      </w:r>
      <w:r w:rsidRPr="00E36A94">
        <w:rPr>
          <w:rFonts w:ascii="Times New Roman" w:eastAsia="Times New Roman" w:hAnsi="Times New Roman" w:cs="Times New Roman"/>
          <w:sz w:val="24"/>
          <w:szCs w:val="24"/>
        </w:rPr>
        <w:t xml:space="preserve"> și proiectelor investiționale în industria TI este imperativ necesară.</w:t>
      </w:r>
    </w:p>
    <w:p w14:paraId="51BEBE3F" w14:textId="54DB0DC0" w:rsidR="008D7147" w:rsidRPr="00E36A94" w:rsidRDefault="00156B68" w:rsidP="00156B68">
      <w:pPr>
        <w:tabs>
          <w:tab w:val="left" w:pos="426"/>
        </w:tabs>
        <w:spacing w:after="0"/>
        <w:contextualSpacing/>
        <w:jc w:val="both"/>
        <w:rPr>
          <w:i/>
          <w:sz w:val="24"/>
          <w:szCs w:val="24"/>
        </w:rPr>
      </w:pPr>
      <w:r>
        <w:rPr>
          <w:rFonts w:ascii="Times New Roman" w:eastAsia="Times New Roman" w:hAnsi="Times New Roman" w:cs="Times New Roman"/>
          <w:b/>
          <w:i/>
          <w:sz w:val="24"/>
          <w:szCs w:val="24"/>
        </w:rPr>
        <w:t xml:space="preserve">2.2.6. </w:t>
      </w:r>
      <w:r w:rsidR="00475B63" w:rsidRPr="00E36A94">
        <w:rPr>
          <w:rFonts w:ascii="Times New Roman" w:eastAsia="Times New Roman" w:hAnsi="Times New Roman" w:cs="Times New Roman"/>
          <w:b/>
          <w:i/>
          <w:sz w:val="24"/>
          <w:szCs w:val="24"/>
        </w:rPr>
        <w:t xml:space="preserve">Capacitățile de marketing insuficiente și certificările de personal slab dezvoltate - </w:t>
      </w:r>
      <w:r w:rsidR="00475B63" w:rsidRPr="00E36A94">
        <w:rPr>
          <w:rFonts w:ascii="Times New Roman" w:eastAsia="Times New Roman" w:hAnsi="Times New Roman" w:cs="Times New Roman"/>
          <w:sz w:val="24"/>
          <w:szCs w:val="24"/>
        </w:rPr>
        <w:t>Cadrele didactice ce asigură programele de studiu din domeniul TI nu percep disciplinele complementare, precum tehnicile de marketing, arta comunicării și a negocierilor, managementul proiectelor, ca fiind la fel de importante ca cele ce țin de specialitatea de bază. Astfel, disciplinele respective nu sunt predate deloc sau sunt predate superficial, fără a crea studenților deprinderi necesare pentru a crea și dezvolta o afacere sau pentru a asigura activitățile de marketing sau relații publice într-o companie TI.</w:t>
      </w:r>
    </w:p>
    <w:p w14:paraId="032A2E0D" w14:textId="434B3E44" w:rsidR="008D7147" w:rsidRPr="00015583" w:rsidRDefault="00475B63" w:rsidP="00015583">
      <w:pPr>
        <w:tabs>
          <w:tab w:val="left" w:pos="426"/>
        </w:tabs>
        <w:spacing w:after="120"/>
        <w:jc w:val="both"/>
        <w:rPr>
          <w:rFonts w:ascii="Times New Roman" w:eastAsia="Times New Roman" w:hAnsi="Times New Roman" w:cs="Times New Roman"/>
          <w:i/>
          <w:sz w:val="24"/>
          <w:szCs w:val="24"/>
        </w:rPr>
      </w:pPr>
      <w:r w:rsidRPr="00E36A94">
        <w:rPr>
          <w:rFonts w:ascii="Times New Roman" w:eastAsia="Times New Roman" w:hAnsi="Times New Roman" w:cs="Times New Roman"/>
          <w:sz w:val="24"/>
          <w:szCs w:val="24"/>
        </w:rPr>
        <w:t xml:space="preserve">Cultura certificărilor în domeniul TI este încă slab dezvoltată în Republica Moldova. Certificarea este percepută de către specialiștii din sector mai degrabă ca un avantaj la angajare decât ca o valoare pe termen lung. Doar puțini dintre ei sunt </w:t>
      </w:r>
      <w:r w:rsidR="00D8376E">
        <w:rPr>
          <w:rFonts w:ascii="Times New Roman" w:eastAsia="Times New Roman" w:hAnsi="Times New Roman" w:cs="Times New Roman"/>
          <w:sz w:val="24"/>
          <w:szCs w:val="24"/>
        </w:rPr>
        <w:t>disponibili</w:t>
      </w:r>
      <w:r w:rsidRPr="00E36A94">
        <w:rPr>
          <w:rFonts w:ascii="Times New Roman" w:eastAsia="Times New Roman" w:hAnsi="Times New Roman" w:cs="Times New Roman"/>
          <w:sz w:val="24"/>
          <w:szCs w:val="24"/>
        </w:rPr>
        <w:t xml:space="preserve"> să achite sume importante pentru a urma cursuri recunoscute internațional și a obține certificatele corespunzătoare. Certificarea internațională a personalului este finanțată doar de companii TI cu bugete mai importante sau cu suportul unor programe sau centre internaționale.</w:t>
      </w:r>
    </w:p>
    <w:p w14:paraId="04354DBE" w14:textId="041227F2" w:rsidR="008D7147" w:rsidRPr="00E36A94" w:rsidRDefault="00156B68" w:rsidP="00156B68">
      <w:pPr>
        <w:tabs>
          <w:tab w:val="left" w:pos="426"/>
        </w:tabs>
        <w:spacing w:after="0"/>
        <w:jc w:val="both"/>
        <w:rPr>
          <w:i/>
          <w:sz w:val="24"/>
          <w:szCs w:val="24"/>
        </w:rPr>
      </w:pPr>
      <w:r>
        <w:rPr>
          <w:rFonts w:ascii="Times New Roman" w:eastAsia="Times New Roman" w:hAnsi="Times New Roman" w:cs="Times New Roman"/>
          <w:b/>
          <w:i/>
          <w:sz w:val="24"/>
          <w:szCs w:val="24"/>
        </w:rPr>
        <w:t xml:space="preserve">2.2.7. </w:t>
      </w:r>
      <w:r w:rsidR="00475B63" w:rsidRPr="00E36A94">
        <w:rPr>
          <w:rFonts w:ascii="Times New Roman" w:eastAsia="Times New Roman" w:hAnsi="Times New Roman" w:cs="Times New Roman"/>
          <w:b/>
          <w:i/>
          <w:sz w:val="24"/>
          <w:szCs w:val="24"/>
        </w:rPr>
        <w:t xml:space="preserve">Insuficiența platformelor de </w:t>
      </w:r>
      <w:proofErr w:type="spellStart"/>
      <w:r w:rsidR="00475B63" w:rsidRPr="00E36A94">
        <w:rPr>
          <w:rFonts w:ascii="Times New Roman" w:eastAsia="Times New Roman" w:hAnsi="Times New Roman" w:cs="Times New Roman"/>
          <w:b/>
          <w:i/>
          <w:sz w:val="24"/>
          <w:szCs w:val="24"/>
        </w:rPr>
        <w:t>co-working</w:t>
      </w:r>
      <w:proofErr w:type="spellEnd"/>
      <w:r w:rsidR="00475B63" w:rsidRPr="00E36A94">
        <w:rPr>
          <w:rFonts w:ascii="Times New Roman" w:eastAsia="Times New Roman" w:hAnsi="Times New Roman" w:cs="Times New Roman"/>
          <w:b/>
          <w:i/>
          <w:sz w:val="24"/>
          <w:szCs w:val="24"/>
        </w:rPr>
        <w:t xml:space="preserve"> și consultanță în dezvoltarea afacerilor pentru </w:t>
      </w:r>
      <w:proofErr w:type="spellStart"/>
      <w:r w:rsidR="00475B63" w:rsidRPr="00E36A94">
        <w:rPr>
          <w:rFonts w:ascii="Times New Roman" w:eastAsia="Times New Roman" w:hAnsi="Times New Roman" w:cs="Times New Roman"/>
          <w:b/>
          <w:i/>
          <w:sz w:val="24"/>
          <w:szCs w:val="24"/>
        </w:rPr>
        <w:t>startup</w:t>
      </w:r>
      <w:proofErr w:type="spellEnd"/>
      <w:r w:rsidR="00475B63" w:rsidRPr="00E36A94">
        <w:rPr>
          <w:rFonts w:ascii="Times New Roman" w:eastAsia="Times New Roman" w:hAnsi="Times New Roman" w:cs="Times New Roman"/>
          <w:b/>
          <w:i/>
          <w:sz w:val="24"/>
          <w:szCs w:val="24"/>
        </w:rPr>
        <w:t xml:space="preserve">-uri TI </w:t>
      </w:r>
      <w:r w:rsidR="00475B63" w:rsidRPr="00E36A94">
        <w:rPr>
          <w:rFonts w:ascii="Times New Roman" w:eastAsia="Times New Roman" w:hAnsi="Times New Roman" w:cs="Times New Roman"/>
          <w:sz w:val="24"/>
          <w:szCs w:val="24"/>
        </w:rPr>
        <w:t xml:space="preserve">– </w:t>
      </w:r>
      <w:r w:rsidR="00475B63" w:rsidRPr="00D8376E">
        <w:rPr>
          <w:rFonts w:ascii="Times New Roman" w:eastAsia="Times New Roman" w:hAnsi="Times New Roman" w:cs="Times New Roman"/>
          <w:sz w:val="24"/>
          <w:szCs w:val="24"/>
        </w:rPr>
        <w:t>î</w:t>
      </w:r>
      <w:r w:rsidR="00D8376E">
        <w:rPr>
          <w:rFonts w:ascii="Times New Roman" w:eastAsia="Times New Roman" w:hAnsi="Times New Roman" w:cs="Times New Roman"/>
          <w:sz w:val="24"/>
          <w:szCs w:val="24"/>
        </w:rPr>
        <w:t>n țară e foarte slab</w:t>
      </w:r>
      <w:r w:rsidR="00475B63" w:rsidRPr="00E36A94">
        <w:rPr>
          <w:rFonts w:ascii="Times New Roman" w:eastAsia="Times New Roman" w:hAnsi="Times New Roman" w:cs="Times New Roman"/>
          <w:sz w:val="24"/>
          <w:szCs w:val="24"/>
        </w:rPr>
        <w:t xml:space="preserve"> dezvoltată rețeaua de spații de </w:t>
      </w:r>
      <w:proofErr w:type="spellStart"/>
      <w:r w:rsidR="00475B63" w:rsidRPr="00E36A94">
        <w:rPr>
          <w:rFonts w:ascii="Times New Roman" w:eastAsia="Times New Roman" w:hAnsi="Times New Roman" w:cs="Times New Roman"/>
          <w:sz w:val="24"/>
          <w:szCs w:val="24"/>
        </w:rPr>
        <w:t>co-working</w:t>
      </w:r>
      <w:proofErr w:type="spellEnd"/>
      <w:r w:rsidR="00475B63" w:rsidRPr="00E36A94">
        <w:rPr>
          <w:rFonts w:ascii="Times New Roman" w:eastAsia="Times New Roman" w:hAnsi="Times New Roman" w:cs="Times New Roman"/>
          <w:sz w:val="24"/>
          <w:szCs w:val="24"/>
        </w:rPr>
        <w:t>, ceea ce, pe de o parte, îngreunează procesul de transfer de cunoștințe și alte informații utile între potențiali antreprenori din domeniu, iar pe de alta, îi lipsește de avantajul partajării unor cheltuieli indirecte, cum ar fi, plata pentru locațiune, acces la internet, softuri specializate.</w:t>
      </w:r>
      <w:r w:rsidR="00475B63" w:rsidRPr="00E36A94">
        <w:rPr>
          <w:rFonts w:ascii="Times New Roman" w:eastAsia="Times New Roman" w:hAnsi="Times New Roman" w:cs="Times New Roman"/>
          <w:i/>
          <w:sz w:val="24"/>
          <w:szCs w:val="24"/>
        </w:rPr>
        <w:t xml:space="preserve"> </w:t>
      </w:r>
    </w:p>
    <w:p w14:paraId="2EC2DA04" w14:textId="73981C9E" w:rsidR="008D7147" w:rsidRPr="00015583" w:rsidRDefault="00D8376E" w:rsidP="00015583">
      <w:pPr>
        <w:tabs>
          <w:tab w:val="left" w:pos="426"/>
        </w:tabs>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Insuficiența</w:t>
      </w:r>
      <w:r w:rsidR="00475B63" w:rsidRPr="00E36A94">
        <w:rPr>
          <w:rFonts w:ascii="Times New Roman" w:eastAsia="Times New Roman" w:hAnsi="Times New Roman" w:cs="Times New Roman"/>
          <w:sz w:val="24"/>
          <w:szCs w:val="24"/>
        </w:rPr>
        <w:t xml:space="preserve"> unor spații comune face dificil și accesul la diverse activități sistematice de suport al întreprinderilor TI nou-create, inclusiv consultanță în afaceri, suport în promovare, bugetare, management resurse umane.</w:t>
      </w:r>
    </w:p>
    <w:p w14:paraId="043285C8" w14:textId="0DB79752" w:rsidR="008D7147" w:rsidRPr="00E36A94" w:rsidRDefault="00156B68" w:rsidP="00156B68">
      <w:pPr>
        <w:tabs>
          <w:tab w:val="left" w:pos="426"/>
        </w:tabs>
        <w:spacing w:after="120"/>
        <w:jc w:val="both"/>
        <w:rPr>
          <w:sz w:val="24"/>
          <w:szCs w:val="24"/>
        </w:rPr>
      </w:pPr>
      <w:r>
        <w:rPr>
          <w:rFonts w:ascii="Times New Roman" w:eastAsia="Times New Roman" w:hAnsi="Times New Roman" w:cs="Times New Roman"/>
          <w:b/>
          <w:i/>
          <w:sz w:val="24"/>
          <w:szCs w:val="24"/>
        </w:rPr>
        <w:t xml:space="preserve">2.2.8. </w:t>
      </w:r>
      <w:r w:rsidR="00475B63" w:rsidRPr="00E36A94">
        <w:rPr>
          <w:rFonts w:ascii="Times New Roman" w:eastAsia="Times New Roman" w:hAnsi="Times New Roman" w:cs="Times New Roman"/>
          <w:b/>
          <w:i/>
          <w:sz w:val="24"/>
          <w:szCs w:val="24"/>
        </w:rPr>
        <w:t xml:space="preserve">Lipsa </w:t>
      </w:r>
      <w:proofErr w:type="spellStart"/>
      <w:r w:rsidR="00475B63" w:rsidRPr="00E36A94">
        <w:rPr>
          <w:rFonts w:ascii="Times New Roman" w:eastAsia="Times New Roman" w:hAnsi="Times New Roman" w:cs="Times New Roman"/>
          <w:b/>
          <w:i/>
          <w:sz w:val="24"/>
          <w:szCs w:val="24"/>
        </w:rPr>
        <w:t>branding</w:t>
      </w:r>
      <w:proofErr w:type="spellEnd"/>
      <w:r w:rsidR="00475B63" w:rsidRPr="00E36A94">
        <w:rPr>
          <w:rFonts w:ascii="Times New Roman" w:eastAsia="Times New Roman" w:hAnsi="Times New Roman" w:cs="Times New Roman"/>
          <w:b/>
          <w:i/>
          <w:sz w:val="24"/>
          <w:szCs w:val="24"/>
        </w:rPr>
        <w:t xml:space="preserve">-ului și a strategiei de marketing și atragere a investițiilor pentru industria TI </w:t>
      </w:r>
      <w:r w:rsidR="00475B63" w:rsidRPr="00E36A94">
        <w:rPr>
          <w:rFonts w:ascii="Times New Roman" w:eastAsia="Times New Roman" w:hAnsi="Times New Roman" w:cs="Times New Roman"/>
          <w:sz w:val="24"/>
          <w:szCs w:val="24"/>
        </w:rPr>
        <w:t xml:space="preserve">– sectorul </w:t>
      </w:r>
      <w:r w:rsidR="00D8376E">
        <w:rPr>
          <w:rFonts w:ascii="Times New Roman" w:eastAsia="Times New Roman" w:hAnsi="Times New Roman" w:cs="Times New Roman"/>
          <w:sz w:val="24"/>
          <w:szCs w:val="24"/>
        </w:rPr>
        <w:t>TI din Republica Moldova duce</w:t>
      </w:r>
      <w:r w:rsidR="00475B63" w:rsidRPr="00E36A94">
        <w:rPr>
          <w:rFonts w:ascii="Times New Roman" w:eastAsia="Times New Roman" w:hAnsi="Times New Roman" w:cs="Times New Roman"/>
          <w:sz w:val="24"/>
          <w:szCs w:val="24"/>
        </w:rPr>
        <w:t xml:space="preserve"> o lipsă de sincronizare în promovarea investițiilor. Deși firmele din domeniul TI din țară particip</w:t>
      </w:r>
      <w:r w:rsidR="00D8376E">
        <w:rPr>
          <w:rFonts w:ascii="Times New Roman" w:eastAsia="Times New Roman" w:hAnsi="Times New Roman" w:cs="Times New Roman"/>
          <w:sz w:val="24"/>
          <w:szCs w:val="24"/>
        </w:rPr>
        <w:t>ă la diverse</w:t>
      </w:r>
      <w:r w:rsidR="00475B63" w:rsidRPr="00E36A94">
        <w:rPr>
          <w:rFonts w:ascii="Times New Roman" w:eastAsia="Times New Roman" w:hAnsi="Times New Roman" w:cs="Times New Roman"/>
          <w:sz w:val="24"/>
          <w:szCs w:val="24"/>
        </w:rPr>
        <w:t xml:space="preserve"> evenimente internaționale și au desfășurat o serie de campanii de informare, din cauza lipsei unei strategii sectoriale coerente, aceste eforturi nu au fost foarte reușite. </w:t>
      </w:r>
    </w:p>
    <w:p w14:paraId="2142EA54" w14:textId="77777777"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Totodată, se remarcă și lipsa capacităților de dezvoltare a afacerilor, sectorul TI al Moldovei fiind fragmentat cu companiile mai mici dominând peisajul. Companiile mici se confruntă cu provocări în construirea capabilităților strategice pe termen lung, precum dezvoltarea afacerilor și marketingul.</w:t>
      </w:r>
    </w:p>
    <w:p w14:paraId="4FA39403" w14:textId="09D413E7" w:rsidR="008D7147"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Lipsa vizibilității și a notorietății Brandului este o altă provocare. Sectorul TI al Moldovei are nevoie de o poziționare unică de brand, deoarece în prezent este eclipsat de țările din regiunea ECE cu un sector TI mult mai mare și diversificat, cum ar fi România, Ucraina etc. Astfel, problema facilitării accesului la piețe este una stringentă întrucât companiile din Moldova nu dispun de resursele necesare pentru a investi în dezvoltarea și construirea relațiilor de afaceri globale pe termen lung.</w:t>
      </w:r>
    </w:p>
    <w:p w14:paraId="7896CDCF" w14:textId="77777777" w:rsidR="00546E58" w:rsidRDefault="00546E58">
      <w:pPr>
        <w:spacing w:after="120"/>
        <w:jc w:val="both"/>
        <w:rPr>
          <w:rFonts w:ascii="Times New Roman" w:eastAsia="Times New Roman" w:hAnsi="Times New Roman" w:cs="Times New Roman"/>
          <w:sz w:val="24"/>
          <w:szCs w:val="24"/>
        </w:rPr>
      </w:pPr>
    </w:p>
    <w:p w14:paraId="4C627137" w14:textId="77777777" w:rsidR="00546E58" w:rsidRDefault="00546E58">
      <w:pPr>
        <w:spacing w:after="120"/>
        <w:jc w:val="both"/>
        <w:rPr>
          <w:rFonts w:ascii="Times New Roman" w:eastAsia="Times New Roman" w:hAnsi="Times New Roman" w:cs="Times New Roman"/>
          <w:sz w:val="24"/>
          <w:szCs w:val="24"/>
        </w:rPr>
      </w:pPr>
    </w:p>
    <w:p w14:paraId="779E1DEC" w14:textId="77777777" w:rsidR="00546E58" w:rsidRDefault="00546E58">
      <w:pPr>
        <w:spacing w:after="120"/>
        <w:jc w:val="both"/>
        <w:rPr>
          <w:rFonts w:ascii="Times New Roman" w:eastAsia="Times New Roman" w:hAnsi="Times New Roman" w:cs="Times New Roman"/>
          <w:sz w:val="24"/>
          <w:szCs w:val="24"/>
        </w:rPr>
      </w:pPr>
    </w:p>
    <w:p w14:paraId="1868982D" w14:textId="77777777" w:rsidR="00546E58" w:rsidRPr="00E36A94" w:rsidRDefault="00546E58">
      <w:pPr>
        <w:spacing w:after="120"/>
        <w:jc w:val="both"/>
        <w:rPr>
          <w:rFonts w:ascii="Times New Roman" w:eastAsia="Times New Roman" w:hAnsi="Times New Roman" w:cs="Times New Roman"/>
          <w:sz w:val="24"/>
          <w:szCs w:val="24"/>
        </w:rPr>
      </w:pPr>
    </w:p>
    <w:p w14:paraId="51721A5E" w14:textId="6B7B7071" w:rsidR="008D7147" w:rsidRPr="006A1E2A" w:rsidRDefault="00203B3F" w:rsidP="00015583">
      <w:pPr>
        <w:numPr>
          <w:ilvl w:val="1"/>
          <w:numId w:val="19"/>
        </w:numPr>
        <w:spacing w:after="120"/>
        <w:contextualSpacing/>
        <w:jc w:val="both"/>
        <w:rPr>
          <w:rFonts w:ascii="Times New Roman" w:eastAsia="Times New Roman" w:hAnsi="Times New Roman" w:cs="Times New Roman"/>
          <w:sz w:val="24"/>
          <w:szCs w:val="24"/>
        </w:rPr>
      </w:pPr>
      <w:r w:rsidRPr="006A1E2A">
        <w:rPr>
          <w:rFonts w:ascii="Times New Roman" w:eastAsia="Times New Roman" w:hAnsi="Times New Roman" w:cs="Times New Roman"/>
          <w:b/>
          <w:sz w:val="24"/>
          <w:szCs w:val="24"/>
        </w:rPr>
        <w:lastRenderedPageBreak/>
        <w:t xml:space="preserve">Analiza SWOT </w:t>
      </w:r>
    </w:p>
    <w:p w14:paraId="423C1F3E" w14:textId="33809E5F" w:rsidR="008D7147" w:rsidRPr="00E36A94" w:rsidRDefault="00475B63">
      <w:pPr>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Din </w:t>
      </w:r>
      <w:r w:rsidR="00422537">
        <w:rPr>
          <w:rFonts w:ascii="Times New Roman" w:eastAsia="Times New Roman" w:hAnsi="Times New Roman" w:cs="Times New Roman"/>
          <w:sz w:val="24"/>
          <w:szCs w:val="24"/>
        </w:rPr>
        <w:t>analiza problemelor</w:t>
      </w:r>
      <w:r w:rsidRPr="00E36A94">
        <w:rPr>
          <w:rFonts w:ascii="Times New Roman" w:eastAsia="Times New Roman" w:hAnsi="Times New Roman" w:cs="Times New Roman"/>
          <w:sz w:val="24"/>
          <w:szCs w:val="24"/>
        </w:rPr>
        <w:t xml:space="preserve">, deducem următoarele puncte forte/slabe, oportunitățile </w:t>
      </w:r>
      <w:r w:rsidR="004C0AD7"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ameninț</w:t>
      </w:r>
      <w:r w:rsidR="00296232">
        <w:rPr>
          <w:rFonts w:ascii="Times New Roman" w:eastAsia="Times New Roman" w:hAnsi="Times New Roman" w:cs="Times New Roman"/>
          <w:sz w:val="24"/>
          <w:szCs w:val="24"/>
        </w:rPr>
        <w:t>ările din sectorul industriei TI</w:t>
      </w:r>
      <w:r w:rsidRPr="00E36A94">
        <w:rPr>
          <w:rFonts w:ascii="Times New Roman" w:eastAsia="Times New Roman" w:hAnsi="Times New Roman" w:cs="Times New Roman"/>
          <w:sz w:val="24"/>
          <w:szCs w:val="24"/>
        </w:rPr>
        <w:t xml:space="preserve">, care în formă generalizată </w:t>
      </w:r>
      <w:r w:rsidR="00422537">
        <w:rPr>
          <w:rFonts w:ascii="Times New Roman" w:eastAsia="Times New Roman" w:hAnsi="Times New Roman" w:cs="Times New Roman"/>
          <w:sz w:val="24"/>
          <w:szCs w:val="24"/>
        </w:rPr>
        <w:t>sunt prezentate</w:t>
      </w:r>
      <w:r w:rsidRPr="00E36A94">
        <w:rPr>
          <w:rFonts w:ascii="Times New Roman" w:eastAsia="Times New Roman" w:hAnsi="Times New Roman" w:cs="Times New Roman"/>
          <w:sz w:val="24"/>
          <w:szCs w:val="24"/>
        </w:rPr>
        <w:t xml:space="preserve"> în tabelul de mai jos.</w:t>
      </w:r>
    </w:p>
    <w:tbl>
      <w:tblPr>
        <w:tblStyle w:val="a0"/>
        <w:tblW w:w="9529" w:type="dxa"/>
        <w:jc w:val="center"/>
        <w:tblLayout w:type="fixed"/>
        <w:tblLook w:val="0400" w:firstRow="0" w:lastRow="0" w:firstColumn="0" w:lastColumn="0" w:noHBand="0" w:noVBand="1"/>
      </w:tblPr>
      <w:tblGrid>
        <w:gridCol w:w="5250"/>
        <w:gridCol w:w="4279"/>
      </w:tblGrid>
      <w:tr w:rsidR="008D7147" w:rsidRPr="00E36A94" w14:paraId="0513F53B" w14:textId="77777777">
        <w:trPr>
          <w:jc w:val="center"/>
        </w:trPr>
        <w:tc>
          <w:tcPr>
            <w:tcW w:w="9529" w:type="dxa"/>
            <w:gridSpan w:val="2"/>
            <w:tcBorders>
              <w:top w:val="nil"/>
              <w:left w:val="nil"/>
              <w:bottom w:val="nil"/>
              <w:right w:val="nil"/>
            </w:tcBorders>
            <w:tcMar>
              <w:top w:w="15" w:type="dxa"/>
              <w:left w:w="45" w:type="dxa"/>
              <w:bottom w:w="15" w:type="dxa"/>
              <w:right w:w="45" w:type="dxa"/>
            </w:tcMar>
          </w:tcPr>
          <w:p w14:paraId="178754A2" w14:textId="77777777" w:rsidR="008D7147" w:rsidRPr="00E36A94" w:rsidRDefault="008D7147">
            <w:pPr>
              <w:spacing w:after="120"/>
              <w:jc w:val="both"/>
              <w:rPr>
                <w:rFonts w:ascii="Times New Roman" w:eastAsia="Times New Roman" w:hAnsi="Times New Roman" w:cs="Times New Roman"/>
                <w:sz w:val="6"/>
                <w:szCs w:val="6"/>
              </w:rPr>
            </w:pPr>
          </w:p>
          <w:p w14:paraId="3DC68CCA" w14:textId="7742995D" w:rsidR="008D7147" w:rsidRPr="00296232" w:rsidRDefault="00475B63" w:rsidP="00296232">
            <w:pPr>
              <w:spacing w:after="120" w:line="240" w:lineRule="auto"/>
              <w:jc w:val="center"/>
              <w:rPr>
                <w:rFonts w:ascii="Times New Roman" w:eastAsia="Times New Roman" w:hAnsi="Times New Roman" w:cs="Times New Roman"/>
              </w:rPr>
            </w:pPr>
            <w:r w:rsidRPr="00296232">
              <w:rPr>
                <w:b/>
                <w:color w:val="4F81BD"/>
              </w:rPr>
              <w:t xml:space="preserve">Tabelul 2. Analiza SWOT a industriei </w:t>
            </w:r>
            <w:r w:rsidR="00296232">
              <w:rPr>
                <w:b/>
                <w:color w:val="4F81BD"/>
              </w:rPr>
              <w:t>TI</w:t>
            </w:r>
          </w:p>
        </w:tc>
      </w:tr>
      <w:tr w:rsidR="008D7147" w:rsidRPr="00E36A94" w14:paraId="3FF79B7E"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B395B9" w14:textId="77777777" w:rsidR="008D7147" w:rsidRPr="00015583" w:rsidRDefault="00475B63">
            <w:pPr>
              <w:spacing w:after="0" w:line="240" w:lineRule="auto"/>
              <w:jc w:val="center"/>
              <w:rPr>
                <w:b/>
                <w:color w:val="4F81BD"/>
                <w:sz w:val="20"/>
                <w:szCs w:val="20"/>
              </w:rPr>
            </w:pPr>
            <w:r w:rsidRPr="00015583">
              <w:rPr>
                <w:b/>
                <w:color w:val="4F81BD"/>
                <w:sz w:val="20"/>
                <w:szCs w:val="20"/>
              </w:rPr>
              <w:t>Puncte forte</w:t>
            </w:r>
          </w:p>
        </w:tc>
        <w:tc>
          <w:tcPr>
            <w:tcW w:w="42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83CA60" w14:textId="77777777" w:rsidR="008D7147" w:rsidRPr="00015583" w:rsidRDefault="00475B63">
            <w:pPr>
              <w:spacing w:after="0" w:line="240" w:lineRule="auto"/>
              <w:jc w:val="center"/>
              <w:rPr>
                <w:b/>
                <w:color w:val="4F81BD"/>
                <w:sz w:val="20"/>
                <w:szCs w:val="20"/>
              </w:rPr>
            </w:pPr>
            <w:r w:rsidRPr="00015583">
              <w:rPr>
                <w:b/>
                <w:color w:val="4F81BD"/>
                <w:sz w:val="20"/>
                <w:szCs w:val="20"/>
              </w:rPr>
              <w:t>Puncte slabe</w:t>
            </w:r>
          </w:p>
        </w:tc>
      </w:tr>
      <w:tr w:rsidR="008D7147" w:rsidRPr="00E36A94" w14:paraId="777CDA55"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1509B7" w14:textId="353A41A8" w:rsidR="008D7147" w:rsidRPr="00E36A94" w:rsidRDefault="00475B63">
            <w:pPr>
              <w:numPr>
                <w:ilvl w:val="0"/>
                <w:numId w:val="17"/>
              </w:numPr>
              <w:spacing w:after="0" w:line="240" w:lineRule="auto"/>
              <w:ind w:left="751" w:hanging="425"/>
              <w:contextualSpacing/>
              <w:rPr>
                <w:rFonts w:ascii="Times New Roman" w:eastAsia="Times New Roman" w:hAnsi="Times New Roman" w:cs="Times New Roman"/>
                <w:sz w:val="24"/>
                <w:szCs w:val="24"/>
              </w:rPr>
            </w:pPr>
            <w:r w:rsidRPr="00E36A94">
              <w:rPr>
                <w:rFonts w:ascii="Times New Roman" w:eastAsia="Times New Roman" w:hAnsi="Times New Roman" w:cs="Times New Roman"/>
                <w:b/>
                <w:sz w:val="24"/>
                <w:szCs w:val="24"/>
              </w:rPr>
              <w:t>Ușurința de a face afaceri:</w:t>
            </w:r>
            <w:r w:rsidRPr="00E36A94">
              <w:rPr>
                <w:rFonts w:ascii="Times New Roman" w:eastAsia="Times New Roman" w:hAnsi="Times New Roman" w:cs="Times New Roman"/>
                <w:sz w:val="24"/>
                <w:szCs w:val="24"/>
              </w:rPr>
              <w:t xml:space="preserve"> Moldova a urcat  65 de poziții în</w:t>
            </w:r>
            <w:r w:rsidR="00B72BA7" w:rsidRPr="00E36A94">
              <w:rPr>
                <w:rFonts w:ascii="Times New Roman" w:eastAsia="Times New Roman" w:hAnsi="Times New Roman" w:cs="Times New Roman"/>
                <w:sz w:val="24"/>
                <w:szCs w:val="24"/>
              </w:rPr>
              <w:t xml:space="preserve"> clasamentul </w:t>
            </w:r>
            <w:proofErr w:type="spellStart"/>
            <w:r w:rsidR="00B72BA7" w:rsidRPr="00E36A94">
              <w:rPr>
                <w:rFonts w:ascii="Times New Roman" w:eastAsia="Times New Roman" w:hAnsi="Times New Roman" w:cs="Times New Roman"/>
                <w:sz w:val="24"/>
                <w:szCs w:val="24"/>
              </w:rPr>
              <w:t>Doing</w:t>
            </w:r>
            <w:proofErr w:type="spellEnd"/>
            <w:r w:rsidR="00B72BA7" w:rsidRPr="00E36A94">
              <w:rPr>
                <w:rFonts w:ascii="Times New Roman" w:eastAsia="Times New Roman" w:hAnsi="Times New Roman" w:cs="Times New Roman"/>
                <w:sz w:val="24"/>
                <w:szCs w:val="24"/>
              </w:rPr>
              <w:t xml:space="preserve"> Business al Băncii Mondiale</w:t>
            </w:r>
            <w:r w:rsidRPr="00E36A94">
              <w:rPr>
                <w:rFonts w:ascii="Times New Roman" w:eastAsia="Times New Roman" w:hAnsi="Times New Roman" w:cs="Times New Roman"/>
                <w:sz w:val="24"/>
                <w:szCs w:val="24"/>
              </w:rPr>
              <w:t xml:space="preserve"> până pe locul 44 în 2017.</w:t>
            </w:r>
          </w:p>
          <w:p w14:paraId="57227C42" w14:textId="3DBA2C9F" w:rsidR="008D7147" w:rsidRPr="00E36A94" w:rsidRDefault="00422537">
            <w:pPr>
              <w:numPr>
                <w:ilvl w:val="0"/>
                <w:numId w:val="17"/>
              </w:numPr>
              <w:spacing w:after="0" w:line="240" w:lineRule="auto"/>
              <w:ind w:left="751" w:hanging="425"/>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Prioritizarea</w:t>
            </w:r>
            <w:r w:rsidR="00475B63" w:rsidRPr="00E36A94">
              <w:rPr>
                <w:rFonts w:ascii="Times New Roman" w:eastAsia="Times New Roman" w:hAnsi="Times New Roman" w:cs="Times New Roman"/>
                <w:b/>
                <w:sz w:val="24"/>
                <w:szCs w:val="24"/>
              </w:rPr>
              <w:t xml:space="preserve"> industriei </w:t>
            </w:r>
            <w:r>
              <w:rPr>
                <w:rFonts w:ascii="Times New Roman" w:eastAsia="Times New Roman" w:hAnsi="Times New Roman" w:cs="Times New Roman"/>
                <w:b/>
                <w:sz w:val="24"/>
                <w:szCs w:val="24"/>
              </w:rPr>
              <w:t>TI</w:t>
            </w:r>
            <w:r w:rsidR="00475B63" w:rsidRPr="00E36A94">
              <w:rPr>
                <w:rFonts w:ascii="Times New Roman" w:eastAsia="Times New Roman" w:hAnsi="Times New Roman" w:cs="Times New Roman"/>
                <w:sz w:val="24"/>
                <w:szCs w:val="24"/>
              </w:rPr>
              <w:t xml:space="preserve">: Guvernul a acordat o atenție specială sectorului TIC, având în vedere contribuția sa semnificativă la PIB </w:t>
            </w:r>
            <w:r w:rsidR="00475B63" w:rsidRPr="009D7615">
              <w:rPr>
                <w:rFonts w:ascii="Times New Roman" w:eastAsia="Times New Roman" w:hAnsi="Times New Roman" w:cs="Times New Roman"/>
                <w:color w:val="auto"/>
                <w:sz w:val="24"/>
                <w:szCs w:val="24"/>
              </w:rPr>
              <w:t>(</w:t>
            </w:r>
            <w:r w:rsidR="009D7615" w:rsidRPr="009D7615">
              <w:rPr>
                <w:rFonts w:ascii="Times New Roman" w:eastAsia="Times New Roman" w:hAnsi="Times New Roman" w:cs="Times New Roman"/>
                <w:color w:val="auto"/>
                <w:sz w:val="24"/>
                <w:szCs w:val="24"/>
              </w:rPr>
              <w:t>7,5</w:t>
            </w:r>
            <w:r w:rsidR="00475B63" w:rsidRPr="009D7615">
              <w:rPr>
                <w:rFonts w:ascii="Times New Roman" w:eastAsia="Times New Roman" w:hAnsi="Times New Roman" w:cs="Times New Roman"/>
                <w:color w:val="auto"/>
                <w:sz w:val="24"/>
                <w:szCs w:val="24"/>
              </w:rPr>
              <w:t xml:space="preserve">% în 2016). </w:t>
            </w:r>
            <w:r w:rsidR="00475B63" w:rsidRPr="00E36A94">
              <w:rPr>
                <w:rFonts w:ascii="Times New Roman" w:eastAsia="Times New Roman" w:hAnsi="Times New Roman" w:cs="Times New Roman"/>
                <w:sz w:val="24"/>
                <w:szCs w:val="24"/>
              </w:rPr>
              <w:t>Mai mult, inițierea și desfășurarea afacerilor în țară au devenit mai simple.</w:t>
            </w:r>
          </w:p>
          <w:p w14:paraId="6105D474" w14:textId="5031E62B" w:rsidR="008D7147" w:rsidRPr="00E36A94" w:rsidRDefault="00475B63">
            <w:pPr>
              <w:numPr>
                <w:ilvl w:val="0"/>
                <w:numId w:val="17"/>
              </w:numPr>
              <w:spacing w:after="0" w:line="240" w:lineRule="auto"/>
              <w:ind w:left="751" w:hanging="425"/>
              <w:contextualSpacing/>
              <w:rPr>
                <w:rFonts w:ascii="Times New Roman" w:eastAsia="Times New Roman" w:hAnsi="Times New Roman" w:cs="Times New Roman"/>
                <w:sz w:val="24"/>
                <w:szCs w:val="24"/>
              </w:rPr>
            </w:pPr>
            <w:r w:rsidRPr="00E36A94">
              <w:rPr>
                <w:rFonts w:ascii="Times New Roman" w:eastAsia="Times New Roman" w:hAnsi="Times New Roman" w:cs="Times New Roman"/>
                <w:b/>
                <w:sz w:val="24"/>
                <w:szCs w:val="24"/>
              </w:rPr>
              <w:t>Stimulente specifice industriei</w:t>
            </w:r>
            <w:r w:rsidRPr="00E36A94">
              <w:rPr>
                <w:rFonts w:ascii="Times New Roman" w:eastAsia="Times New Roman" w:hAnsi="Times New Roman" w:cs="Times New Roman"/>
                <w:sz w:val="24"/>
                <w:szCs w:val="24"/>
              </w:rPr>
              <w:t xml:space="preserve">: în Moldova există o lege specifică privind parcurile TI care oferă următoarele stimulente: 1) Impozit de 7% din cifra de afaceri, pentru a înlocui toate celelalte impozite. 2) Garantarea regimului fiscal preferențial </w:t>
            </w:r>
            <w:r w:rsidR="00ED3D5F">
              <w:rPr>
                <w:rFonts w:ascii="Times New Roman" w:eastAsia="Times New Roman" w:hAnsi="Times New Roman" w:cs="Times New Roman"/>
                <w:sz w:val="24"/>
                <w:szCs w:val="24"/>
              </w:rPr>
              <w:t>timp de 10 ani</w:t>
            </w:r>
            <w:r w:rsidR="00B21147">
              <w:rPr>
                <w:rFonts w:ascii="Times New Roman" w:eastAsia="Times New Roman" w:hAnsi="Times New Roman" w:cs="Times New Roman"/>
                <w:sz w:val="24"/>
                <w:szCs w:val="24"/>
              </w:rPr>
              <w:t xml:space="preserve"> pentru rezidenții parcurilor </w:t>
            </w:r>
            <w:r w:rsidRPr="00E36A94">
              <w:rPr>
                <w:rFonts w:ascii="Times New Roman" w:eastAsia="Times New Roman" w:hAnsi="Times New Roman" w:cs="Times New Roman"/>
                <w:sz w:val="24"/>
                <w:szCs w:val="24"/>
              </w:rPr>
              <w:t>T</w:t>
            </w:r>
            <w:r w:rsidR="00B21147">
              <w:rPr>
                <w:rFonts w:ascii="Times New Roman" w:eastAsia="Times New Roman" w:hAnsi="Times New Roman" w:cs="Times New Roman"/>
                <w:sz w:val="24"/>
                <w:szCs w:val="24"/>
              </w:rPr>
              <w:t>I</w:t>
            </w:r>
            <w:r w:rsidRPr="00E36A94">
              <w:rPr>
                <w:rFonts w:ascii="Times New Roman" w:eastAsia="Times New Roman" w:hAnsi="Times New Roman" w:cs="Times New Roman"/>
                <w:sz w:val="24"/>
                <w:szCs w:val="24"/>
              </w:rPr>
              <w:t xml:space="preserve">. 3)Sistemul virtual de rezidență: companiile rezidente care își desfășoară deja activitatea în </w:t>
            </w:r>
            <w:r w:rsidR="009D7615">
              <w:rPr>
                <w:rFonts w:ascii="Times New Roman" w:eastAsia="Times New Roman" w:hAnsi="Times New Roman" w:cs="Times New Roman"/>
                <w:sz w:val="24"/>
                <w:szCs w:val="24"/>
              </w:rPr>
              <w:t>orice localitate din</w:t>
            </w:r>
            <w:r w:rsidRPr="00E36A94">
              <w:rPr>
                <w:rFonts w:ascii="Times New Roman" w:eastAsia="Times New Roman" w:hAnsi="Times New Roman" w:cs="Times New Roman"/>
                <w:sz w:val="24"/>
                <w:szCs w:val="24"/>
              </w:rPr>
              <w:t xml:space="preserve"> Moldova pot beneficia de prestații după îndeplinirea obligațiilor legale ca membri a unui parc TI virtual.</w:t>
            </w:r>
          </w:p>
          <w:p w14:paraId="37B4563C" w14:textId="39BC4D52" w:rsidR="008D7147" w:rsidRPr="00E36A94" w:rsidRDefault="00475B63">
            <w:pPr>
              <w:numPr>
                <w:ilvl w:val="0"/>
                <w:numId w:val="17"/>
              </w:numPr>
              <w:spacing w:after="0" w:line="240" w:lineRule="auto"/>
              <w:ind w:left="751" w:hanging="425"/>
              <w:contextualSpacing/>
              <w:rPr>
                <w:rFonts w:ascii="Times New Roman" w:eastAsia="Times New Roman" w:hAnsi="Times New Roman" w:cs="Times New Roman"/>
                <w:sz w:val="24"/>
                <w:szCs w:val="24"/>
              </w:rPr>
            </w:pPr>
            <w:r w:rsidRPr="00E36A94">
              <w:rPr>
                <w:rFonts w:ascii="Times New Roman" w:eastAsia="Times New Roman" w:hAnsi="Times New Roman" w:cs="Times New Roman"/>
                <w:b/>
                <w:sz w:val="24"/>
                <w:szCs w:val="24"/>
              </w:rPr>
              <w:t>Focusarea pe E-Guvernare</w:t>
            </w:r>
            <w:r w:rsidRPr="00E36A94">
              <w:rPr>
                <w:rFonts w:ascii="Times New Roman" w:eastAsia="Times New Roman" w:hAnsi="Times New Roman" w:cs="Times New Roman"/>
                <w:sz w:val="24"/>
                <w:szCs w:val="24"/>
              </w:rPr>
              <w:t xml:space="preserve">: Moldova a făcut investiții și progrese semnificative în domeniul e-guvernării, îmbunătățind climatul de afaceri general prin </w:t>
            </w:r>
            <w:r w:rsidR="009D7615">
              <w:rPr>
                <w:rFonts w:ascii="Times New Roman" w:eastAsia="Times New Roman" w:hAnsi="Times New Roman" w:cs="Times New Roman"/>
                <w:sz w:val="24"/>
                <w:szCs w:val="24"/>
              </w:rPr>
              <w:t>servicii de e-guvernare avansate.</w:t>
            </w:r>
          </w:p>
          <w:p w14:paraId="388CF17A" w14:textId="2BD2374D" w:rsidR="008D7147" w:rsidRPr="009D7615" w:rsidRDefault="00475B63" w:rsidP="009D7615">
            <w:pPr>
              <w:numPr>
                <w:ilvl w:val="0"/>
                <w:numId w:val="17"/>
              </w:numPr>
              <w:spacing w:after="0" w:line="240" w:lineRule="auto"/>
              <w:ind w:left="751" w:hanging="425"/>
              <w:contextualSpacing/>
              <w:rPr>
                <w:sz w:val="24"/>
                <w:szCs w:val="24"/>
              </w:rPr>
            </w:pPr>
            <w:r w:rsidRPr="009D7615">
              <w:rPr>
                <w:rFonts w:ascii="Times New Roman" w:eastAsia="Times New Roman" w:hAnsi="Times New Roman" w:cs="Times New Roman"/>
                <w:sz w:val="24"/>
                <w:szCs w:val="24"/>
              </w:rPr>
              <w:t>Cererea puternică în sectorul public</w:t>
            </w:r>
            <w:r w:rsidR="009D7615" w:rsidRPr="009D7615">
              <w:rPr>
                <w:rFonts w:ascii="Times New Roman" w:eastAsia="Times New Roman" w:hAnsi="Times New Roman" w:cs="Times New Roman"/>
                <w:sz w:val="24"/>
                <w:szCs w:val="24"/>
              </w:rPr>
              <w:t xml:space="preserve"> pentru soluții TI</w:t>
            </w:r>
            <w:r w:rsidRPr="009D7615">
              <w:rPr>
                <w:rFonts w:ascii="Times New Roman" w:eastAsia="Times New Roman" w:hAnsi="Times New Roman" w:cs="Times New Roman"/>
                <w:sz w:val="24"/>
                <w:szCs w:val="24"/>
              </w:rPr>
              <w:t xml:space="preserve"> </w:t>
            </w:r>
          </w:p>
          <w:p w14:paraId="12189FBA" w14:textId="33DB34D3" w:rsidR="008D7147" w:rsidRPr="00E36A94" w:rsidRDefault="00475B63">
            <w:pPr>
              <w:numPr>
                <w:ilvl w:val="0"/>
                <w:numId w:val="17"/>
              </w:numPr>
              <w:spacing w:after="0" w:line="240" w:lineRule="auto"/>
              <w:ind w:hanging="360"/>
              <w:contextualSpacing/>
              <w:rPr>
                <w:sz w:val="24"/>
                <w:szCs w:val="24"/>
              </w:rPr>
            </w:pPr>
            <w:r w:rsidRPr="00E36A94">
              <w:rPr>
                <w:rFonts w:ascii="Times New Roman" w:eastAsia="Times New Roman" w:hAnsi="Times New Roman" w:cs="Times New Roman"/>
                <w:sz w:val="24"/>
                <w:szCs w:val="24"/>
              </w:rPr>
              <w:t xml:space="preserve">Poziția geografică favorabilă a </w:t>
            </w:r>
            <w:r w:rsidR="009D7615" w:rsidRPr="00E36A94">
              <w:rPr>
                <w:rFonts w:ascii="Times New Roman" w:eastAsia="Times New Roman" w:hAnsi="Times New Roman" w:cs="Times New Roman"/>
                <w:sz w:val="24"/>
                <w:szCs w:val="24"/>
              </w:rPr>
              <w:t>țării</w:t>
            </w:r>
            <w:r w:rsidRPr="00E36A94">
              <w:rPr>
                <w:rFonts w:ascii="Times New Roman" w:eastAsia="Times New Roman" w:hAnsi="Times New Roman" w:cs="Times New Roman"/>
                <w:sz w:val="24"/>
                <w:szCs w:val="24"/>
              </w:rPr>
              <w:t xml:space="preserve">, situată între UE </w:t>
            </w:r>
            <w:r w:rsidR="004C0AD7"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țările CSI</w:t>
            </w:r>
          </w:p>
          <w:p w14:paraId="55B46435" w14:textId="77777777" w:rsidR="008D7147" w:rsidRPr="00E36A94" w:rsidRDefault="00475B63">
            <w:pPr>
              <w:numPr>
                <w:ilvl w:val="0"/>
                <w:numId w:val="17"/>
              </w:numPr>
              <w:spacing w:after="0" w:line="240" w:lineRule="auto"/>
              <w:ind w:hanging="360"/>
              <w:contextualSpacing/>
              <w:rPr>
                <w:sz w:val="24"/>
                <w:szCs w:val="24"/>
              </w:rPr>
            </w:pPr>
            <w:r w:rsidRPr="00E36A94">
              <w:rPr>
                <w:rFonts w:ascii="Times New Roman" w:eastAsia="Times New Roman" w:hAnsi="Times New Roman" w:cs="Times New Roman"/>
                <w:sz w:val="24"/>
                <w:szCs w:val="24"/>
              </w:rPr>
              <w:t>Personal înalt calificat în sectorul TIC</w:t>
            </w:r>
          </w:p>
          <w:p w14:paraId="04752398" w14:textId="77777777" w:rsidR="008D7147" w:rsidRPr="00E36A94" w:rsidRDefault="00475B63">
            <w:pPr>
              <w:numPr>
                <w:ilvl w:val="0"/>
                <w:numId w:val="17"/>
              </w:numPr>
              <w:spacing w:after="0" w:line="240" w:lineRule="auto"/>
              <w:ind w:hanging="360"/>
              <w:contextualSpacing/>
              <w:rPr>
                <w:sz w:val="24"/>
                <w:szCs w:val="24"/>
              </w:rPr>
            </w:pPr>
            <w:r w:rsidRPr="00E36A94">
              <w:rPr>
                <w:rFonts w:ascii="Times New Roman" w:eastAsia="Times New Roman" w:hAnsi="Times New Roman" w:cs="Times New Roman"/>
                <w:sz w:val="24"/>
                <w:szCs w:val="24"/>
              </w:rPr>
              <w:t>Forța de muncă multilingvă</w:t>
            </w:r>
          </w:p>
          <w:p w14:paraId="1CE325A2" w14:textId="6D893D2D" w:rsidR="008D7147" w:rsidRPr="00E36A94" w:rsidRDefault="00475B63">
            <w:pPr>
              <w:numPr>
                <w:ilvl w:val="0"/>
                <w:numId w:val="17"/>
              </w:numPr>
              <w:spacing w:after="0" w:line="240" w:lineRule="auto"/>
              <w:ind w:hanging="360"/>
              <w:contextualSpacing/>
              <w:rPr>
                <w:sz w:val="24"/>
                <w:szCs w:val="24"/>
              </w:rPr>
            </w:pPr>
            <w:r w:rsidRPr="00E36A94">
              <w:rPr>
                <w:rFonts w:ascii="Times New Roman" w:eastAsia="Times New Roman" w:hAnsi="Times New Roman" w:cs="Times New Roman"/>
                <w:sz w:val="24"/>
                <w:szCs w:val="24"/>
              </w:rPr>
              <w:t xml:space="preserve">Conlucrarea facilă dintre sectorul public, privat din domeniu </w:t>
            </w:r>
            <w:r w:rsidR="002846DD"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partenerii de </w:t>
            </w:r>
            <w:r w:rsidR="002846DD">
              <w:rPr>
                <w:rFonts w:ascii="Times New Roman" w:eastAsia="Times New Roman" w:hAnsi="Times New Roman" w:cs="Times New Roman"/>
                <w:sz w:val="24"/>
                <w:szCs w:val="24"/>
              </w:rPr>
              <w:t>dezvoltare</w:t>
            </w:r>
          </w:p>
          <w:p w14:paraId="51278028" w14:textId="0EBA8EE0" w:rsidR="008D7147" w:rsidRPr="00E36A94" w:rsidRDefault="002846DD">
            <w:pPr>
              <w:numPr>
                <w:ilvl w:val="0"/>
                <w:numId w:val="17"/>
              </w:numPr>
              <w:spacing w:after="0" w:line="240" w:lineRule="auto"/>
              <w:ind w:hanging="360"/>
              <w:contextualSpacing/>
              <w:rPr>
                <w:sz w:val="24"/>
                <w:szCs w:val="24"/>
              </w:rPr>
            </w:pPr>
            <w:r>
              <w:rPr>
                <w:rFonts w:ascii="Times New Roman" w:eastAsia="Times New Roman" w:hAnsi="Times New Roman" w:cs="Times New Roman"/>
                <w:sz w:val="24"/>
                <w:szCs w:val="24"/>
              </w:rPr>
              <w:t>Rețele</w:t>
            </w:r>
            <w:r w:rsidR="00475B63" w:rsidRPr="00E36A94">
              <w:rPr>
                <w:rFonts w:ascii="Times New Roman" w:eastAsia="Times New Roman" w:hAnsi="Times New Roman" w:cs="Times New Roman"/>
                <w:sz w:val="24"/>
                <w:szCs w:val="24"/>
              </w:rPr>
              <w:t xml:space="preserve"> de comunicații </w:t>
            </w:r>
            <w:r>
              <w:rPr>
                <w:rFonts w:ascii="Times New Roman" w:eastAsia="Times New Roman" w:hAnsi="Times New Roman" w:cs="Times New Roman"/>
                <w:sz w:val="24"/>
                <w:szCs w:val="24"/>
              </w:rPr>
              <w:t>în bandă largă bine dezvoltat</w:t>
            </w:r>
          </w:p>
          <w:p w14:paraId="736C633B" w14:textId="77777777" w:rsidR="008D7147" w:rsidRPr="00E36A94" w:rsidRDefault="00475B63">
            <w:pPr>
              <w:numPr>
                <w:ilvl w:val="0"/>
                <w:numId w:val="17"/>
              </w:numPr>
              <w:spacing w:after="0" w:line="240" w:lineRule="auto"/>
              <w:ind w:hanging="360"/>
              <w:contextualSpacing/>
              <w:rPr>
                <w:sz w:val="24"/>
                <w:szCs w:val="24"/>
              </w:rPr>
            </w:pPr>
            <w:r w:rsidRPr="00E36A94">
              <w:rPr>
                <w:rFonts w:ascii="Times New Roman" w:eastAsia="Times New Roman" w:hAnsi="Times New Roman" w:cs="Times New Roman"/>
                <w:sz w:val="24"/>
                <w:szCs w:val="24"/>
              </w:rPr>
              <w:t xml:space="preserve">Regimuri de comerț favorabile </w:t>
            </w:r>
          </w:p>
        </w:tc>
        <w:tc>
          <w:tcPr>
            <w:tcW w:w="42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27D36F" w14:textId="391491C7" w:rsidR="008D7147" w:rsidRPr="00210380" w:rsidRDefault="00475B63">
            <w:pPr>
              <w:numPr>
                <w:ilvl w:val="0"/>
                <w:numId w:val="17"/>
              </w:numPr>
              <w:spacing w:after="0" w:line="240" w:lineRule="auto"/>
              <w:ind w:left="321" w:hanging="284"/>
              <w:contextualSpacing/>
              <w:rPr>
                <w:sz w:val="24"/>
                <w:szCs w:val="24"/>
              </w:rPr>
            </w:pPr>
            <w:r w:rsidRPr="00210380">
              <w:rPr>
                <w:rFonts w:ascii="Times New Roman" w:eastAsia="Times New Roman" w:hAnsi="Times New Roman" w:cs="Times New Roman"/>
                <w:sz w:val="24"/>
                <w:szCs w:val="24"/>
              </w:rPr>
              <w:t xml:space="preserve">Capacitate financiară limitată a statului pentru </w:t>
            </w:r>
            <w:r w:rsidR="004C0AD7" w:rsidRPr="00210380">
              <w:rPr>
                <w:rFonts w:ascii="Times New Roman" w:eastAsia="Times New Roman" w:hAnsi="Times New Roman" w:cs="Times New Roman"/>
                <w:sz w:val="24"/>
                <w:szCs w:val="24"/>
              </w:rPr>
              <w:t>susținerea</w:t>
            </w:r>
            <w:r w:rsidRPr="00210380">
              <w:rPr>
                <w:rFonts w:ascii="Times New Roman" w:eastAsia="Times New Roman" w:hAnsi="Times New Roman" w:cs="Times New Roman"/>
                <w:sz w:val="24"/>
                <w:szCs w:val="24"/>
              </w:rPr>
              <w:t xml:space="preserve"> </w:t>
            </w:r>
            <w:r w:rsidR="007115E1">
              <w:rPr>
                <w:rFonts w:ascii="Times New Roman" w:eastAsia="Times New Roman" w:hAnsi="Times New Roman" w:cs="Times New Roman"/>
                <w:sz w:val="24"/>
                <w:szCs w:val="24"/>
              </w:rPr>
              <w:t xml:space="preserve">directă a </w:t>
            </w:r>
            <w:r w:rsidRPr="00210380">
              <w:rPr>
                <w:rFonts w:ascii="Times New Roman" w:eastAsia="Times New Roman" w:hAnsi="Times New Roman" w:cs="Times New Roman"/>
                <w:sz w:val="24"/>
                <w:szCs w:val="24"/>
              </w:rPr>
              <w:t xml:space="preserve">sectorului </w:t>
            </w:r>
            <w:r w:rsidR="007115E1">
              <w:rPr>
                <w:rFonts w:ascii="Times New Roman" w:eastAsia="Times New Roman" w:hAnsi="Times New Roman" w:cs="Times New Roman"/>
                <w:sz w:val="24"/>
                <w:szCs w:val="24"/>
              </w:rPr>
              <w:t>TI</w:t>
            </w:r>
          </w:p>
          <w:p w14:paraId="32E70CB0" w14:textId="3D024F57" w:rsidR="008D7147" w:rsidRPr="00210380" w:rsidRDefault="00475B63">
            <w:pPr>
              <w:numPr>
                <w:ilvl w:val="0"/>
                <w:numId w:val="17"/>
              </w:numPr>
              <w:spacing w:after="0" w:line="240" w:lineRule="auto"/>
              <w:ind w:left="321" w:hanging="284"/>
              <w:contextualSpacing/>
              <w:rPr>
                <w:sz w:val="24"/>
                <w:szCs w:val="24"/>
              </w:rPr>
            </w:pPr>
            <w:r w:rsidRPr="00210380">
              <w:rPr>
                <w:rFonts w:ascii="Times New Roman" w:eastAsia="Times New Roman" w:hAnsi="Times New Roman" w:cs="Times New Roman"/>
                <w:sz w:val="24"/>
                <w:szCs w:val="24"/>
              </w:rPr>
              <w:t xml:space="preserve">Lipsa instrumentelor de </w:t>
            </w:r>
            <w:r w:rsidR="004C0AD7" w:rsidRPr="00210380">
              <w:rPr>
                <w:rFonts w:ascii="Times New Roman" w:eastAsia="Times New Roman" w:hAnsi="Times New Roman" w:cs="Times New Roman"/>
                <w:sz w:val="24"/>
                <w:szCs w:val="24"/>
              </w:rPr>
              <w:t>susținere</w:t>
            </w:r>
            <w:r w:rsidRPr="00210380">
              <w:rPr>
                <w:rFonts w:ascii="Times New Roman" w:eastAsia="Times New Roman" w:hAnsi="Times New Roman" w:cs="Times New Roman"/>
                <w:sz w:val="24"/>
                <w:szCs w:val="24"/>
              </w:rPr>
              <w:t xml:space="preserve"> financiară a proiectelor </w:t>
            </w:r>
            <w:r w:rsidR="004C0AD7" w:rsidRPr="00210380">
              <w:rPr>
                <w:rFonts w:ascii="Times New Roman" w:eastAsia="Times New Roman" w:hAnsi="Times New Roman" w:cs="Times New Roman"/>
                <w:sz w:val="24"/>
                <w:szCs w:val="24"/>
              </w:rPr>
              <w:t>inovaționale</w:t>
            </w:r>
          </w:p>
          <w:p w14:paraId="64DE7ABA" w14:textId="77777777" w:rsidR="008D7147" w:rsidRPr="00210380" w:rsidRDefault="00475B63">
            <w:pPr>
              <w:numPr>
                <w:ilvl w:val="0"/>
                <w:numId w:val="17"/>
              </w:numPr>
              <w:spacing w:after="0" w:line="240" w:lineRule="auto"/>
              <w:ind w:left="321" w:hanging="284"/>
              <w:contextualSpacing/>
              <w:rPr>
                <w:sz w:val="24"/>
                <w:szCs w:val="24"/>
              </w:rPr>
            </w:pPr>
            <w:r w:rsidRPr="00210380">
              <w:rPr>
                <w:rFonts w:ascii="Times New Roman" w:eastAsia="Times New Roman" w:hAnsi="Times New Roman" w:cs="Times New Roman"/>
                <w:sz w:val="24"/>
                <w:szCs w:val="24"/>
              </w:rPr>
              <w:t>Insuficiență de specialiști calificați</w:t>
            </w:r>
          </w:p>
          <w:p w14:paraId="7E59BE96" w14:textId="77777777" w:rsidR="008D7147" w:rsidRPr="00E36A94" w:rsidRDefault="00475B63">
            <w:pPr>
              <w:numPr>
                <w:ilvl w:val="0"/>
                <w:numId w:val="17"/>
              </w:numPr>
              <w:spacing w:after="0" w:line="240" w:lineRule="auto"/>
              <w:ind w:left="321" w:hanging="284"/>
              <w:contextualSpacing/>
              <w:rPr>
                <w:sz w:val="24"/>
                <w:szCs w:val="24"/>
              </w:rPr>
            </w:pPr>
            <w:r w:rsidRPr="00E36A94">
              <w:rPr>
                <w:rFonts w:ascii="Times New Roman" w:eastAsia="Times New Roman" w:hAnsi="Times New Roman" w:cs="Times New Roman"/>
                <w:sz w:val="24"/>
                <w:szCs w:val="24"/>
              </w:rPr>
              <w:t>Capacitățile limitate a companiilor TI locale de inovare digitală</w:t>
            </w:r>
          </w:p>
          <w:p w14:paraId="53F1874A" w14:textId="5E38F65E" w:rsidR="008D7147" w:rsidRPr="00210380" w:rsidRDefault="00475B63">
            <w:pPr>
              <w:numPr>
                <w:ilvl w:val="0"/>
                <w:numId w:val="17"/>
              </w:numPr>
              <w:spacing w:after="0" w:line="240" w:lineRule="auto"/>
              <w:ind w:left="321" w:hanging="284"/>
              <w:contextualSpacing/>
              <w:rPr>
                <w:sz w:val="24"/>
                <w:szCs w:val="24"/>
              </w:rPr>
            </w:pPr>
            <w:r w:rsidRPr="00E36A94">
              <w:rPr>
                <w:rFonts w:ascii="Times New Roman" w:eastAsia="Times New Roman" w:hAnsi="Times New Roman" w:cs="Times New Roman"/>
                <w:sz w:val="24"/>
                <w:szCs w:val="24"/>
              </w:rPr>
              <w:t xml:space="preserve">Lipsa accesului la finanțare de risc și </w:t>
            </w:r>
            <w:r w:rsidRPr="00210380">
              <w:rPr>
                <w:rFonts w:ascii="Times New Roman" w:eastAsia="Times New Roman" w:hAnsi="Times New Roman" w:cs="Times New Roman"/>
                <w:sz w:val="24"/>
                <w:szCs w:val="24"/>
              </w:rPr>
              <w:t>business angel</w:t>
            </w:r>
            <w:r w:rsidR="00552DFC">
              <w:rPr>
                <w:rFonts w:ascii="Times New Roman" w:eastAsia="Times New Roman" w:hAnsi="Times New Roman" w:cs="Times New Roman"/>
                <w:sz w:val="24"/>
                <w:szCs w:val="24"/>
              </w:rPr>
              <w:t xml:space="preserve"> și ICO</w:t>
            </w:r>
          </w:p>
          <w:p w14:paraId="73DFF307" w14:textId="77777777" w:rsidR="008D7147" w:rsidRPr="00210380" w:rsidRDefault="00475B63">
            <w:pPr>
              <w:numPr>
                <w:ilvl w:val="0"/>
                <w:numId w:val="17"/>
              </w:numPr>
              <w:spacing w:after="0" w:line="240" w:lineRule="auto"/>
              <w:ind w:left="321" w:hanging="284"/>
              <w:contextualSpacing/>
              <w:rPr>
                <w:sz w:val="24"/>
                <w:szCs w:val="24"/>
              </w:rPr>
            </w:pPr>
            <w:r w:rsidRPr="00210380">
              <w:rPr>
                <w:rFonts w:ascii="Times New Roman" w:eastAsia="Times New Roman" w:hAnsi="Times New Roman" w:cs="Times New Roman"/>
                <w:sz w:val="24"/>
                <w:szCs w:val="24"/>
              </w:rPr>
              <w:t>Capacitățile de marketing insuficiente și certificările de personal slab dezvoltate</w:t>
            </w:r>
          </w:p>
          <w:p w14:paraId="717B48E1" w14:textId="77777777" w:rsidR="008D7147" w:rsidRPr="00210380" w:rsidRDefault="00475B63">
            <w:pPr>
              <w:numPr>
                <w:ilvl w:val="0"/>
                <w:numId w:val="17"/>
              </w:numPr>
              <w:spacing w:after="0" w:line="240" w:lineRule="auto"/>
              <w:ind w:left="321" w:hanging="284"/>
              <w:contextualSpacing/>
              <w:rPr>
                <w:sz w:val="24"/>
                <w:szCs w:val="24"/>
              </w:rPr>
            </w:pPr>
            <w:r w:rsidRPr="00210380">
              <w:rPr>
                <w:rFonts w:ascii="Times New Roman" w:eastAsia="Times New Roman" w:hAnsi="Times New Roman" w:cs="Times New Roman"/>
                <w:sz w:val="24"/>
                <w:szCs w:val="24"/>
              </w:rPr>
              <w:t xml:space="preserve">Insuficiența platformelor de </w:t>
            </w:r>
            <w:proofErr w:type="spellStart"/>
            <w:r w:rsidRPr="00210380">
              <w:rPr>
                <w:rFonts w:ascii="Times New Roman" w:eastAsia="Times New Roman" w:hAnsi="Times New Roman" w:cs="Times New Roman"/>
                <w:sz w:val="24"/>
                <w:szCs w:val="24"/>
              </w:rPr>
              <w:t>coworking</w:t>
            </w:r>
            <w:proofErr w:type="spellEnd"/>
            <w:r w:rsidRPr="00210380">
              <w:rPr>
                <w:rFonts w:ascii="Times New Roman" w:eastAsia="Times New Roman" w:hAnsi="Times New Roman" w:cs="Times New Roman"/>
                <w:sz w:val="24"/>
                <w:szCs w:val="24"/>
              </w:rPr>
              <w:t xml:space="preserve"> și consultanță în dezvoltarea afacerilor pentru </w:t>
            </w:r>
            <w:proofErr w:type="spellStart"/>
            <w:r w:rsidRPr="00210380">
              <w:rPr>
                <w:rFonts w:ascii="Times New Roman" w:eastAsia="Times New Roman" w:hAnsi="Times New Roman" w:cs="Times New Roman"/>
                <w:sz w:val="24"/>
                <w:szCs w:val="24"/>
              </w:rPr>
              <w:t>startup</w:t>
            </w:r>
            <w:proofErr w:type="spellEnd"/>
            <w:r w:rsidRPr="00210380">
              <w:rPr>
                <w:rFonts w:ascii="Times New Roman" w:eastAsia="Times New Roman" w:hAnsi="Times New Roman" w:cs="Times New Roman"/>
                <w:sz w:val="24"/>
                <w:szCs w:val="24"/>
              </w:rPr>
              <w:t>-uri IT</w:t>
            </w:r>
          </w:p>
          <w:p w14:paraId="21A7CAF6" w14:textId="77777777" w:rsidR="008D7147" w:rsidRPr="00210380" w:rsidRDefault="00475B63">
            <w:pPr>
              <w:numPr>
                <w:ilvl w:val="0"/>
                <w:numId w:val="17"/>
              </w:numPr>
              <w:spacing w:after="0" w:line="240" w:lineRule="auto"/>
              <w:ind w:left="321" w:hanging="284"/>
              <w:contextualSpacing/>
              <w:rPr>
                <w:sz w:val="24"/>
                <w:szCs w:val="24"/>
              </w:rPr>
            </w:pPr>
            <w:r w:rsidRPr="00210380">
              <w:rPr>
                <w:rFonts w:ascii="Times New Roman" w:eastAsia="Times New Roman" w:hAnsi="Times New Roman" w:cs="Times New Roman"/>
                <w:sz w:val="24"/>
                <w:szCs w:val="24"/>
              </w:rPr>
              <w:t xml:space="preserve">Lipsa </w:t>
            </w:r>
            <w:proofErr w:type="spellStart"/>
            <w:r w:rsidRPr="00210380">
              <w:rPr>
                <w:rFonts w:ascii="Times New Roman" w:eastAsia="Times New Roman" w:hAnsi="Times New Roman" w:cs="Times New Roman"/>
                <w:sz w:val="24"/>
                <w:szCs w:val="24"/>
              </w:rPr>
              <w:t>branding</w:t>
            </w:r>
            <w:proofErr w:type="spellEnd"/>
            <w:r w:rsidRPr="00210380">
              <w:rPr>
                <w:rFonts w:ascii="Times New Roman" w:eastAsia="Times New Roman" w:hAnsi="Times New Roman" w:cs="Times New Roman"/>
                <w:sz w:val="24"/>
                <w:szCs w:val="24"/>
              </w:rPr>
              <w:t>-ului și a strategiei de marketing și atragere a investițiilor pentru industria IT</w:t>
            </w:r>
          </w:p>
          <w:p w14:paraId="3D221682" w14:textId="77777777" w:rsidR="008D7147" w:rsidRPr="00210380" w:rsidRDefault="00475B63">
            <w:pPr>
              <w:numPr>
                <w:ilvl w:val="0"/>
                <w:numId w:val="17"/>
              </w:numPr>
              <w:spacing w:after="0" w:line="240" w:lineRule="auto"/>
              <w:ind w:left="321" w:hanging="284"/>
              <w:contextualSpacing/>
              <w:rPr>
                <w:rFonts w:ascii="Times New Roman" w:eastAsia="Times New Roman" w:hAnsi="Times New Roman" w:cs="Times New Roman"/>
                <w:sz w:val="24"/>
                <w:szCs w:val="24"/>
              </w:rPr>
            </w:pPr>
            <w:r w:rsidRPr="00210380">
              <w:rPr>
                <w:rFonts w:ascii="Times New Roman" w:eastAsia="Times New Roman" w:hAnsi="Times New Roman" w:cs="Times New Roman"/>
                <w:sz w:val="24"/>
                <w:szCs w:val="24"/>
              </w:rPr>
              <w:t>Cererea de servicii TI rudimentară și slab diversificată din partea sectorului privat, rezumată doar la servicii de bază</w:t>
            </w:r>
          </w:p>
          <w:p w14:paraId="57DA946C" w14:textId="09D3F229" w:rsidR="008D7147" w:rsidRPr="00210380" w:rsidRDefault="00475B63" w:rsidP="00210380">
            <w:pPr>
              <w:numPr>
                <w:ilvl w:val="0"/>
                <w:numId w:val="17"/>
              </w:numPr>
              <w:spacing w:after="0" w:line="240" w:lineRule="auto"/>
              <w:ind w:left="321" w:hanging="284"/>
              <w:contextualSpacing/>
              <w:rPr>
                <w:rFonts w:ascii="Times New Roman" w:eastAsia="Times New Roman" w:hAnsi="Times New Roman" w:cs="Times New Roman"/>
                <w:sz w:val="24"/>
                <w:szCs w:val="24"/>
              </w:rPr>
            </w:pPr>
            <w:r w:rsidRPr="00210380">
              <w:rPr>
                <w:rFonts w:ascii="Times New Roman" w:eastAsia="Times New Roman" w:hAnsi="Times New Roman" w:cs="Times New Roman"/>
                <w:sz w:val="24"/>
                <w:szCs w:val="24"/>
              </w:rPr>
              <w:t xml:space="preserve">Lipsa </w:t>
            </w:r>
            <w:r w:rsidR="00210380" w:rsidRPr="00210380">
              <w:rPr>
                <w:rFonts w:ascii="Times New Roman" w:eastAsia="Times New Roman" w:hAnsi="Times New Roman" w:cs="Times New Roman"/>
                <w:sz w:val="24"/>
                <w:szCs w:val="24"/>
              </w:rPr>
              <w:t xml:space="preserve">culturii și </w:t>
            </w:r>
            <w:r w:rsidRPr="00210380">
              <w:rPr>
                <w:rFonts w:ascii="Times New Roman" w:eastAsia="Times New Roman" w:hAnsi="Times New Roman" w:cs="Times New Roman"/>
                <w:sz w:val="24"/>
                <w:szCs w:val="24"/>
              </w:rPr>
              <w:t>cheltuielile</w:t>
            </w:r>
            <w:r w:rsidRPr="00E36A94">
              <w:rPr>
                <w:rFonts w:ascii="Times New Roman" w:eastAsia="Times New Roman" w:hAnsi="Times New Roman" w:cs="Times New Roman"/>
                <w:sz w:val="24"/>
                <w:szCs w:val="24"/>
              </w:rPr>
              <w:t xml:space="preserve"> derizorii pentru cercetare-dezvoltare ale companiilor. În Indicele Global al Competitivității Moldova se plasează abia pe poziția 128 din 137 de state analizate</w:t>
            </w:r>
          </w:p>
        </w:tc>
      </w:tr>
      <w:tr w:rsidR="008D7147" w:rsidRPr="00E36A94" w14:paraId="5E4368BB"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D0ECB0" w14:textId="77777777" w:rsidR="008D7147" w:rsidRPr="00015583" w:rsidRDefault="00475B63">
            <w:pPr>
              <w:spacing w:after="0" w:line="240" w:lineRule="auto"/>
              <w:jc w:val="center"/>
              <w:rPr>
                <w:b/>
                <w:color w:val="4F81BD"/>
                <w:sz w:val="20"/>
                <w:szCs w:val="20"/>
              </w:rPr>
            </w:pPr>
            <w:r w:rsidRPr="00015583">
              <w:rPr>
                <w:b/>
                <w:color w:val="4F81BD"/>
                <w:sz w:val="20"/>
                <w:szCs w:val="20"/>
              </w:rPr>
              <w:t>Oportunități</w:t>
            </w:r>
          </w:p>
        </w:tc>
        <w:tc>
          <w:tcPr>
            <w:tcW w:w="42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14CE83" w14:textId="77777777" w:rsidR="008D7147" w:rsidRPr="00015583" w:rsidRDefault="00475B63">
            <w:pPr>
              <w:spacing w:after="0" w:line="240" w:lineRule="auto"/>
              <w:jc w:val="center"/>
              <w:rPr>
                <w:b/>
                <w:color w:val="4F81BD"/>
                <w:sz w:val="20"/>
                <w:szCs w:val="20"/>
              </w:rPr>
            </w:pPr>
            <w:r w:rsidRPr="00015583">
              <w:rPr>
                <w:b/>
                <w:color w:val="4F81BD"/>
                <w:sz w:val="20"/>
                <w:szCs w:val="20"/>
              </w:rPr>
              <w:t>Amenințări</w:t>
            </w:r>
          </w:p>
        </w:tc>
      </w:tr>
      <w:tr w:rsidR="008D7147" w:rsidRPr="00E36A94" w14:paraId="39A911F2"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15B269" w14:textId="69D03AD1" w:rsidR="008D7147" w:rsidRPr="00E36A94" w:rsidRDefault="004C0AD7">
            <w:pPr>
              <w:numPr>
                <w:ilvl w:val="0"/>
                <w:numId w:val="5"/>
              </w:numPr>
              <w:spacing w:after="0" w:line="240" w:lineRule="auto"/>
              <w:contextualSpacing/>
              <w:rPr>
                <w:sz w:val="24"/>
                <w:szCs w:val="24"/>
              </w:rPr>
            </w:pPr>
            <w:r w:rsidRPr="009904C4">
              <w:rPr>
                <w:rFonts w:ascii="Times New Roman" w:eastAsia="Times New Roman" w:hAnsi="Times New Roman" w:cs="Times New Roman"/>
                <w:b/>
                <w:sz w:val="24"/>
                <w:szCs w:val="24"/>
              </w:rPr>
              <w:t>Creșterea</w:t>
            </w:r>
            <w:r w:rsidR="00475B63" w:rsidRPr="009904C4">
              <w:rPr>
                <w:rFonts w:ascii="Times New Roman" w:eastAsia="Times New Roman" w:hAnsi="Times New Roman" w:cs="Times New Roman"/>
                <w:b/>
                <w:sz w:val="24"/>
                <w:szCs w:val="24"/>
              </w:rPr>
              <w:t xml:space="preserve"> </w:t>
            </w:r>
            <w:r w:rsidRPr="009904C4">
              <w:rPr>
                <w:rFonts w:ascii="Times New Roman" w:eastAsia="Times New Roman" w:hAnsi="Times New Roman" w:cs="Times New Roman"/>
                <w:b/>
                <w:sz w:val="24"/>
                <w:szCs w:val="24"/>
              </w:rPr>
              <w:t>atenției</w:t>
            </w:r>
            <w:r w:rsidR="00475B63" w:rsidRPr="009904C4">
              <w:rPr>
                <w:rFonts w:ascii="Times New Roman" w:eastAsia="Times New Roman" w:hAnsi="Times New Roman" w:cs="Times New Roman"/>
                <w:b/>
                <w:sz w:val="24"/>
                <w:szCs w:val="24"/>
              </w:rPr>
              <w:t xml:space="preserve"> statului</w:t>
            </w:r>
            <w:r w:rsidR="00475B63" w:rsidRPr="00E36A94">
              <w:rPr>
                <w:rFonts w:ascii="Times New Roman" w:eastAsia="Times New Roman" w:hAnsi="Times New Roman" w:cs="Times New Roman"/>
                <w:sz w:val="24"/>
                <w:szCs w:val="24"/>
              </w:rPr>
              <w:t xml:space="preserve"> </w:t>
            </w:r>
            <w:r w:rsidRPr="00E36A94">
              <w:rPr>
                <w:rFonts w:ascii="Times New Roman" w:eastAsia="Times New Roman" w:hAnsi="Times New Roman" w:cs="Times New Roman"/>
                <w:sz w:val="24"/>
                <w:szCs w:val="24"/>
              </w:rPr>
              <w:t>față</w:t>
            </w:r>
            <w:r w:rsidR="00475B63" w:rsidRPr="00E36A94">
              <w:rPr>
                <w:rFonts w:ascii="Times New Roman" w:eastAsia="Times New Roman" w:hAnsi="Times New Roman" w:cs="Times New Roman"/>
                <w:sz w:val="24"/>
                <w:szCs w:val="24"/>
              </w:rPr>
              <w:t xml:space="preserve"> de problemele </w:t>
            </w:r>
            <w:r w:rsidRPr="00E36A94">
              <w:rPr>
                <w:rFonts w:ascii="Times New Roman" w:eastAsia="Times New Roman" w:hAnsi="Times New Roman" w:cs="Times New Roman"/>
                <w:sz w:val="24"/>
                <w:szCs w:val="24"/>
              </w:rPr>
              <w:t>și</w:t>
            </w:r>
            <w:r w:rsidR="00475B63" w:rsidRPr="00E36A94">
              <w:rPr>
                <w:rFonts w:ascii="Times New Roman" w:eastAsia="Times New Roman" w:hAnsi="Times New Roman" w:cs="Times New Roman"/>
                <w:sz w:val="24"/>
                <w:szCs w:val="24"/>
              </w:rPr>
              <w:t xml:space="preserve"> </w:t>
            </w:r>
            <w:r w:rsidRPr="00E36A94">
              <w:rPr>
                <w:rFonts w:ascii="Times New Roman" w:eastAsia="Times New Roman" w:hAnsi="Times New Roman" w:cs="Times New Roman"/>
                <w:sz w:val="24"/>
                <w:szCs w:val="24"/>
              </w:rPr>
              <w:t>necesitățile</w:t>
            </w:r>
            <w:r w:rsidR="00475B63" w:rsidRPr="00E36A94">
              <w:rPr>
                <w:rFonts w:ascii="Times New Roman" w:eastAsia="Times New Roman" w:hAnsi="Times New Roman" w:cs="Times New Roman"/>
                <w:sz w:val="24"/>
                <w:szCs w:val="24"/>
              </w:rPr>
              <w:t xml:space="preserve"> sectorului </w:t>
            </w:r>
          </w:p>
          <w:p w14:paraId="0C7B31D0" w14:textId="77777777" w:rsidR="008D7147" w:rsidRPr="00E36A94" w:rsidRDefault="00475B63">
            <w:pPr>
              <w:numPr>
                <w:ilvl w:val="0"/>
                <w:numId w:val="5"/>
              </w:numPr>
              <w:spacing w:after="0" w:line="240" w:lineRule="auto"/>
              <w:contextualSpacing/>
              <w:rPr>
                <w:sz w:val="24"/>
                <w:szCs w:val="24"/>
              </w:rPr>
            </w:pPr>
            <w:r w:rsidRPr="009904C4">
              <w:rPr>
                <w:rFonts w:ascii="Times New Roman" w:eastAsia="Times New Roman" w:hAnsi="Times New Roman" w:cs="Times New Roman"/>
                <w:b/>
                <w:sz w:val="24"/>
                <w:szCs w:val="24"/>
              </w:rPr>
              <w:t>Stabilirea parteneriatelor</w:t>
            </w:r>
            <w:r w:rsidRPr="00E36A94">
              <w:rPr>
                <w:rFonts w:ascii="Times New Roman" w:eastAsia="Times New Roman" w:hAnsi="Times New Roman" w:cs="Times New Roman"/>
                <w:sz w:val="24"/>
                <w:szCs w:val="24"/>
              </w:rPr>
              <w:t xml:space="preserve"> cu companii multinaționale din domeniul tehnologiei informației</w:t>
            </w:r>
          </w:p>
          <w:p w14:paraId="6D32AF42" w14:textId="77777777" w:rsidR="008D7147" w:rsidRPr="00E36A94" w:rsidRDefault="00475B63">
            <w:pPr>
              <w:numPr>
                <w:ilvl w:val="0"/>
                <w:numId w:val="5"/>
              </w:numPr>
              <w:spacing w:after="0" w:line="240" w:lineRule="auto"/>
              <w:contextualSpacing/>
              <w:rPr>
                <w:sz w:val="24"/>
                <w:szCs w:val="24"/>
              </w:rPr>
            </w:pPr>
            <w:r w:rsidRPr="009904C4">
              <w:rPr>
                <w:rFonts w:ascii="Times New Roman" w:eastAsia="Times New Roman" w:hAnsi="Times New Roman" w:cs="Times New Roman"/>
                <w:b/>
                <w:sz w:val="24"/>
                <w:szCs w:val="24"/>
              </w:rPr>
              <w:t>Atragerea investițiilor străine și autohtone</w:t>
            </w:r>
            <w:r w:rsidRPr="00E36A94">
              <w:rPr>
                <w:rFonts w:ascii="Times New Roman" w:eastAsia="Times New Roman" w:hAnsi="Times New Roman" w:cs="Times New Roman"/>
                <w:sz w:val="24"/>
                <w:szCs w:val="24"/>
              </w:rPr>
              <w:t xml:space="preserve"> pentru dezvoltarea </w:t>
            </w:r>
            <w:proofErr w:type="spellStart"/>
            <w:r w:rsidRPr="00E36A94">
              <w:rPr>
                <w:rFonts w:ascii="Times New Roman" w:eastAsia="Times New Roman" w:hAnsi="Times New Roman" w:cs="Times New Roman"/>
                <w:sz w:val="24"/>
                <w:szCs w:val="24"/>
              </w:rPr>
              <w:t>stratup</w:t>
            </w:r>
            <w:proofErr w:type="spellEnd"/>
            <w:r w:rsidRPr="00E36A94">
              <w:rPr>
                <w:rFonts w:ascii="Times New Roman" w:eastAsia="Times New Roman" w:hAnsi="Times New Roman" w:cs="Times New Roman"/>
                <w:sz w:val="24"/>
                <w:szCs w:val="24"/>
              </w:rPr>
              <w:t>-urilor IT</w:t>
            </w:r>
          </w:p>
          <w:p w14:paraId="4C7A67BE" w14:textId="24A3262E" w:rsidR="008D7147" w:rsidRPr="00E36A94" w:rsidRDefault="00475B63">
            <w:pPr>
              <w:numPr>
                <w:ilvl w:val="0"/>
                <w:numId w:val="5"/>
              </w:numPr>
              <w:spacing w:after="0" w:line="240" w:lineRule="auto"/>
              <w:contextualSpacing/>
              <w:rPr>
                <w:sz w:val="24"/>
                <w:szCs w:val="24"/>
              </w:rPr>
            </w:pPr>
            <w:r w:rsidRPr="009904C4">
              <w:rPr>
                <w:rFonts w:ascii="Times New Roman" w:eastAsia="Times New Roman" w:hAnsi="Times New Roman" w:cs="Times New Roman"/>
                <w:b/>
                <w:sz w:val="24"/>
                <w:szCs w:val="24"/>
              </w:rPr>
              <w:lastRenderedPageBreak/>
              <w:t xml:space="preserve">Dezvoltarea continuă a tehnologiilor </w:t>
            </w:r>
            <w:r w:rsidR="004C0AD7" w:rsidRPr="009904C4">
              <w:rPr>
                <w:rFonts w:ascii="Times New Roman" w:eastAsia="Times New Roman" w:hAnsi="Times New Roman" w:cs="Times New Roman"/>
                <w:b/>
                <w:sz w:val="24"/>
                <w:szCs w:val="24"/>
              </w:rPr>
              <w:t>și</w:t>
            </w:r>
            <w:r w:rsidRPr="009904C4">
              <w:rPr>
                <w:rFonts w:ascii="Times New Roman" w:eastAsia="Times New Roman" w:hAnsi="Times New Roman" w:cs="Times New Roman"/>
                <w:b/>
                <w:sz w:val="24"/>
                <w:szCs w:val="24"/>
              </w:rPr>
              <w:t xml:space="preserve"> </w:t>
            </w:r>
            <w:r w:rsidR="004C0AD7" w:rsidRPr="009904C4">
              <w:rPr>
                <w:rFonts w:ascii="Times New Roman" w:eastAsia="Times New Roman" w:hAnsi="Times New Roman" w:cs="Times New Roman"/>
                <w:b/>
                <w:sz w:val="24"/>
                <w:szCs w:val="24"/>
              </w:rPr>
              <w:t>inovațiilor</w:t>
            </w:r>
            <w:r w:rsidRPr="00E36A94">
              <w:rPr>
                <w:rFonts w:ascii="Times New Roman" w:eastAsia="Times New Roman" w:hAnsi="Times New Roman" w:cs="Times New Roman"/>
                <w:sz w:val="24"/>
                <w:szCs w:val="24"/>
              </w:rPr>
              <w:t xml:space="preserve"> </w:t>
            </w:r>
            <w:r w:rsidR="004C0AD7"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a </w:t>
            </w:r>
            <w:r w:rsidR="004C0AD7" w:rsidRPr="00E36A94">
              <w:rPr>
                <w:rFonts w:ascii="Times New Roman" w:eastAsia="Times New Roman" w:hAnsi="Times New Roman" w:cs="Times New Roman"/>
                <w:sz w:val="24"/>
                <w:szCs w:val="24"/>
              </w:rPr>
              <w:t>capacității</w:t>
            </w:r>
            <w:r w:rsidRPr="00E36A94">
              <w:rPr>
                <w:rFonts w:ascii="Times New Roman" w:eastAsia="Times New Roman" w:hAnsi="Times New Roman" w:cs="Times New Roman"/>
                <w:sz w:val="24"/>
                <w:szCs w:val="24"/>
              </w:rPr>
              <w:t xml:space="preserve"> de </w:t>
            </w:r>
            <w:r w:rsidR="004C0AD7" w:rsidRPr="00E36A94">
              <w:rPr>
                <w:rFonts w:ascii="Times New Roman" w:eastAsia="Times New Roman" w:hAnsi="Times New Roman" w:cs="Times New Roman"/>
                <w:sz w:val="24"/>
                <w:szCs w:val="24"/>
              </w:rPr>
              <w:t>absorbție</w:t>
            </w:r>
            <w:r w:rsidRPr="00E36A94">
              <w:rPr>
                <w:rFonts w:ascii="Times New Roman" w:eastAsia="Times New Roman" w:hAnsi="Times New Roman" w:cs="Times New Roman"/>
                <w:sz w:val="24"/>
                <w:szCs w:val="24"/>
              </w:rPr>
              <w:t xml:space="preserve"> ale acestora</w:t>
            </w:r>
          </w:p>
          <w:p w14:paraId="0EEACC1A" w14:textId="50A5709F" w:rsidR="008D7147" w:rsidRPr="00E36A94" w:rsidRDefault="00475B63">
            <w:pPr>
              <w:numPr>
                <w:ilvl w:val="0"/>
                <w:numId w:val="5"/>
              </w:numPr>
              <w:spacing w:after="0" w:line="240" w:lineRule="auto"/>
              <w:contextualSpacing/>
              <w:rPr>
                <w:sz w:val="24"/>
                <w:szCs w:val="24"/>
              </w:rPr>
            </w:pPr>
            <w:r w:rsidRPr="009904C4">
              <w:rPr>
                <w:rFonts w:ascii="Times New Roman" w:eastAsia="Times New Roman" w:hAnsi="Times New Roman" w:cs="Times New Roman"/>
                <w:b/>
                <w:sz w:val="24"/>
                <w:szCs w:val="24"/>
              </w:rPr>
              <w:t>Dezvoltarea comerțului electronic</w:t>
            </w:r>
            <w:r w:rsidRPr="00E36A94">
              <w:rPr>
                <w:rFonts w:ascii="Times New Roman" w:eastAsia="Times New Roman" w:hAnsi="Times New Roman" w:cs="Times New Roman"/>
                <w:sz w:val="24"/>
                <w:szCs w:val="24"/>
              </w:rPr>
              <w:t xml:space="preserve"> </w:t>
            </w:r>
            <w:r w:rsidR="0079416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w:t>
            </w:r>
            <w:r w:rsidR="0079416C" w:rsidRPr="00E36A94">
              <w:rPr>
                <w:rFonts w:ascii="Times New Roman" w:eastAsia="Times New Roman" w:hAnsi="Times New Roman" w:cs="Times New Roman"/>
                <w:sz w:val="24"/>
                <w:szCs w:val="24"/>
              </w:rPr>
              <w:t>achiziții</w:t>
            </w:r>
            <w:r w:rsidRPr="00E36A94">
              <w:rPr>
                <w:rFonts w:ascii="Times New Roman" w:eastAsia="Times New Roman" w:hAnsi="Times New Roman" w:cs="Times New Roman"/>
                <w:sz w:val="24"/>
                <w:szCs w:val="24"/>
              </w:rPr>
              <w:t xml:space="preserve"> electronice</w:t>
            </w:r>
          </w:p>
          <w:p w14:paraId="60A4C062" w14:textId="77777777" w:rsidR="008D7147" w:rsidRPr="00E36A94" w:rsidRDefault="00475B63">
            <w:pPr>
              <w:numPr>
                <w:ilvl w:val="0"/>
                <w:numId w:val="5"/>
              </w:numPr>
              <w:spacing w:after="0" w:line="240" w:lineRule="auto"/>
              <w:contextualSpacing/>
              <w:rPr>
                <w:sz w:val="24"/>
                <w:szCs w:val="24"/>
              </w:rPr>
            </w:pPr>
            <w:r w:rsidRPr="009904C4">
              <w:rPr>
                <w:rFonts w:ascii="Times New Roman" w:eastAsia="Times New Roman" w:hAnsi="Times New Roman" w:cs="Times New Roman"/>
                <w:b/>
                <w:sz w:val="24"/>
                <w:szCs w:val="24"/>
              </w:rPr>
              <w:t>Atragerea resurselor umane</w:t>
            </w:r>
            <w:r w:rsidRPr="00E36A94">
              <w:rPr>
                <w:rFonts w:ascii="Times New Roman" w:eastAsia="Times New Roman" w:hAnsi="Times New Roman" w:cs="Times New Roman"/>
                <w:sz w:val="24"/>
                <w:szCs w:val="24"/>
              </w:rPr>
              <w:t xml:space="preserve"> calificate</w:t>
            </w:r>
          </w:p>
          <w:p w14:paraId="2B755F9F" w14:textId="77777777" w:rsidR="008D7147" w:rsidRPr="00E36A94" w:rsidRDefault="00475B63">
            <w:pPr>
              <w:numPr>
                <w:ilvl w:val="0"/>
                <w:numId w:val="5"/>
              </w:numPr>
              <w:spacing w:after="0" w:line="240" w:lineRule="auto"/>
              <w:contextualSpacing/>
              <w:rPr>
                <w:rFonts w:ascii="Times New Roman" w:eastAsia="Times New Roman" w:hAnsi="Times New Roman" w:cs="Times New Roman"/>
                <w:sz w:val="24"/>
                <w:szCs w:val="24"/>
              </w:rPr>
            </w:pPr>
            <w:r w:rsidRPr="009904C4">
              <w:rPr>
                <w:rFonts w:ascii="Times New Roman" w:eastAsia="Times New Roman" w:hAnsi="Times New Roman" w:cs="Times New Roman"/>
                <w:b/>
                <w:sz w:val="24"/>
                <w:szCs w:val="24"/>
              </w:rPr>
              <w:t>Stimularea cererii interne</w:t>
            </w:r>
            <w:r w:rsidRPr="00E36A94">
              <w:rPr>
                <w:rFonts w:ascii="Times New Roman" w:eastAsia="Times New Roman" w:hAnsi="Times New Roman" w:cs="Times New Roman"/>
                <w:sz w:val="24"/>
                <w:szCs w:val="24"/>
              </w:rPr>
              <w:t xml:space="preserve"> pentru produse TI din partea sectorului privat</w:t>
            </w:r>
          </w:p>
        </w:tc>
        <w:tc>
          <w:tcPr>
            <w:tcW w:w="42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E21F71" w14:textId="5D1E73F1" w:rsidR="008D7147" w:rsidRPr="00E36A94" w:rsidRDefault="00475B63">
            <w:pPr>
              <w:numPr>
                <w:ilvl w:val="0"/>
                <w:numId w:val="5"/>
              </w:numPr>
              <w:spacing w:after="0" w:line="240" w:lineRule="auto"/>
              <w:ind w:left="321" w:hanging="284"/>
              <w:contextualSpacing/>
              <w:rPr>
                <w:sz w:val="24"/>
                <w:szCs w:val="24"/>
              </w:rPr>
            </w:pPr>
            <w:r w:rsidRPr="009904C4">
              <w:rPr>
                <w:rFonts w:ascii="Times New Roman" w:eastAsia="Times New Roman" w:hAnsi="Times New Roman" w:cs="Times New Roman"/>
                <w:b/>
                <w:sz w:val="24"/>
                <w:szCs w:val="24"/>
              </w:rPr>
              <w:lastRenderedPageBreak/>
              <w:t>Sectorul fragmentat</w:t>
            </w:r>
            <w:r w:rsidRPr="00E36A94">
              <w:rPr>
                <w:rFonts w:ascii="Times New Roman" w:eastAsia="Times New Roman" w:hAnsi="Times New Roman" w:cs="Times New Roman"/>
                <w:sz w:val="24"/>
                <w:szCs w:val="24"/>
              </w:rPr>
              <w:t>: Sectorul TI din Moldova este în prezent extrem de fragmentat, iar firmele, în general, se confruntă cu provocări care le împiedică să-și genereze economi la scară. Unele dintre provocările che</w:t>
            </w:r>
            <w:r w:rsidR="00E33664">
              <w:rPr>
                <w:rFonts w:ascii="Times New Roman" w:eastAsia="Times New Roman" w:hAnsi="Times New Roman" w:cs="Times New Roman"/>
                <w:sz w:val="24"/>
                <w:szCs w:val="24"/>
              </w:rPr>
              <w:t>ie sunt: 1) Acces la finanțare ș</w:t>
            </w:r>
            <w:r w:rsidRPr="00E36A94">
              <w:rPr>
                <w:rFonts w:ascii="Times New Roman" w:eastAsia="Times New Roman" w:hAnsi="Times New Roman" w:cs="Times New Roman"/>
                <w:sz w:val="24"/>
                <w:szCs w:val="24"/>
              </w:rPr>
              <w:t xml:space="preserve">i capital de </w:t>
            </w:r>
            <w:r w:rsidRPr="00E36A94">
              <w:rPr>
                <w:rFonts w:ascii="Times New Roman" w:eastAsia="Times New Roman" w:hAnsi="Times New Roman" w:cs="Times New Roman"/>
                <w:sz w:val="24"/>
                <w:szCs w:val="24"/>
              </w:rPr>
              <w:lastRenderedPageBreak/>
              <w:t>risc 2) Expunerea la piețele internaționale potențiale 3) Capabilități de vânzări și marketing limitate 4) Alinierea la standardele de proces și de calitate &amp; certificări.</w:t>
            </w:r>
          </w:p>
          <w:p w14:paraId="0DDD133C" w14:textId="24C8A3C0" w:rsidR="008D7147" w:rsidRPr="00E36A94" w:rsidRDefault="00475B63">
            <w:pPr>
              <w:numPr>
                <w:ilvl w:val="0"/>
                <w:numId w:val="5"/>
              </w:numPr>
              <w:spacing w:after="0" w:line="240" w:lineRule="auto"/>
              <w:ind w:left="321" w:hanging="284"/>
              <w:contextualSpacing/>
              <w:rPr>
                <w:sz w:val="24"/>
                <w:szCs w:val="24"/>
              </w:rPr>
            </w:pPr>
            <w:r w:rsidRPr="009904C4">
              <w:rPr>
                <w:rFonts w:ascii="Times New Roman" w:eastAsia="Times New Roman" w:hAnsi="Times New Roman" w:cs="Times New Roman"/>
                <w:b/>
                <w:sz w:val="24"/>
                <w:szCs w:val="24"/>
              </w:rPr>
              <w:t>Presiune competitivă</w:t>
            </w:r>
            <w:r w:rsidRPr="00E36A94">
              <w:rPr>
                <w:rFonts w:ascii="Times New Roman" w:eastAsia="Times New Roman" w:hAnsi="Times New Roman" w:cs="Times New Roman"/>
                <w:sz w:val="24"/>
                <w:szCs w:val="24"/>
              </w:rPr>
              <w:t xml:space="preserve"> </w:t>
            </w:r>
            <w:r w:rsidR="0079416C" w:rsidRPr="00E36A94">
              <w:rPr>
                <w:rFonts w:ascii="Times New Roman" w:eastAsia="Times New Roman" w:hAnsi="Times New Roman" w:cs="Times New Roman"/>
                <w:sz w:val="24"/>
                <w:szCs w:val="24"/>
              </w:rPr>
              <w:t>internațională</w:t>
            </w:r>
          </w:p>
          <w:p w14:paraId="7537AED3" w14:textId="6AB3DA8D" w:rsidR="008D7147" w:rsidRPr="00E36A94" w:rsidRDefault="00475B63">
            <w:pPr>
              <w:numPr>
                <w:ilvl w:val="0"/>
                <w:numId w:val="5"/>
              </w:numPr>
              <w:spacing w:after="0" w:line="240" w:lineRule="auto"/>
              <w:ind w:left="321" w:hanging="284"/>
              <w:contextualSpacing/>
              <w:rPr>
                <w:sz w:val="24"/>
                <w:szCs w:val="24"/>
              </w:rPr>
            </w:pPr>
            <w:r w:rsidRPr="009904C4">
              <w:rPr>
                <w:rFonts w:ascii="Times New Roman" w:eastAsia="Times New Roman" w:hAnsi="Times New Roman" w:cs="Times New Roman"/>
                <w:b/>
                <w:sz w:val="24"/>
                <w:szCs w:val="24"/>
              </w:rPr>
              <w:t xml:space="preserve">Adaptarea lentă a sistemului </w:t>
            </w:r>
            <w:r w:rsidR="0079416C" w:rsidRPr="009904C4">
              <w:rPr>
                <w:rFonts w:ascii="Times New Roman" w:eastAsia="Times New Roman" w:hAnsi="Times New Roman" w:cs="Times New Roman"/>
                <w:b/>
                <w:sz w:val="24"/>
                <w:szCs w:val="24"/>
              </w:rPr>
              <w:t>educațional</w:t>
            </w:r>
            <w:r w:rsidRPr="00E36A94">
              <w:rPr>
                <w:rFonts w:ascii="Times New Roman" w:eastAsia="Times New Roman" w:hAnsi="Times New Roman" w:cs="Times New Roman"/>
                <w:sz w:val="24"/>
                <w:szCs w:val="24"/>
              </w:rPr>
              <w:t xml:space="preserve"> la cererea pieței forței de muncă</w:t>
            </w:r>
            <w:r w:rsidR="00B623DF">
              <w:rPr>
                <w:rFonts w:ascii="Times New Roman" w:eastAsia="Times New Roman" w:hAnsi="Times New Roman" w:cs="Times New Roman"/>
                <w:sz w:val="24"/>
                <w:szCs w:val="24"/>
              </w:rPr>
              <w:t xml:space="preserve"> TI</w:t>
            </w:r>
          </w:p>
          <w:p w14:paraId="0CEB4B01" w14:textId="7DBA3D92" w:rsidR="00B623DF" w:rsidRPr="00C926DB" w:rsidRDefault="00475B63" w:rsidP="00C926DB">
            <w:pPr>
              <w:numPr>
                <w:ilvl w:val="0"/>
                <w:numId w:val="5"/>
              </w:numPr>
              <w:spacing w:after="0" w:line="240" w:lineRule="auto"/>
              <w:ind w:left="321" w:hanging="284"/>
              <w:contextualSpacing/>
              <w:rPr>
                <w:sz w:val="24"/>
                <w:szCs w:val="24"/>
              </w:rPr>
            </w:pPr>
            <w:r w:rsidRPr="009904C4">
              <w:rPr>
                <w:rFonts w:ascii="Times New Roman" w:eastAsia="Times New Roman" w:hAnsi="Times New Roman" w:cs="Times New Roman"/>
                <w:b/>
                <w:sz w:val="24"/>
                <w:szCs w:val="24"/>
              </w:rPr>
              <w:t>Participarea slabă a studenților</w:t>
            </w:r>
            <w:r w:rsidRPr="00E36A94">
              <w:rPr>
                <w:rFonts w:ascii="Times New Roman" w:eastAsia="Times New Roman" w:hAnsi="Times New Roman" w:cs="Times New Roman"/>
                <w:sz w:val="24"/>
                <w:szCs w:val="24"/>
              </w:rPr>
              <w:t xml:space="preserve"> la programele de educație în domeniul </w:t>
            </w:r>
            <w:r w:rsidR="00B623DF">
              <w:rPr>
                <w:rFonts w:ascii="Times New Roman" w:eastAsia="Times New Roman" w:hAnsi="Times New Roman" w:cs="Times New Roman"/>
                <w:sz w:val="24"/>
                <w:szCs w:val="24"/>
              </w:rPr>
              <w:t>TI</w:t>
            </w:r>
          </w:p>
        </w:tc>
      </w:tr>
    </w:tbl>
    <w:p w14:paraId="6FAADD24" w14:textId="411500A1" w:rsidR="008D7147" w:rsidRPr="00E36A94" w:rsidRDefault="008D7147">
      <w:pPr>
        <w:rPr>
          <w:rFonts w:ascii="Times New Roman" w:eastAsia="Times New Roman" w:hAnsi="Times New Roman" w:cs="Times New Roman"/>
          <w:b/>
          <w:sz w:val="12"/>
          <w:szCs w:val="12"/>
        </w:rPr>
      </w:pPr>
    </w:p>
    <w:p w14:paraId="08F2B148" w14:textId="6166C93A" w:rsidR="008D7147" w:rsidRPr="006A1E2A" w:rsidRDefault="00475B63" w:rsidP="00444BBB">
      <w:pPr>
        <w:pStyle w:val="ListParagraph"/>
        <w:numPr>
          <w:ilvl w:val="0"/>
          <w:numId w:val="29"/>
        </w:numPr>
        <w:jc w:val="center"/>
        <w:rPr>
          <w:rFonts w:ascii="Times New Roman" w:eastAsia="Times New Roman" w:hAnsi="Times New Roman" w:cs="Times New Roman"/>
          <w:b/>
          <w:color w:val="auto"/>
          <w:sz w:val="24"/>
          <w:szCs w:val="24"/>
        </w:rPr>
      </w:pPr>
      <w:r w:rsidRPr="006A1E2A">
        <w:rPr>
          <w:rFonts w:ascii="Times New Roman" w:eastAsia="Times New Roman" w:hAnsi="Times New Roman" w:cs="Times New Roman"/>
          <w:b/>
          <w:color w:val="auto"/>
          <w:sz w:val="24"/>
          <w:szCs w:val="24"/>
        </w:rPr>
        <w:t>SCOP, OBIECTIVE ȘI DOMENII</w:t>
      </w:r>
      <w:r w:rsidR="00B72BA7" w:rsidRPr="006A1E2A">
        <w:rPr>
          <w:rFonts w:ascii="Times New Roman" w:eastAsia="Times New Roman" w:hAnsi="Times New Roman" w:cs="Times New Roman"/>
          <w:b/>
          <w:color w:val="auto"/>
          <w:sz w:val="24"/>
          <w:szCs w:val="24"/>
        </w:rPr>
        <w:t>LE</w:t>
      </w:r>
      <w:r w:rsidRPr="006A1E2A">
        <w:rPr>
          <w:rFonts w:ascii="Times New Roman" w:eastAsia="Times New Roman" w:hAnsi="Times New Roman" w:cs="Times New Roman"/>
          <w:b/>
          <w:color w:val="auto"/>
          <w:sz w:val="24"/>
          <w:szCs w:val="24"/>
        </w:rPr>
        <w:t xml:space="preserve"> DE INTERVENȚIE</w:t>
      </w:r>
    </w:p>
    <w:p w14:paraId="6187CCBA" w14:textId="5BCF034B"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Prezenta Strategie are scopul de a fundamenta obiectivele, pri</w:t>
      </w:r>
      <w:r w:rsidR="00B623DF">
        <w:rPr>
          <w:rFonts w:ascii="Times New Roman" w:eastAsia="Times New Roman" w:hAnsi="Times New Roman" w:cs="Times New Roman"/>
          <w:sz w:val="24"/>
          <w:szCs w:val="24"/>
        </w:rPr>
        <w:t>oritățile</w:t>
      </w:r>
      <w:r w:rsidRPr="00E36A94">
        <w:rPr>
          <w:rFonts w:ascii="Times New Roman" w:eastAsia="Times New Roman" w:hAnsi="Times New Roman" w:cs="Times New Roman"/>
          <w:sz w:val="24"/>
          <w:szCs w:val="24"/>
        </w:rPr>
        <w:t xml:space="preserve"> </w:t>
      </w:r>
      <w:r w:rsidR="0079416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w:t>
      </w:r>
      <w:r w:rsidR="0079416C" w:rsidRPr="00E36A94">
        <w:rPr>
          <w:rFonts w:ascii="Times New Roman" w:eastAsia="Times New Roman" w:hAnsi="Times New Roman" w:cs="Times New Roman"/>
          <w:sz w:val="24"/>
          <w:szCs w:val="24"/>
        </w:rPr>
        <w:t>direcțiile</w:t>
      </w:r>
      <w:r w:rsidRPr="00E36A94">
        <w:rPr>
          <w:rFonts w:ascii="Times New Roman" w:eastAsia="Times New Roman" w:hAnsi="Times New Roman" w:cs="Times New Roman"/>
          <w:sz w:val="24"/>
          <w:szCs w:val="24"/>
        </w:rPr>
        <w:t xml:space="preserve"> de </w:t>
      </w:r>
      <w:r w:rsidR="0079416C" w:rsidRPr="00E36A94">
        <w:rPr>
          <w:rFonts w:ascii="Times New Roman" w:eastAsia="Times New Roman" w:hAnsi="Times New Roman" w:cs="Times New Roman"/>
          <w:sz w:val="24"/>
          <w:szCs w:val="24"/>
        </w:rPr>
        <w:t>acțiune</w:t>
      </w:r>
      <w:r w:rsidRPr="00E36A94">
        <w:rPr>
          <w:rFonts w:ascii="Times New Roman" w:eastAsia="Times New Roman" w:hAnsi="Times New Roman" w:cs="Times New Roman"/>
          <w:sz w:val="24"/>
          <w:szCs w:val="24"/>
        </w:rPr>
        <w:t xml:space="preserve"> într-o manieră coerentă </w:t>
      </w:r>
      <w:r w:rsidR="0079416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unitară în vederea dezvoltării ecosistemului pentru inovare digitală și </w:t>
      </w:r>
      <w:r w:rsidR="00B623DF">
        <w:rPr>
          <w:rFonts w:ascii="Times New Roman" w:eastAsia="Times New Roman" w:hAnsi="Times New Roman" w:cs="Times New Roman"/>
          <w:sz w:val="24"/>
          <w:szCs w:val="24"/>
        </w:rPr>
        <w:t>susținere</w:t>
      </w:r>
      <w:r w:rsidRPr="00E36A94">
        <w:rPr>
          <w:rFonts w:ascii="Times New Roman" w:eastAsia="Times New Roman" w:hAnsi="Times New Roman" w:cs="Times New Roman"/>
          <w:sz w:val="24"/>
          <w:szCs w:val="24"/>
        </w:rPr>
        <w:t xml:space="preserve"> a </w:t>
      </w:r>
      <w:proofErr w:type="spellStart"/>
      <w:r w:rsidRPr="00E36A94">
        <w:rPr>
          <w:rFonts w:ascii="Times New Roman" w:eastAsia="Times New Roman" w:hAnsi="Times New Roman" w:cs="Times New Roman"/>
          <w:sz w:val="24"/>
          <w:szCs w:val="24"/>
        </w:rPr>
        <w:t>startup</w:t>
      </w:r>
      <w:proofErr w:type="spellEnd"/>
      <w:r w:rsidRPr="00E36A94">
        <w:rPr>
          <w:rFonts w:ascii="Times New Roman" w:eastAsia="Times New Roman" w:hAnsi="Times New Roman" w:cs="Times New Roman"/>
          <w:sz w:val="24"/>
          <w:szCs w:val="24"/>
        </w:rPr>
        <w:t xml:space="preserve">-urilor </w:t>
      </w:r>
      <w:r w:rsidR="000D1ED9">
        <w:rPr>
          <w:rFonts w:ascii="Times New Roman" w:eastAsia="Times New Roman" w:hAnsi="Times New Roman" w:cs="Times New Roman"/>
          <w:sz w:val="24"/>
          <w:szCs w:val="24"/>
        </w:rPr>
        <w:t>în tehnologia informației</w:t>
      </w:r>
      <w:r w:rsidRPr="00E36A94">
        <w:rPr>
          <w:rFonts w:ascii="Times New Roman" w:eastAsia="Times New Roman" w:hAnsi="Times New Roman" w:cs="Times New Roman"/>
          <w:sz w:val="24"/>
          <w:szCs w:val="24"/>
        </w:rPr>
        <w:t xml:space="preserve">. </w:t>
      </w:r>
    </w:p>
    <w:p w14:paraId="31C5F6E7" w14:textId="6EFFDDF0" w:rsidR="008D7147" w:rsidRPr="00E36A94" w:rsidRDefault="00B72BA7">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b/>
          <w:sz w:val="24"/>
          <w:szCs w:val="24"/>
        </w:rPr>
        <w:t xml:space="preserve">3.1. </w:t>
      </w:r>
      <w:r w:rsidR="00475B63" w:rsidRPr="00E36A94">
        <w:rPr>
          <w:rFonts w:ascii="Times New Roman" w:eastAsia="Times New Roman" w:hAnsi="Times New Roman" w:cs="Times New Roman"/>
          <w:b/>
          <w:sz w:val="24"/>
          <w:szCs w:val="24"/>
        </w:rPr>
        <w:t>Viziune:</w:t>
      </w:r>
      <w:r w:rsidR="00475B63" w:rsidRPr="00E36A94">
        <w:rPr>
          <w:rFonts w:ascii="Times New Roman" w:eastAsia="Times New Roman" w:hAnsi="Times New Roman" w:cs="Times New Roman"/>
          <w:sz w:val="24"/>
          <w:szCs w:val="24"/>
        </w:rPr>
        <w:t xml:space="preserve"> Industria TI competitivă orientată spre inovare digitală în toate sectoarele economiei și crearea produselor și serviciilor TI cu valoarea adăugată înaltă pentru </w:t>
      </w:r>
      <w:r w:rsidR="0079416C" w:rsidRPr="00E36A94">
        <w:rPr>
          <w:rFonts w:ascii="Times New Roman" w:eastAsia="Times New Roman" w:hAnsi="Times New Roman" w:cs="Times New Roman"/>
          <w:sz w:val="24"/>
          <w:szCs w:val="24"/>
        </w:rPr>
        <w:t>piața</w:t>
      </w:r>
      <w:r w:rsidR="00475B63" w:rsidRPr="00E36A94">
        <w:rPr>
          <w:rFonts w:ascii="Times New Roman" w:eastAsia="Times New Roman" w:hAnsi="Times New Roman" w:cs="Times New Roman"/>
          <w:sz w:val="24"/>
          <w:szCs w:val="24"/>
        </w:rPr>
        <w:t xml:space="preserve"> internă </w:t>
      </w:r>
      <w:r w:rsidR="0079416C" w:rsidRPr="00E36A94">
        <w:rPr>
          <w:rFonts w:ascii="Times New Roman" w:eastAsia="Times New Roman" w:hAnsi="Times New Roman" w:cs="Times New Roman"/>
          <w:sz w:val="24"/>
          <w:szCs w:val="24"/>
        </w:rPr>
        <w:t>și</w:t>
      </w:r>
      <w:r w:rsidR="00475B63" w:rsidRPr="00E36A94">
        <w:rPr>
          <w:rFonts w:ascii="Times New Roman" w:eastAsia="Times New Roman" w:hAnsi="Times New Roman" w:cs="Times New Roman"/>
          <w:sz w:val="24"/>
          <w:szCs w:val="24"/>
        </w:rPr>
        <w:t xml:space="preserve"> export, bazându-se pe cercetare și dezvoltare.</w:t>
      </w:r>
    </w:p>
    <w:p w14:paraId="129DD503" w14:textId="74C0E843" w:rsidR="008D7147" w:rsidRPr="00E36A94" w:rsidRDefault="00B72BA7">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b/>
          <w:sz w:val="24"/>
          <w:szCs w:val="24"/>
        </w:rPr>
        <w:t xml:space="preserve">3.2. </w:t>
      </w:r>
      <w:r w:rsidR="00475B63" w:rsidRPr="00E36A94">
        <w:rPr>
          <w:rFonts w:ascii="Times New Roman" w:eastAsia="Times New Roman" w:hAnsi="Times New Roman" w:cs="Times New Roman"/>
          <w:b/>
          <w:sz w:val="24"/>
          <w:szCs w:val="24"/>
        </w:rPr>
        <w:t>Obiectivul general:</w:t>
      </w:r>
      <w:r w:rsidR="00475B63" w:rsidRPr="00E36A94">
        <w:rPr>
          <w:rFonts w:ascii="Times New Roman" w:eastAsia="Times New Roman" w:hAnsi="Times New Roman" w:cs="Times New Roman"/>
          <w:sz w:val="24"/>
          <w:szCs w:val="24"/>
        </w:rPr>
        <w:t xml:space="preserve"> Crearea condițiilor pentru sporirea competitivității, diversificarea industriei TI</w:t>
      </w:r>
      <w:r w:rsidR="007A0E98">
        <w:rPr>
          <w:rFonts w:ascii="Times New Roman" w:eastAsia="Times New Roman" w:hAnsi="Times New Roman" w:cs="Times New Roman"/>
          <w:sz w:val="24"/>
          <w:szCs w:val="24"/>
        </w:rPr>
        <w:t xml:space="preserve">, stimularea </w:t>
      </w:r>
      <w:proofErr w:type="spellStart"/>
      <w:r w:rsidR="007A0E98">
        <w:rPr>
          <w:rFonts w:ascii="Times New Roman" w:eastAsia="Times New Roman" w:hAnsi="Times New Roman" w:cs="Times New Roman"/>
          <w:sz w:val="24"/>
          <w:szCs w:val="24"/>
        </w:rPr>
        <w:t>startup</w:t>
      </w:r>
      <w:proofErr w:type="spellEnd"/>
      <w:r w:rsidR="007A0E98">
        <w:rPr>
          <w:rFonts w:ascii="Times New Roman" w:eastAsia="Times New Roman" w:hAnsi="Times New Roman" w:cs="Times New Roman"/>
          <w:sz w:val="24"/>
          <w:szCs w:val="24"/>
        </w:rPr>
        <w:t>-urilor</w:t>
      </w:r>
      <w:r w:rsidR="00475B63" w:rsidRPr="00E36A94">
        <w:rPr>
          <w:rFonts w:ascii="Times New Roman" w:eastAsia="Times New Roman" w:hAnsi="Times New Roman" w:cs="Times New Roman"/>
          <w:sz w:val="24"/>
          <w:szCs w:val="24"/>
        </w:rPr>
        <w:t xml:space="preserve"> și orientarea acesteia spre ino</w:t>
      </w:r>
      <w:r w:rsidR="00C31FF7">
        <w:rPr>
          <w:rFonts w:ascii="Times New Roman" w:eastAsia="Times New Roman" w:hAnsi="Times New Roman" w:cs="Times New Roman"/>
          <w:sz w:val="24"/>
          <w:szCs w:val="24"/>
        </w:rPr>
        <w:t xml:space="preserve">vare digitală în toate sectoarele </w:t>
      </w:r>
      <w:r w:rsidR="0032422D">
        <w:rPr>
          <w:rFonts w:ascii="Times New Roman" w:eastAsia="Times New Roman" w:hAnsi="Times New Roman" w:cs="Times New Roman"/>
          <w:sz w:val="24"/>
          <w:szCs w:val="24"/>
        </w:rPr>
        <w:t xml:space="preserve">economiei. </w:t>
      </w:r>
    </w:p>
    <w:p w14:paraId="4C018671" w14:textId="7455FB37" w:rsidR="008D7147" w:rsidRPr="00E36A94" w:rsidRDefault="00B72BA7">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b/>
          <w:sz w:val="24"/>
          <w:szCs w:val="24"/>
        </w:rPr>
        <w:t>3.3.</w:t>
      </w:r>
      <w:r w:rsidRPr="00E36A94">
        <w:rPr>
          <w:rFonts w:ascii="Times New Roman" w:eastAsia="Times New Roman" w:hAnsi="Times New Roman" w:cs="Times New Roman"/>
          <w:sz w:val="24"/>
          <w:szCs w:val="24"/>
        </w:rPr>
        <w:t xml:space="preserve"> </w:t>
      </w:r>
      <w:r w:rsidR="00475B63" w:rsidRPr="00E36A94">
        <w:rPr>
          <w:rFonts w:ascii="Times New Roman" w:eastAsia="Times New Roman" w:hAnsi="Times New Roman" w:cs="Times New Roman"/>
          <w:sz w:val="24"/>
          <w:szCs w:val="24"/>
        </w:rPr>
        <w:t xml:space="preserve">În lumina celor expuse, în vederea atingerii </w:t>
      </w:r>
      <w:r w:rsidR="00B623DF">
        <w:rPr>
          <w:rFonts w:ascii="Times New Roman" w:eastAsia="Times New Roman" w:hAnsi="Times New Roman" w:cs="Times New Roman"/>
          <w:sz w:val="24"/>
          <w:szCs w:val="24"/>
        </w:rPr>
        <w:t>obiectivului general</w:t>
      </w:r>
      <w:r w:rsidR="00475B63" w:rsidRPr="00E36A94">
        <w:rPr>
          <w:rFonts w:ascii="Times New Roman" w:eastAsia="Times New Roman" w:hAnsi="Times New Roman" w:cs="Times New Roman"/>
          <w:sz w:val="24"/>
          <w:szCs w:val="24"/>
        </w:rPr>
        <w:t xml:space="preserve">, prin implementarea prezentei Strategii, Guvernul </w:t>
      </w:r>
      <w:r w:rsidR="0079416C" w:rsidRPr="00E36A94">
        <w:rPr>
          <w:rFonts w:ascii="Times New Roman" w:eastAsia="Times New Roman" w:hAnsi="Times New Roman" w:cs="Times New Roman"/>
          <w:sz w:val="24"/>
          <w:szCs w:val="24"/>
        </w:rPr>
        <w:t>își</w:t>
      </w:r>
      <w:r w:rsidR="00475B63" w:rsidRPr="00E36A94">
        <w:rPr>
          <w:rFonts w:ascii="Times New Roman" w:eastAsia="Times New Roman" w:hAnsi="Times New Roman" w:cs="Times New Roman"/>
          <w:sz w:val="24"/>
          <w:szCs w:val="24"/>
        </w:rPr>
        <w:t xml:space="preserve"> propune realizarea </w:t>
      </w:r>
      <w:r w:rsidR="00B9645A">
        <w:rPr>
          <w:rFonts w:ascii="Times New Roman" w:eastAsia="Times New Roman" w:hAnsi="Times New Roman" w:cs="Times New Roman"/>
          <w:sz w:val="24"/>
          <w:szCs w:val="24"/>
        </w:rPr>
        <w:t>acțiunilor</w:t>
      </w:r>
      <w:r w:rsidR="00475B63" w:rsidRPr="00E36A94">
        <w:rPr>
          <w:rFonts w:ascii="Times New Roman" w:eastAsia="Times New Roman" w:hAnsi="Times New Roman" w:cs="Times New Roman"/>
          <w:sz w:val="24"/>
          <w:szCs w:val="24"/>
        </w:rPr>
        <w:t xml:space="preserve"> </w:t>
      </w:r>
      <w:r w:rsidR="00B623DF">
        <w:rPr>
          <w:rFonts w:ascii="Times New Roman" w:eastAsia="Times New Roman" w:hAnsi="Times New Roman" w:cs="Times New Roman"/>
          <w:sz w:val="24"/>
          <w:szCs w:val="24"/>
        </w:rPr>
        <w:t xml:space="preserve">în următoarele </w:t>
      </w:r>
      <w:r w:rsidR="00475B63" w:rsidRPr="00E36A94">
        <w:rPr>
          <w:rFonts w:ascii="Times New Roman" w:eastAsia="Times New Roman" w:hAnsi="Times New Roman" w:cs="Times New Roman"/>
          <w:b/>
          <w:sz w:val="24"/>
          <w:szCs w:val="24"/>
        </w:rPr>
        <w:t>domenii de intervenții</w:t>
      </w:r>
      <w:r w:rsidR="00475B63" w:rsidRPr="00E36A94">
        <w:rPr>
          <w:rFonts w:ascii="Times New Roman" w:eastAsia="Times New Roman" w:hAnsi="Times New Roman" w:cs="Times New Roman"/>
          <w:sz w:val="24"/>
          <w:szCs w:val="24"/>
        </w:rPr>
        <w:t xml:space="preserve"> pentru perioada 2018-2023: </w:t>
      </w:r>
    </w:p>
    <w:p w14:paraId="4D408DAE" w14:textId="06888C61" w:rsidR="00B72BA7" w:rsidRPr="00A257FB" w:rsidRDefault="00B72BA7" w:rsidP="0054434C">
      <w:pPr>
        <w:spacing w:after="120" w:line="240" w:lineRule="auto"/>
        <w:jc w:val="both"/>
        <w:rPr>
          <w:rFonts w:ascii="Times New Roman" w:eastAsia="Times New Roman" w:hAnsi="Times New Roman" w:cs="Times New Roman"/>
          <w:sz w:val="24"/>
          <w:szCs w:val="24"/>
        </w:rPr>
      </w:pPr>
      <w:r w:rsidRPr="00A257FB">
        <w:rPr>
          <w:rFonts w:ascii="Times New Roman" w:eastAsia="Times New Roman" w:hAnsi="Times New Roman" w:cs="Times New Roman"/>
          <w:sz w:val="24"/>
          <w:szCs w:val="24"/>
        </w:rPr>
        <w:t xml:space="preserve">1) </w:t>
      </w:r>
      <w:r w:rsidR="00C32C39" w:rsidRPr="00A257FB">
        <w:rPr>
          <w:rFonts w:ascii="Times New Roman" w:eastAsia="Times New Roman" w:hAnsi="Times New Roman" w:cs="Times New Roman"/>
          <w:sz w:val="24"/>
          <w:szCs w:val="24"/>
        </w:rPr>
        <w:t>Mediul de afaceri TI competitiv</w:t>
      </w:r>
    </w:p>
    <w:p w14:paraId="023726EA" w14:textId="4523B94D" w:rsidR="00B72BA7" w:rsidRPr="00A257FB" w:rsidRDefault="00B72BA7" w:rsidP="0054434C">
      <w:pPr>
        <w:spacing w:after="120" w:line="240" w:lineRule="auto"/>
        <w:jc w:val="both"/>
        <w:rPr>
          <w:rFonts w:ascii="Times New Roman" w:eastAsia="Times New Roman" w:hAnsi="Times New Roman" w:cs="Times New Roman"/>
          <w:sz w:val="24"/>
          <w:szCs w:val="24"/>
        </w:rPr>
      </w:pPr>
      <w:r w:rsidRPr="00A257FB">
        <w:rPr>
          <w:rFonts w:ascii="Times New Roman" w:eastAsia="Times New Roman" w:hAnsi="Times New Roman" w:cs="Times New Roman"/>
          <w:sz w:val="24"/>
          <w:szCs w:val="24"/>
        </w:rPr>
        <w:t xml:space="preserve">2) </w:t>
      </w:r>
      <w:r w:rsidR="00C32C39" w:rsidRPr="00A257FB">
        <w:rPr>
          <w:rFonts w:ascii="Times New Roman" w:eastAsia="Times New Roman" w:hAnsi="Times New Roman" w:cs="Times New Roman"/>
          <w:sz w:val="24"/>
          <w:szCs w:val="24"/>
        </w:rPr>
        <w:t>Capitalul uman competitiv</w:t>
      </w:r>
      <w:r w:rsidR="00C32C39" w:rsidRPr="00A257FB">
        <w:rPr>
          <w:rFonts w:ascii="Times New Roman" w:eastAsia="Times New Roman" w:hAnsi="Times New Roman" w:cs="Times New Roman"/>
          <w:sz w:val="24"/>
          <w:szCs w:val="24"/>
        </w:rPr>
        <w:t xml:space="preserve"> </w:t>
      </w:r>
    </w:p>
    <w:p w14:paraId="42AE51E6" w14:textId="0089532D" w:rsidR="00B72BA7" w:rsidRPr="00A257FB" w:rsidRDefault="00B72BA7" w:rsidP="0054434C">
      <w:pPr>
        <w:spacing w:after="120" w:line="240" w:lineRule="auto"/>
        <w:jc w:val="both"/>
        <w:rPr>
          <w:rFonts w:ascii="Times New Roman" w:eastAsia="Times New Roman" w:hAnsi="Times New Roman" w:cs="Times New Roman"/>
          <w:sz w:val="24"/>
          <w:szCs w:val="24"/>
        </w:rPr>
      </w:pPr>
      <w:r w:rsidRPr="00A257FB">
        <w:rPr>
          <w:rFonts w:ascii="Times New Roman" w:eastAsia="Times New Roman" w:hAnsi="Times New Roman" w:cs="Times New Roman"/>
          <w:sz w:val="24"/>
          <w:szCs w:val="24"/>
        </w:rPr>
        <w:t xml:space="preserve">3) </w:t>
      </w:r>
      <w:r w:rsidR="0079416C" w:rsidRPr="00A257FB">
        <w:rPr>
          <w:rFonts w:ascii="Times New Roman" w:eastAsia="Times New Roman" w:hAnsi="Times New Roman" w:cs="Times New Roman"/>
          <w:sz w:val="24"/>
          <w:szCs w:val="24"/>
        </w:rPr>
        <w:t>Inovații</w:t>
      </w:r>
      <w:r w:rsidRPr="00A257FB">
        <w:rPr>
          <w:rFonts w:ascii="Times New Roman" w:eastAsia="Times New Roman" w:hAnsi="Times New Roman" w:cs="Times New Roman"/>
          <w:sz w:val="24"/>
          <w:szCs w:val="24"/>
        </w:rPr>
        <w:t xml:space="preserve"> bazate pe TIC</w:t>
      </w:r>
    </w:p>
    <w:p w14:paraId="1CA8A9D5" w14:textId="67FF216F" w:rsidR="001A39A3" w:rsidRPr="00A257FB" w:rsidRDefault="00B72BA7" w:rsidP="0054434C">
      <w:pPr>
        <w:spacing w:after="240" w:line="240" w:lineRule="auto"/>
        <w:jc w:val="both"/>
        <w:rPr>
          <w:rFonts w:ascii="Times New Roman" w:eastAsia="Times New Roman" w:hAnsi="Times New Roman" w:cs="Times New Roman"/>
          <w:sz w:val="24"/>
          <w:szCs w:val="24"/>
        </w:rPr>
      </w:pPr>
      <w:r w:rsidRPr="00A257FB">
        <w:rPr>
          <w:rFonts w:ascii="Times New Roman" w:eastAsia="Times New Roman" w:hAnsi="Times New Roman" w:cs="Times New Roman"/>
          <w:sz w:val="24"/>
          <w:szCs w:val="24"/>
        </w:rPr>
        <w:t>4) Suport pentru investiții și exporturi TI</w:t>
      </w:r>
      <w:r w:rsidR="00A257FB" w:rsidRPr="00A257FB">
        <w:rPr>
          <w:rFonts w:ascii="Times New Roman" w:eastAsia="Times New Roman" w:hAnsi="Times New Roman" w:cs="Times New Roman"/>
          <w:sz w:val="24"/>
          <w:szCs w:val="24"/>
        </w:rPr>
        <w:t>.</w:t>
      </w:r>
    </w:p>
    <w:p w14:paraId="388EEF71" w14:textId="77777777" w:rsidR="00C32C39" w:rsidRPr="00E36A94" w:rsidRDefault="00C32C39" w:rsidP="00C32C39">
      <w:pPr>
        <w:pStyle w:val="ListParagraph"/>
        <w:numPr>
          <w:ilvl w:val="0"/>
          <w:numId w:val="20"/>
        </w:numPr>
        <w:spacing w:before="120" w:after="120" w:line="240" w:lineRule="auto"/>
        <w:ind w:left="630" w:hanging="630"/>
        <w:jc w:val="both"/>
        <w:rPr>
          <w:rFonts w:ascii="Times New Roman" w:eastAsia="Times New Roman" w:hAnsi="Times New Roman" w:cs="Times New Roman"/>
          <w:sz w:val="24"/>
          <w:szCs w:val="24"/>
        </w:rPr>
      </w:pPr>
      <w:r w:rsidRPr="00E36A94">
        <w:rPr>
          <w:rFonts w:ascii="Times New Roman" w:eastAsia="Times New Roman" w:hAnsi="Times New Roman" w:cs="Times New Roman"/>
          <w:b/>
          <w:sz w:val="24"/>
          <w:szCs w:val="24"/>
        </w:rPr>
        <w:t xml:space="preserve">Mediul de afaceri TI competitiv </w:t>
      </w:r>
    </w:p>
    <w:p w14:paraId="5E8488B5" w14:textId="77777777" w:rsidR="00C32C39" w:rsidRPr="00E36A94" w:rsidRDefault="00C32C39" w:rsidP="00C32C39">
      <w:pPr>
        <w:spacing w:after="120" w:line="240" w:lineRule="auto"/>
        <w:jc w:val="both"/>
        <w:rPr>
          <w:rFonts w:ascii="Times New Roman" w:eastAsia="Times New Roman" w:hAnsi="Times New Roman" w:cs="Times New Roman"/>
          <w:sz w:val="24"/>
          <w:szCs w:val="24"/>
        </w:rPr>
      </w:pPr>
      <w:r w:rsidRPr="00E36A94">
        <w:rPr>
          <w:rFonts w:ascii="Times New Roman" w:eastAsia="Times New Roman" w:hAnsi="Times New Roman" w:cs="Times New Roman"/>
          <w:b/>
          <w:sz w:val="24"/>
          <w:szCs w:val="24"/>
        </w:rPr>
        <w:t xml:space="preserve">Obiective specifice </w:t>
      </w:r>
      <w:r w:rsidRPr="00E36A94">
        <w:rPr>
          <w:rFonts w:ascii="Times New Roman" w:eastAsia="Times New Roman" w:hAnsi="Times New Roman" w:cs="Times New Roman"/>
          <w:i/>
          <w:sz w:val="24"/>
          <w:szCs w:val="24"/>
        </w:rPr>
        <w:t>către anul 2023</w:t>
      </w:r>
      <w:r w:rsidRPr="00E36A94">
        <w:rPr>
          <w:rFonts w:ascii="Times New Roman" w:eastAsia="Times New Roman" w:hAnsi="Times New Roman" w:cs="Times New Roman"/>
          <w:b/>
          <w:sz w:val="24"/>
          <w:szCs w:val="24"/>
        </w:rPr>
        <w:t>:</w:t>
      </w:r>
      <w:r w:rsidRPr="00E36A94">
        <w:rPr>
          <w:rFonts w:ascii="Times New Roman" w:eastAsia="Times New Roman" w:hAnsi="Times New Roman" w:cs="Times New Roman"/>
          <w:sz w:val="24"/>
          <w:szCs w:val="24"/>
        </w:rPr>
        <w:t xml:space="preserve"> </w:t>
      </w:r>
    </w:p>
    <w:p w14:paraId="1D7D6C9C" w14:textId="77777777" w:rsidR="00C32C39" w:rsidRPr="00E36A94" w:rsidRDefault="00C32C39" w:rsidP="00C32C39">
      <w:pPr>
        <w:pStyle w:val="ListParagraph"/>
        <w:numPr>
          <w:ilvl w:val="0"/>
          <w:numId w:val="4"/>
        </w:numPr>
        <w:spacing w:after="120"/>
        <w:jc w:val="both"/>
        <w:rPr>
          <w:rFonts w:ascii="Times New Roman" w:eastAsia="Times New Roman" w:hAnsi="Times New Roman" w:cs="Times New Roman"/>
          <w:i/>
          <w:sz w:val="24"/>
          <w:szCs w:val="24"/>
        </w:rPr>
      </w:pPr>
      <w:r w:rsidRPr="00E36A94">
        <w:rPr>
          <w:rFonts w:ascii="Times New Roman" w:eastAsia="Times New Roman" w:hAnsi="Times New Roman" w:cs="Times New Roman"/>
          <w:i/>
          <w:sz w:val="24"/>
          <w:szCs w:val="24"/>
        </w:rPr>
        <w:t>Sporirea numărului companiilor TI mari până la 10 companii</w:t>
      </w:r>
    </w:p>
    <w:p w14:paraId="6FBC62E1" w14:textId="77777777" w:rsidR="00C32C39" w:rsidRPr="00E36A94" w:rsidRDefault="00C32C39" w:rsidP="00C32C39">
      <w:pPr>
        <w:pStyle w:val="ListParagraph"/>
        <w:numPr>
          <w:ilvl w:val="0"/>
          <w:numId w:val="4"/>
        </w:numPr>
        <w:spacing w:after="120"/>
        <w:jc w:val="both"/>
        <w:rPr>
          <w:rFonts w:ascii="Times New Roman" w:eastAsia="Times New Roman" w:hAnsi="Times New Roman" w:cs="Times New Roman"/>
          <w:i/>
          <w:sz w:val="24"/>
          <w:szCs w:val="24"/>
        </w:rPr>
      </w:pPr>
      <w:r w:rsidRPr="00E36A94">
        <w:rPr>
          <w:rFonts w:ascii="Times New Roman" w:eastAsia="Times New Roman" w:hAnsi="Times New Roman" w:cs="Times New Roman"/>
          <w:i/>
          <w:sz w:val="24"/>
          <w:szCs w:val="24"/>
        </w:rPr>
        <w:t xml:space="preserve">Sporirea numărului companiilor TI mici și mijlocii până la 1000 de companii </w:t>
      </w:r>
    </w:p>
    <w:p w14:paraId="292A3326" w14:textId="77777777" w:rsidR="00C32C39" w:rsidRPr="00E36A94" w:rsidRDefault="00C32C39" w:rsidP="00C32C39">
      <w:pPr>
        <w:pStyle w:val="ListParagraph"/>
        <w:numPr>
          <w:ilvl w:val="0"/>
          <w:numId w:val="4"/>
        </w:numPr>
        <w:spacing w:after="1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Creșterea</w:t>
      </w:r>
      <w:r w:rsidRPr="00E36A94">
        <w:rPr>
          <w:rFonts w:ascii="Times New Roman" w:eastAsia="Times New Roman" w:hAnsi="Times New Roman" w:cs="Times New Roman"/>
          <w:i/>
          <w:sz w:val="24"/>
          <w:szCs w:val="24"/>
        </w:rPr>
        <w:t xml:space="preserve"> cifrei de afaceri a companiilor din sectorul TI până la </w:t>
      </w:r>
      <w:r>
        <w:rPr>
          <w:rFonts w:ascii="Times New Roman" w:eastAsia="Times New Roman" w:hAnsi="Times New Roman" w:cs="Times New Roman"/>
          <w:i/>
          <w:sz w:val="24"/>
          <w:szCs w:val="24"/>
        </w:rPr>
        <w:t>270 mil</w:t>
      </w:r>
      <w:r w:rsidRPr="00E36A94">
        <w:rPr>
          <w:rFonts w:ascii="Times New Roman" w:eastAsia="Times New Roman" w:hAnsi="Times New Roman" w:cs="Times New Roman"/>
          <w:i/>
          <w:sz w:val="24"/>
          <w:szCs w:val="24"/>
        </w:rPr>
        <w:t xml:space="preserve">. USD </w:t>
      </w:r>
    </w:p>
    <w:p w14:paraId="52F8F160" w14:textId="77777777" w:rsidR="00C32C39" w:rsidRDefault="00C32C39" w:rsidP="00C32C39">
      <w:pPr>
        <w:pStyle w:val="ListParagraph"/>
        <w:numPr>
          <w:ilvl w:val="0"/>
          <w:numId w:val="4"/>
        </w:numPr>
        <w:spacing w:after="120"/>
        <w:jc w:val="both"/>
        <w:rPr>
          <w:rFonts w:ascii="Times New Roman" w:eastAsia="Times New Roman" w:hAnsi="Times New Roman" w:cs="Times New Roman"/>
          <w:i/>
          <w:sz w:val="24"/>
          <w:szCs w:val="24"/>
        </w:rPr>
      </w:pPr>
      <w:r w:rsidRPr="00E36A94">
        <w:rPr>
          <w:rFonts w:ascii="Times New Roman" w:eastAsia="Times New Roman" w:hAnsi="Times New Roman" w:cs="Times New Roman"/>
          <w:i/>
          <w:sz w:val="24"/>
          <w:szCs w:val="24"/>
        </w:rPr>
        <w:t>Prezența a cinci centre de inovație în domeniul TI</w:t>
      </w:r>
    </w:p>
    <w:p w14:paraId="3350CF09" w14:textId="77777777" w:rsidR="00C32C39" w:rsidRPr="00E36A94" w:rsidRDefault="00C32C39" w:rsidP="00C32C39">
      <w:pPr>
        <w:pStyle w:val="ListParagraph"/>
        <w:numPr>
          <w:ilvl w:val="0"/>
          <w:numId w:val="4"/>
        </w:numPr>
        <w:spacing w:after="1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Creșterea i</w:t>
      </w:r>
      <w:r w:rsidRPr="00D95A9C">
        <w:rPr>
          <w:rFonts w:ascii="Times New Roman" w:eastAsia="Times New Roman" w:hAnsi="Times New Roman" w:cs="Times New Roman"/>
          <w:i/>
          <w:sz w:val="24"/>
          <w:szCs w:val="24"/>
        </w:rPr>
        <w:t>nvestiții</w:t>
      </w:r>
      <w:r>
        <w:rPr>
          <w:rFonts w:ascii="Times New Roman" w:eastAsia="Times New Roman" w:hAnsi="Times New Roman" w:cs="Times New Roman"/>
          <w:i/>
          <w:sz w:val="24"/>
          <w:szCs w:val="24"/>
        </w:rPr>
        <w:t>lor</w:t>
      </w:r>
      <w:r w:rsidRPr="00D95A9C">
        <w:rPr>
          <w:rFonts w:ascii="Times New Roman" w:eastAsia="Times New Roman" w:hAnsi="Times New Roman" w:cs="Times New Roman"/>
          <w:i/>
          <w:sz w:val="24"/>
          <w:szCs w:val="24"/>
        </w:rPr>
        <w:t xml:space="preserve"> publice și private </w:t>
      </w:r>
      <w:r>
        <w:rPr>
          <w:rFonts w:ascii="Times New Roman" w:eastAsia="Times New Roman" w:hAnsi="Times New Roman" w:cs="Times New Roman"/>
          <w:i/>
          <w:sz w:val="24"/>
          <w:szCs w:val="24"/>
        </w:rPr>
        <w:t>în TI cu cca. 100 mil</w:t>
      </w:r>
      <w:r w:rsidRPr="00D95A9C">
        <w:rPr>
          <w:rFonts w:ascii="Times New Roman" w:eastAsia="Times New Roman" w:hAnsi="Times New Roman" w:cs="Times New Roman"/>
          <w:i/>
          <w:sz w:val="24"/>
          <w:szCs w:val="24"/>
        </w:rPr>
        <w:t>. USD în următorii 5 ani</w:t>
      </w:r>
    </w:p>
    <w:p w14:paraId="3E2359F8" w14:textId="77777777" w:rsidR="00C32C39" w:rsidRPr="00B40802" w:rsidRDefault="00C32C39" w:rsidP="00C32C39">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 toate că</w:t>
      </w:r>
      <w:r w:rsidRPr="00B40802">
        <w:rPr>
          <w:rFonts w:ascii="Times New Roman" w:eastAsia="Times New Roman" w:hAnsi="Times New Roman" w:cs="Times New Roman"/>
          <w:sz w:val="24"/>
          <w:szCs w:val="24"/>
        </w:rPr>
        <w:t xml:space="preserve"> Moldova a urcat rapid în clasamentul indicelui de afaceri, percepția de corupție și instabilitate politică trebuie abordată prin elaborarea unor legi mai stricte. Agenda Integrarea Europeană conține mai multe politici și reforme pe termen scurt, care urmează să creeze un mediu de afaceri și climat investițional favorabil. </w:t>
      </w:r>
    </w:p>
    <w:p w14:paraId="6D3F66CB" w14:textId="77777777" w:rsidR="00C32C39" w:rsidRDefault="00C32C39" w:rsidP="00C32C39">
      <w:pPr>
        <w:spacing w:after="120"/>
        <w:jc w:val="both"/>
        <w:rPr>
          <w:rFonts w:ascii="Times New Roman" w:eastAsia="Times New Roman" w:hAnsi="Times New Roman" w:cs="Times New Roman"/>
          <w:sz w:val="24"/>
          <w:szCs w:val="24"/>
        </w:rPr>
      </w:pPr>
      <w:r w:rsidRPr="00B40802">
        <w:rPr>
          <w:rFonts w:ascii="Times New Roman" w:eastAsia="Times New Roman" w:hAnsi="Times New Roman" w:cs="Times New Roman"/>
          <w:sz w:val="24"/>
          <w:szCs w:val="24"/>
        </w:rPr>
        <w:lastRenderedPageBreak/>
        <w:t>Dezvoltarea și funcționarea parcului TI ar trebui să fie element prioritar de acțiune pentru ca guvernul să fie considerat un candidat serios pentru investiții internaționale în sectorul tehnologiei informației.</w:t>
      </w:r>
    </w:p>
    <w:p w14:paraId="34576292" w14:textId="77777777" w:rsidR="00C32C39" w:rsidRPr="00E36A94" w:rsidRDefault="00C32C39" w:rsidP="00C32C39">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Deși domeniul tehnologiilor informaționale a avut o dinamică ascendentă în ultimii ani, Ministerul Tehnologiei Informației și Comunicațiilor (actual MEI) s-a pomenit deseori în situația de a nu avea suficiente instrumente de implementare a politicilor elaborate. Crearea unei entități publice ce s-ar preocupa de transpunerea în practică a diferitor proiecte / politici ar îmbunătăți situația și ar servi un bun liant între deținătorii de interese din sector. De altfel, ideea de creare a unei asemenea structuri este nuanțată de mai mulți ani și se bucură de suport din partea comunității donatorilor, care sunt dispuși să contribuie la fortificarea instituției. Preliminar, viziunea MEI și a donatorilor (Proiectul de Competitivitate) despre crearea unei unități de implementare are în vedere o structură cu un număr minim de personal (2-3 persoane) și respectiv cu un impact bugetar minim, dar cu mandat clar de a putea atrage fonduri externe pentru a putea amplifica efectele pozitive pentru sector.</w:t>
      </w:r>
    </w:p>
    <w:p w14:paraId="176D5960" w14:textId="77777777" w:rsidR="00C32C39" w:rsidRPr="00E36A94" w:rsidRDefault="00C32C39" w:rsidP="00C32C39">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Absolvenții facultăților TI au abilități antreprenoriale reduse, iar cunoștințele obținute sunt orientate aproape în exclusivitate spre rezolvarea problemelor tehnice. Astfel, inițierea unei afaceri nu este considerată ca o opțiune fezabilă de către marea majoritate dintre ei. Pentru a spori numărul de companii nou-create e absolut necesar de a crea incubatoare TI, precum și de a explica beneficiile acestora studenților încă de la ciclul I.</w:t>
      </w:r>
    </w:p>
    <w:p w14:paraId="590A85A6" w14:textId="77777777" w:rsidR="00C32C39" w:rsidRPr="00E36A94" w:rsidRDefault="00C32C39" w:rsidP="00C32C39">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Sectorul TI </w:t>
      </w:r>
      <w:r>
        <w:rPr>
          <w:rFonts w:ascii="Times New Roman" w:eastAsia="Times New Roman" w:hAnsi="Times New Roman" w:cs="Times New Roman"/>
          <w:sz w:val="24"/>
          <w:szCs w:val="24"/>
        </w:rPr>
        <w:t>manifestă</w:t>
      </w:r>
      <w:r w:rsidRPr="00E36A94">
        <w:rPr>
          <w:rFonts w:ascii="Times New Roman" w:eastAsia="Times New Roman" w:hAnsi="Times New Roman" w:cs="Times New Roman"/>
          <w:sz w:val="24"/>
          <w:szCs w:val="24"/>
        </w:rPr>
        <w:t xml:space="preserve"> o evoluție dinamică, iar adoptarea tehnologiilor noi este dificilă pentru companiile mici, din lipsa nu doar a resurselor financiare, cât mai degrabă a celor umane. Centrele de excelență ar urma să </w:t>
      </w:r>
      <w:r>
        <w:rPr>
          <w:rFonts w:ascii="Times New Roman" w:eastAsia="Times New Roman" w:hAnsi="Times New Roman" w:cs="Times New Roman"/>
          <w:sz w:val="24"/>
          <w:szCs w:val="24"/>
        </w:rPr>
        <w:t xml:space="preserve">faciliteze </w:t>
      </w:r>
      <w:r w:rsidRPr="00E36A94">
        <w:rPr>
          <w:rFonts w:ascii="Times New Roman" w:eastAsia="Times New Roman" w:hAnsi="Times New Roman" w:cs="Times New Roman"/>
          <w:sz w:val="24"/>
          <w:szCs w:val="24"/>
        </w:rPr>
        <w:t xml:space="preserve">eforturile companiilor mici prin organizarea a diverse întâlniri, conferințe, </w:t>
      </w:r>
      <w:proofErr w:type="spellStart"/>
      <w:r w:rsidRPr="00E36A94">
        <w:rPr>
          <w:rFonts w:ascii="Times New Roman" w:eastAsia="Times New Roman" w:hAnsi="Times New Roman" w:cs="Times New Roman"/>
          <w:sz w:val="24"/>
          <w:szCs w:val="24"/>
        </w:rPr>
        <w:t>workshopuri</w:t>
      </w:r>
      <w:proofErr w:type="spellEnd"/>
      <w:r w:rsidRPr="00E36A94">
        <w:rPr>
          <w:rFonts w:ascii="Times New Roman" w:eastAsia="Times New Roman" w:hAnsi="Times New Roman" w:cs="Times New Roman"/>
          <w:sz w:val="24"/>
          <w:szCs w:val="24"/>
        </w:rPr>
        <w:t xml:space="preserve"> pentru schimb de experiență și transferare de tehnologii.</w:t>
      </w:r>
    </w:p>
    <w:p w14:paraId="03B61FFA" w14:textId="77777777" w:rsidR="00C32C39" w:rsidRPr="00E36A94" w:rsidRDefault="00C32C39" w:rsidP="00C32C39">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Companiile mici nu dispun de resurse pentru finanțarea proiectelor cu perioadă de recuperare mai îndelungată, iar cele mari sunt reticente în a investi în proiecte cu risc ridicat de eșec. Astfel, multe oportunități rămân nevalorificate. Crearea unui cadru de reglementare a finanțării </w:t>
      </w:r>
      <w:proofErr w:type="spellStart"/>
      <w:r w:rsidRPr="00E36A94">
        <w:rPr>
          <w:rFonts w:ascii="Times New Roman" w:eastAsia="Times New Roman" w:hAnsi="Times New Roman" w:cs="Times New Roman"/>
          <w:sz w:val="24"/>
          <w:szCs w:val="24"/>
        </w:rPr>
        <w:t>venture</w:t>
      </w:r>
      <w:proofErr w:type="spellEnd"/>
      <w:r w:rsidRPr="00E36A94">
        <w:rPr>
          <w:rFonts w:ascii="Times New Roman" w:eastAsia="Times New Roman" w:hAnsi="Times New Roman" w:cs="Times New Roman"/>
          <w:sz w:val="24"/>
          <w:szCs w:val="24"/>
        </w:rPr>
        <w:t xml:space="preserve"> sau business angel, ar crește considerabil numărul de proiecte promițătoare valorificate în interiorul țării.</w:t>
      </w:r>
    </w:p>
    <w:p w14:paraId="7CF57828" w14:textId="77777777" w:rsidR="00C32C39" w:rsidRPr="00A834E6" w:rsidRDefault="00C32C39" w:rsidP="00C32C39">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Costurile tranzacționale relativ înalte pentru achitările cu cardul, de 2-4% din suma cumpărăturilor, descurajează utilizarea cardurilor bancare ca mijloc de plată. Este slab dezvoltat și comerțul online, în mare parte din cauza cunoașterii slabe a procedurii respective de către mediul de afaceri. În rezultat, o parte considerabilă din piața locală nu este valorificată de către companiile TI.</w:t>
      </w:r>
      <w:r>
        <w:rPr>
          <w:rFonts w:ascii="Times New Roman" w:eastAsia="Times New Roman" w:hAnsi="Times New Roman" w:cs="Times New Roman"/>
          <w:sz w:val="24"/>
          <w:szCs w:val="24"/>
        </w:rPr>
        <w:t xml:space="preserve"> </w:t>
      </w:r>
      <w:r w:rsidRPr="00E36A94">
        <w:rPr>
          <w:rFonts w:ascii="Times New Roman" w:eastAsia="Times New Roman" w:hAnsi="Times New Roman" w:cs="Times New Roman"/>
          <w:sz w:val="24"/>
          <w:szCs w:val="24"/>
        </w:rPr>
        <w:t xml:space="preserve">În condițiile penuriei de cadre pe piața locală, multe companii cheltuie resurse importante pentru activități de angajare. </w:t>
      </w:r>
    </w:p>
    <w:p w14:paraId="700F9B87" w14:textId="77777777" w:rsidR="00C32C39" w:rsidRPr="00CD7CB3" w:rsidRDefault="00C32C39" w:rsidP="00C32C39">
      <w:pPr>
        <w:spacing w:after="120"/>
        <w:jc w:val="both"/>
        <w:rPr>
          <w:rFonts w:ascii="Times New Roman" w:eastAsia="Times New Roman" w:hAnsi="Times New Roman" w:cs="Times New Roman"/>
          <w:b/>
          <w:sz w:val="24"/>
          <w:szCs w:val="24"/>
        </w:rPr>
      </w:pPr>
      <w:r w:rsidRPr="00E36A94">
        <w:rPr>
          <w:rFonts w:ascii="Times New Roman" w:eastAsia="Times New Roman" w:hAnsi="Times New Roman" w:cs="Times New Roman"/>
          <w:b/>
          <w:sz w:val="24"/>
          <w:szCs w:val="24"/>
        </w:rPr>
        <w:t>Intervenții planificate:</w:t>
      </w:r>
    </w:p>
    <w:p w14:paraId="21CE73C5" w14:textId="4D58D258" w:rsidR="00C32C39" w:rsidRDefault="00C32C39" w:rsidP="00C32C39">
      <w:pPr>
        <w:pStyle w:val="ListParagraph"/>
        <w:numPr>
          <w:ilvl w:val="1"/>
          <w:numId w:val="31"/>
        </w:numPr>
        <w:spacing w:after="0"/>
        <w:jc w:val="both"/>
        <w:rPr>
          <w:rFonts w:ascii="Times New Roman" w:eastAsia="Times New Roman" w:hAnsi="Times New Roman" w:cs="Times New Roman"/>
          <w:color w:val="auto"/>
          <w:sz w:val="24"/>
          <w:szCs w:val="24"/>
        </w:rPr>
      </w:pPr>
      <w:r w:rsidRPr="00C32C39">
        <w:rPr>
          <w:rFonts w:ascii="Times New Roman" w:eastAsia="Times New Roman" w:hAnsi="Times New Roman" w:cs="Times New Roman"/>
          <w:color w:val="auto"/>
          <w:sz w:val="24"/>
          <w:szCs w:val="24"/>
        </w:rPr>
        <w:t xml:space="preserve">Valorificarea oportunităților oferite de către parcurile TI virtuale, inclusiv prin atragerea </w:t>
      </w:r>
      <w:proofErr w:type="spellStart"/>
      <w:r w:rsidRPr="00C32C39">
        <w:rPr>
          <w:rFonts w:ascii="Times New Roman" w:eastAsia="Times New Roman" w:hAnsi="Times New Roman" w:cs="Times New Roman"/>
          <w:color w:val="auto"/>
          <w:sz w:val="24"/>
          <w:szCs w:val="24"/>
        </w:rPr>
        <w:t>freelanceri</w:t>
      </w:r>
      <w:proofErr w:type="spellEnd"/>
      <w:r w:rsidRPr="00C32C39">
        <w:rPr>
          <w:rFonts w:ascii="Times New Roman" w:eastAsia="Times New Roman" w:hAnsi="Times New Roman" w:cs="Times New Roman"/>
          <w:color w:val="auto"/>
          <w:sz w:val="24"/>
          <w:szCs w:val="24"/>
        </w:rPr>
        <w:t>-lor în parcurile TI</w:t>
      </w:r>
    </w:p>
    <w:p w14:paraId="083C0B6F" w14:textId="77777777" w:rsidR="00C32C39" w:rsidRDefault="00C32C39" w:rsidP="00C32C39">
      <w:pPr>
        <w:pStyle w:val="ListParagraph"/>
        <w:numPr>
          <w:ilvl w:val="1"/>
          <w:numId w:val="31"/>
        </w:numPr>
        <w:spacing w:after="0"/>
        <w:jc w:val="both"/>
        <w:rPr>
          <w:rFonts w:ascii="Times New Roman" w:eastAsia="Times New Roman" w:hAnsi="Times New Roman" w:cs="Times New Roman"/>
          <w:color w:val="auto"/>
          <w:sz w:val="24"/>
          <w:szCs w:val="24"/>
        </w:rPr>
      </w:pPr>
      <w:r w:rsidRPr="00C32C39">
        <w:rPr>
          <w:rFonts w:ascii="Times New Roman" w:eastAsia="Times New Roman" w:hAnsi="Times New Roman" w:cs="Times New Roman"/>
          <w:color w:val="auto"/>
          <w:sz w:val="24"/>
          <w:szCs w:val="24"/>
        </w:rPr>
        <w:t>Crearea unei unități de implementare a proiectelor / politicilor în domeniul TI</w:t>
      </w:r>
    </w:p>
    <w:p w14:paraId="028F6404" w14:textId="77777777" w:rsidR="00C32C39" w:rsidRDefault="00C32C39" w:rsidP="00C32C39">
      <w:pPr>
        <w:pStyle w:val="ListParagraph"/>
        <w:numPr>
          <w:ilvl w:val="1"/>
          <w:numId w:val="31"/>
        </w:numPr>
        <w:spacing w:after="0"/>
        <w:jc w:val="both"/>
        <w:rPr>
          <w:rFonts w:ascii="Times New Roman" w:eastAsia="Times New Roman" w:hAnsi="Times New Roman" w:cs="Times New Roman"/>
          <w:color w:val="auto"/>
          <w:sz w:val="24"/>
          <w:szCs w:val="24"/>
        </w:rPr>
      </w:pPr>
      <w:r w:rsidRPr="00C32C39">
        <w:rPr>
          <w:rFonts w:ascii="Times New Roman" w:eastAsia="Times New Roman" w:hAnsi="Times New Roman" w:cs="Times New Roman"/>
          <w:color w:val="auto"/>
          <w:sz w:val="24"/>
          <w:szCs w:val="24"/>
        </w:rPr>
        <w:t xml:space="preserve">Facilitarea accesului la finanțarea </w:t>
      </w:r>
      <w:proofErr w:type="spellStart"/>
      <w:r w:rsidRPr="00C32C39">
        <w:rPr>
          <w:rFonts w:ascii="Times New Roman" w:eastAsia="Times New Roman" w:hAnsi="Times New Roman" w:cs="Times New Roman"/>
          <w:color w:val="auto"/>
          <w:sz w:val="24"/>
          <w:szCs w:val="24"/>
        </w:rPr>
        <w:t>venture</w:t>
      </w:r>
      <w:proofErr w:type="spellEnd"/>
      <w:r w:rsidRPr="00C32C39">
        <w:rPr>
          <w:rFonts w:ascii="Times New Roman" w:eastAsia="Times New Roman" w:hAnsi="Times New Roman" w:cs="Times New Roman"/>
          <w:color w:val="auto"/>
          <w:sz w:val="24"/>
          <w:szCs w:val="24"/>
        </w:rPr>
        <w:t xml:space="preserve"> și business angel prin promovarea Legii privind fondurile cu capital de risc</w:t>
      </w:r>
    </w:p>
    <w:p w14:paraId="51FC93E4" w14:textId="77777777" w:rsidR="00C32C39" w:rsidRPr="00C32C39" w:rsidRDefault="00C32C39" w:rsidP="00C32C39">
      <w:pPr>
        <w:pStyle w:val="ListParagraph"/>
        <w:numPr>
          <w:ilvl w:val="1"/>
          <w:numId w:val="31"/>
        </w:numPr>
        <w:spacing w:after="0"/>
        <w:jc w:val="both"/>
        <w:rPr>
          <w:rFonts w:ascii="Times New Roman" w:eastAsia="Times New Roman" w:hAnsi="Times New Roman" w:cs="Times New Roman"/>
          <w:color w:val="auto"/>
          <w:sz w:val="24"/>
          <w:szCs w:val="24"/>
        </w:rPr>
      </w:pPr>
      <w:r w:rsidRPr="00C32C39">
        <w:rPr>
          <w:rFonts w:ascii="Times New Roman" w:eastAsia="Times New Roman" w:hAnsi="Times New Roman" w:cs="Times New Roman"/>
          <w:color w:val="auto"/>
          <w:sz w:val="24"/>
          <w:szCs w:val="24"/>
        </w:rPr>
        <w:t>Stimularea atragerii companiilor TI locale la realizarea proiectelor în diverse sectoare ale economiei prin:</w:t>
      </w:r>
    </w:p>
    <w:p w14:paraId="61C272A3" w14:textId="77777777" w:rsidR="00C32C39" w:rsidRPr="00DE5A81" w:rsidRDefault="00C32C39" w:rsidP="00C32C39">
      <w:pPr>
        <w:pStyle w:val="ListParagraph"/>
        <w:spacing w:after="0"/>
        <w:jc w:val="both"/>
        <w:rPr>
          <w:rFonts w:ascii="Times New Roman" w:eastAsia="Times New Roman" w:hAnsi="Times New Roman" w:cs="Times New Roman"/>
          <w:color w:val="auto"/>
          <w:sz w:val="24"/>
          <w:szCs w:val="24"/>
        </w:rPr>
      </w:pPr>
      <w:r w:rsidRPr="00DE5A81">
        <w:rPr>
          <w:rFonts w:ascii="Times New Roman" w:eastAsia="Times New Roman" w:hAnsi="Times New Roman" w:cs="Times New Roman"/>
          <w:color w:val="auto"/>
          <w:sz w:val="24"/>
          <w:szCs w:val="24"/>
        </w:rPr>
        <w:t>- crearea unei platforme de comunicare a soluțiilor,</w:t>
      </w:r>
    </w:p>
    <w:p w14:paraId="1745498B" w14:textId="183E6191" w:rsidR="00C32C39" w:rsidRPr="00C32C39" w:rsidRDefault="00C32C39" w:rsidP="00C32C39">
      <w:pPr>
        <w:pStyle w:val="ListParagraph"/>
        <w:spacing w:after="0"/>
        <w:jc w:val="both"/>
        <w:rPr>
          <w:rFonts w:ascii="Times New Roman" w:eastAsia="Times New Roman" w:hAnsi="Times New Roman" w:cs="Times New Roman"/>
          <w:color w:val="auto"/>
          <w:sz w:val="24"/>
          <w:szCs w:val="24"/>
        </w:rPr>
      </w:pPr>
      <w:r w:rsidRPr="00DE5A81">
        <w:rPr>
          <w:rFonts w:ascii="Times New Roman" w:eastAsia="Times New Roman" w:hAnsi="Times New Roman" w:cs="Times New Roman"/>
          <w:color w:val="auto"/>
          <w:sz w:val="24"/>
          <w:szCs w:val="24"/>
        </w:rPr>
        <w:lastRenderedPageBreak/>
        <w:t>-</w:t>
      </w:r>
      <w:r>
        <w:rPr>
          <w:rFonts w:ascii="Times New Roman" w:eastAsia="Times New Roman" w:hAnsi="Times New Roman" w:cs="Times New Roman"/>
          <w:color w:val="auto"/>
          <w:sz w:val="24"/>
          <w:szCs w:val="24"/>
        </w:rPr>
        <w:t xml:space="preserve"> </w:t>
      </w:r>
      <w:r w:rsidRPr="00DE5A81">
        <w:rPr>
          <w:rFonts w:ascii="Times New Roman" w:eastAsia="Times New Roman" w:hAnsi="Times New Roman" w:cs="Times New Roman"/>
          <w:color w:val="auto"/>
          <w:sz w:val="24"/>
          <w:szCs w:val="24"/>
        </w:rPr>
        <w:t>acordarea de către ODIMM a unor granturi mici pentru proiecte investiționale de creștere a productivității cu ajutorul tehnologiilor TI</w:t>
      </w:r>
    </w:p>
    <w:p w14:paraId="5F944543" w14:textId="5D34DF17" w:rsidR="00C32C39" w:rsidRPr="00C32C39" w:rsidRDefault="00C32C39" w:rsidP="00C32C39">
      <w:pPr>
        <w:pStyle w:val="ListParagraph"/>
        <w:numPr>
          <w:ilvl w:val="1"/>
          <w:numId w:val="31"/>
        </w:numPr>
        <w:spacing w:after="0"/>
        <w:jc w:val="both"/>
        <w:rPr>
          <w:rFonts w:ascii="Times New Roman" w:eastAsia="Times New Roman" w:hAnsi="Times New Roman" w:cs="Times New Roman"/>
          <w:color w:val="auto"/>
          <w:sz w:val="24"/>
          <w:szCs w:val="24"/>
        </w:rPr>
      </w:pPr>
      <w:r w:rsidRPr="00C32C39">
        <w:rPr>
          <w:rFonts w:ascii="Times New Roman" w:eastAsia="Times New Roman" w:hAnsi="Times New Roman" w:cs="Times New Roman"/>
          <w:color w:val="auto"/>
          <w:sz w:val="24"/>
          <w:szCs w:val="24"/>
        </w:rPr>
        <w:t>Stimularea dezvoltării platformei de achiziții electronice publice</w:t>
      </w:r>
    </w:p>
    <w:p w14:paraId="56320D4E" w14:textId="77777777" w:rsidR="00C32C39" w:rsidRPr="00DE5A81" w:rsidRDefault="00C32C39" w:rsidP="00C32C39">
      <w:pPr>
        <w:pStyle w:val="ListParagraph"/>
        <w:numPr>
          <w:ilvl w:val="1"/>
          <w:numId w:val="31"/>
        </w:numPr>
        <w:spacing w:after="0"/>
        <w:jc w:val="both"/>
        <w:rPr>
          <w:rFonts w:ascii="Times New Roman" w:eastAsia="Times New Roman" w:hAnsi="Times New Roman" w:cs="Times New Roman"/>
          <w:color w:val="auto"/>
          <w:sz w:val="24"/>
          <w:szCs w:val="24"/>
        </w:rPr>
      </w:pPr>
      <w:r w:rsidRPr="00A834E6">
        <w:rPr>
          <w:rFonts w:ascii="Times New Roman" w:eastAsia="Times New Roman" w:hAnsi="Times New Roman" w:cs="Times New Roman"/>
          <w:color w:val="auto"/>
          <w:sz w:val="24"/>
          <w:szCs w:val="24"/>
        </w:rPr>
        <w:t xml:space="preserve">Crearea unei platforme web pentru socializarea profesioniștilor TI din Republica Moldova </w:t>
      </w:r>
    </w:p>
    <w:p w14:paraId="59354DBD" w14:textId="77777777" w:rsidR="00C32C39" w:rsidRPr="00DE5A81" w:rsidRDefault="00C32C39" w:rsidP="00C32C39">
      <w:pPr>
        <w:pStyle w:val="ListParagraph"/>
        <w:numPr>
          <w:ilvl w:val="1"/>
          <w:numId w:val="31"/>
        </w:numPr>
        <w:spacing w:after="0"/>
        <w:jc w:val="both"/>
        <w:rPr>
          <w:rFonts w:ascii="Times New Roman" w:eastAsia="Times New Roman" w:hAnsi="Times New Roman" w:cs="Times New Roman"/>
          <w:color w:val="auto"/>
          <w:sz w:val="24"/>
          <w:szCs w:val="24"/>
        </w:rPr>
      </w:pPr>
      <w:r w:rsidRPr="00DE5A81">
        <w:rPr>
          <w:rFonts w:ascii="Times New Roman" w:eastAsia="Times New Roman" w:hAnsi="Times New Roman" w:cs="Times New Roman"/>
          <w:color w:val="auto"/>
          <w:sz w:val="24"/>
          <w:szCs w:val="24"/>
        </w:rPr>
        <w:t>Crearea rețelei naționale</w:t>
      </w:r>
      <w:r>
        <w:rPr>
          <w:rFonts w:ascii="Times New Roman" w:eastAsia="Times New Roman" w:hAnsi="Times New Roman" w:cs="Times New Roman"/>
          <w:color w:val="auto"/>
          <w:sz w:val="24"/>
          <w:szCs w:val="24"/>
        </w:rPr>
        <w:t xml:space="preserve"> de Centre de excelență în TIC </w:t>
      </w:r>
      <w:r w:rsidRPr="00DE5A81">
        <w:rPr>
          <w:rFonts w:ascii="Times New Roman" w:eastAsia="Times New Roman" w:hAnsi="Times New Roman" w:cs="Times New Roman"/>
          <w:color w:val="auto"/>
          <w:sz w:val="24"/>
          <w:szCs w:val="24"/>
        </w:rPr>
        <w:t>pe teritoriul universităților</w:t>
      </w:r>
    </w:p>
    <w:p w14:paraId="6CF434C8" w14:textId="77777777" w:rsidR="00C32C39" w:rsidRPr="00DE5A81" w:rsidRDefault="00C32C39" w:rsidP="00C32C39">
      <w:pPr>
        <w:pStyle w:val="ListParagraph"/>
        <w:numPr>
          <w:ilvl w:val="1"/>
          <w:numId w:val="31"/>
        </w:numPr>
        <w:spacing w:after="0"/>
        <w:jc w:val="both"/>
        <w:rPr>
          <w:rFonts w:ascii="Times New Roman" w:eastAsia="Times New Roman" w:hAnsi="Times New Roman" w:cs="Times New Roman"/>
          <w:color w:val="auto"/>
          <w:sz w:val="24"/>
          <w:szCs w:val="24"/>
        </w:rPr>
      </w:pPr>
      <w:r w:rsidRPr="00DE5A81">
        <w:rPr>
          <w:rFonts w:ascii="Times New Roman" w:eastAsia="Times New Roman" w:hAnsi="Times New Roman" w:cs="Times New Roman"/>
          <w:color w:val="auto"/>
          <w:sz w:val="24"/>
          <w:szCs w:val="24"/>
        </w:rPr>
        <w:t xml:space="preserve">Extinderea parcurilor TI, cu componenta infrastructurală, ce oferă spații </w:t>
      </w:r>
      <w:proofErr w:type="spellStart"/>
      <w:r w:rsidRPr="00DE5A81">
        <w:rPr>
          <w:rFonts w:ascii="Times New Roman" w:eastAsia="Times New Roman" w:hAnsi="Times New Roman" w:cs="Times New Roman"/>
          <w:color w:val="auto"/>
          <w:sz w:val="24"/>
          <w:szCs w:val="24"/>
        </w:rPr>
        <w:t>coworking</w:t>
      </w:r>
      <w:proofErr w:type="spellEnd"/>
      <w:r w:rsidRPr="00DE5A81">
        <w:rPr>
          <w:rFonts w:ascii="Times New Roman" w:eastAsia="Times New Roman" w:hAnsi="Times New Roman" w:cs="Times New Roman"/>
          <w:color w:val="auto"/>
          <w:sz w:val="24"/>
          <w:szCs w:val="24"/>
        </w:rPr>
        <w:t xml:space="preserve"> și consultanță în dezvoltarea </w:t>
      </w:r>
      <w:r>
        <w:rPr>
          <w:rFonts w:ascii="Times New Roman" w:eastAsia="Times New Roman" w:hAnsi="Times New Roman" w:cs="Times New Roman"/>
          <w:color w:val="auto"/>
          <w:sz w:val="24"/>
          <w:szCs w:val="24"/>
        </w:rPr>
        <w:t xml:space="preserve">afacerilor pentru </w:t>
      </w:r>
      <w:proofErr w:type="spellStart"/>
      <w:r>
        <w:rPr>
          <w:rFonts w:ascii="Times New Roman" w:eastAsia="Times New Roman" w:hAnsi="Times New Roman" w:cs="Times New Roman"/>
          <w:color w:val="auto"/>
          <w:sz w:val="24"/>
          <w:szCs w:val="24"/>
        </w:rPr>
        <w:t>startup</w:t>
      </w:r>
      <w:proofErr w:type="spellEnd"/>
      <w:r>
        <w:rPr>
          <w:rFonts w:ascii="Times New Roman" w:eastAsia="Times New Roman" w:hAnsi="Times New Roman" w:cs="Times New Roman"/>
          <w:color w:val="auto"/>
          <w:sz w:val="24"/>
          <w:szCs w:val="24"/>
        </w:rPr>
        <w:t>-uri TI</w:t>
      </w:r>
    </w:p>
    <w:p w14:paraId="6F99D6C9" w14:textId="77777777" w:rsidR="00C32C39" w:rsidRPr="00DE5A81" w:rsidRDefault="00C32C39" w:rsidP="00C32C39">
      <w:pPr>
        <w:pStyle w:val="ListParagraph"/>
        <w:numPr>
          <w:ilvl w:val="1"/>
          <w:numId w:val="31"/>
        </w:numPr>
        <w:spacing w:after="0"/>
        <w:jc w:val="both"/>
        <w:rPr>
          <w:rFonts w:ascii="Times New Roman" w:eastAsia="Times New Roman" w:hAnsi="Times New Roman" w:cs="Times New Roman"/>
          <w:color w:val="auto"/>
          <w:sz w:val="24"/>
          <w:szCs w:val="24"/>
        </w:rPr>
      </w:pPr>
      <w:r w:rsidRPr="00DE5A81">
        <w:rPr>
          <w:rFonts w:ascii="Times New Roman" w:eastAsia="Times New Roman" w:hAnsi="Times New Roman" w:cs="Times New Roman"/>
          <w:color w:val="auto"/>
          <w:sz w:val="24"/>
          <w:szCs w:val="24"/>
        </w:rPr>
        <w:t xml:space="preserve">Promovarea semnării cu alte state a acordurilor de recunoaștere reciprocă a semnăturilor electronice, conform Legii nr. 91 din 29.05.2014 privind semnătura electronică </w:t>
      </w:r>
      <w:proofErr w:type="spellStart"/>
      <w:r w:rsidRPr="00DE5A81">
        <w:rPr>
          <w:rFonts w:ascii="Times New Roman" w:eastAsia="Times New Roman" w:hAnsi="Times New Roman" w:cs="Times New Roman"/>
          <w:color w:val="auto"/>
          <w:sz w:val="24"/>
          <w:szCs w:val="24"/>
        </w:rPr>
        <w:t>şi</w:t>
      </w:r>
      <w:proofErr w:type="spellEnd"/>
      <w:r w:rsidRPr="00DE5A81">
        <w:rPr>
          <w:rFonts w:ascii="Times New Roman" w:eastAsia="Times New Roman" w:hAnsi="Times New Roman" w:cs="Times New Roman"/>
          <w:color w:val="auto"/>
          <w:sz w:val="24"/>
          <w:szCs w:val="24"/>
        </w:rPr>
        <w:t xml:space="preserve"> documentul electronic</w:t>
      </w:r>
    </w:p>
    <w:p w14:paraId="7BD1E037" w14:textId="77777777" w:rsidR="00C32C39" w:rsidRPr="00DE5A81" w:rsidRDefault="00C32C39" w:rsidP="00C32C39">
      <w:pPr>
        <w:pStyle w:val="ListParagraph"/>
        <w:numPr>
          <w:ilvl w:val="1"/>
          <w:numId w:val="31"/>
        </w:numPr>
        <w:spacing w:after="0"/>
        <w:jc w:val="both"/>
        <w:rPr>
          <w:rFonts w:ascii="Times New Roman" w:eastAsia="Times New Roman" w:hAnsi="Times New Roman" w:cs="Times New Roman"/>
          <w:color w:val="auto"/>
          <w:sz w:val="24"/>
          <w:szCs w:val="24"/>
        </w:rPr>
      </w:pPr>
      <w:r w:rsidRPr="00DE5A81">
        <w:rPr>
          <w:rFonts w:ascii="Times New Roman" w:eastAsia="Times New Roman" w:hAnsi="Times New Roman" w:cs="Times New Roman"/>
          <w:color w:val="auto"/>
          <w:sz w:val="24"/>
          <w:szCs w:val="24"/>
        </w:rPr>
        <w:t>Definirea în cadrul de reglementare a Republicii Moldova a noțiunii de „</w:t>
      </w:r>
      <w:r>
        <w:rPr>
          <w:rFonts w:ascii="Times New Roman" w:eastAsia="Times New Roman" w:hAnsi="Times New Roman" w:cs="Times New Roman"/>
          <w:color w:val="auto"/>
          <w:sz w:val="24"/>
          <w:szCs w:val="24"/>
        </w:rPr>
        <w:t>Stagiu de practică</w:t>
      </w:r>
      <w:r w:rsidRPr="00DE5A81">
        <w:rPr>
          <w:rFonts w:ascii="Times New Roman" w:eastAsia="Times New Roman" w:hAnsi="Times New Roman" w:cs="Times New Roman"/>
          <w:color w:val="auto"/>
          <w:sz w:val="24"/>
          <w:szCs w:val="24"/>
        </w:rPr>
        <w:t xml:space="preserve">”, inclusiv condițiile în care prestarea unei munci poate fi considerată ca </w:t>
      </w:r>
      <w:proofErr w:type="spellStart"/>
      <w:r w:rsidRPr="00DE5A81">
        <w:rPr>
          <w:rFonts w:ascii="Times New Roman" w:eastAsia="Times New Roman" w:hAnsi="Times New Roman" w:cs="Times New Roman"/>
          <w:color w:val="auto"/>
          <w:sz w:val="24"/>
          <w:szCs w:val="24"/>
        </w:rPr>
        <w:t>internship</w:t>
      </w:r>
      <w:proofErr w:type="spellEnd"/>
      <w:r w:rsidRPr="00DE5A81">
        <w:rPr>
          <w:rFonts w:ascii="Times New Roman" w:eastAsia="Times New Roman" w:hAnsi="Times New Roman" w:cs="Times New Roman"/>
          <w:color w:val="auto"/>
          <w:sz w:val="24"/>
          <w:szCs w:val="24"/>
        </w:rPr>
        <w:t>, condițiile de remunerare, obligații privind sănătatea și siguranța în muncă etc.</w:t>
      </w:r>
    </w:p>
    <w:p w14:paraId="3D93A048" w14:textId="77777777" w:rsidR="00C32C39" w:rsidRDefault="00C32C39" w:rsidP="00C32C39">
      <w:pPr>
        <w:pStyle w:val="ListParagraph"/>
        <w:numPr>
          <w:ilvl w:val="1"/>
          <w:numId w:val="31"/>
        </w:numPr>
        <w:spacing w:after="0"/>
        <w:jc w:val="both"/>
        <w:rPr>
          <w:rFonts w:ascii="Times New Roman" w:eastAsia="Times New Roman" w:hAnsi="Times New Roman" w:cs="Times New Roman"/>
          <w:color w:val="auto"/>
          <w:sz w:val="24"/>
          <w:szCs w:val="24"/>
        </w:rPr>
      </w:pPr>
      <w:r w:rsidRPr="00EF157D">
        <w:rPr>
          <w:rFonts w:ascii="Times New Roman" w:eastAsia="Times New Roman" w:hAnsi="Times New Roman" w:cs="Times New Roman"/>
          <w:color w:val="auto"/>
          <w:sz w:val="24"/>
          <w:szCs w:val="24"/>
        </w:rPr>
        <w:t>Crearea Consiliului de dezvoltare a industriei TI, pe lângă Prim-Ministru</w:t>
      </w:r>
    </w:p>
    <w:p w14:paraId="6378BF33" w14:textId="77777777" w:rsidR="00C32C39" w:rsidRDefault="00C32C39" w:rsidP="00C32C39">
      <w:pPr>
        <w:pStyle w:val="ListParagraph"/>
        <w:numPr>
          <w:ilvl w:val="1"/>
          <w:numId w:val="31"/>
        </w:numPr>
        <w:spacing w:after="120"/>
        <w:jc w:val="both"/>
        <w:rPr>
          <w:rFonts w:ascii="Times New Roman" w:eastAsia="Times New Roman" w:hAnsi="Times New Roman" w:cs="Times New Roman"/>
          <w:color w:val="auto"/>
          <w:sz w:val="24"/>
          <w:szCs w:val="24"/>
        </w:rPr>
      </w:pPr>
      <w:r w:rsidRPr="00EF157D">
        <w:rPr>
          <w:rFonts w:ascii="Times New Roman" w:eastAsia="Times New Roman" w:hAnsi="Times New Roman" w:cs="Times New Roman"/>
          <w:color w:val="auto"/>
          <w:sz w:val="24"/>
          <w:szCs w:val="24"/>
        </w:rPr>
        <w:t>Ajustarea datelor statistice relevante domeniului TI în vederea eficientizării monitorizării politicilor din domeniu</w:t>
      </w:r>
      <w:r>
        <w:rPr>
          <w:rFonts w:ascii="Times New Roman" w:eastAsia="Times New Roman" w:hAnsi="Times New Roman" w:cs="Times New Roman"/>
          <w:color w:val="auto"/>
          <w:sz w:val="24"/>
          <w:szCs w:val="24"/>
        </w:rPr>
        <w:t>.</w:t>
      </w:r>
    </w:p>
    <w:p w14:paraId="2FFB1692" w14:textId="77777777" w:rsidR="00C32C39" w:rsidRPr="00C32C39" w:rsidRDefault="00C32C39" w:rsidP="00C32C39">
      <w:pPr>
        <w:pStyle w:val="ListParagraph"/>
        <w:spacing w:after="120"/>
        <w:jc w:val="both"/>
        <w:rPr>
          <w:rFonts w:ascii="Times New Roman" w:eastAsia="Times New Roman" w:hAnsi="Times New Roman" w:cs="Times New Roman"/>
          <w:color w:val="auto"/>
          <w:sz w:val="16"/>
          <w:szCs w:val="16"/>
        </w:rPr>
      </w:pPr>
    </w:p>
    <w:p w14:paraId="718F7949" w14:textId="6BD6E717" w:rsidR="008D7147" w:rsidRPr="00C32C39" w:rsidRDefault="00475B63" w:rsidP="00C32C39">
      <w:pPr>
        <w:pStyle w:val="ListParagraph"/>
        <w:numPr>
          <w:ilvl w:val="0"/>
          <w:numId w:val="20"/>
        </w:numPr>
        <w:spacing w:after="120" w:line="240" w:lineRule="auto"/>
        <w:ind w:left="630" w:hanging="630"/>
        <w:jc w:val="both"/>
        <w:rPr>
          <w:rFonts w:ascii="Times New Roman" w:eastAsia="Times New Roman" w:hAnsi="Times New Roman" w:cs="Times New Roman"/>
          <w:sz w:val="24"/>
          <w:szCs w:val="24"/>
        </w:rPr>
      </w:pPr>
      <w:r w:rsidRPr="00C32C39">
        <w:rPr>
          <w:rFonts w:ascii="Times New Roman" w:eastAsia="Times New Roman" w:hAnsi="Times New Roman" w:cs="Times New Roman"/>
          <w:b/>
          <w:sz w:val="24"/>
          <w:szCs w:val="24"/>
        </w:rPr>
        <w:t>Capitalul uman competitiv</w:t>
      </w:r>
    </w:p>
    <w:p w14:paraId="282CD65D" w14:textId="77777777" w:rsidR="008D7147" w:rsidRPr="00E36A94" w:rsidRDefault="00475B63" w:rsidP="00272DDF">
      <w:pPr>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b/>
          <w:sz w:val="24"/>
          <w:szCs w:val="24"/>
        </w:rPr>
        <w:t xml:space="preserve">Obiective specifice </w:t>
      </w:r>
      <w:r w:rsidRPr="00E36A94">
        <w:rPr>
          <w:rFonts w:ascii="Times New Roman" w:eastAsia="Times New Roman" w:hAnsi="Times New Roman" w:cs="Times New Roman"/>
          <w:i/>
          <w:sz w:val="24"/>
          <w:szCs w:val="24"/>
        </w:rPr>
        <w:t>până la finele anului 2023</w:t>
      </w:r>
      <w:r w:rsidRPr="00E36A94">
        <w:rPr>
          <w:rFonts w:ascii="Times New Roman" w:eastAsia="Times New Roman" w:hAnsi="Times New Roman" w:cs="Times New Roman"/>
          <w:b/>
          <w:sz w:val="24"/>
          <w:szCs w:val="24"/>
        </w:rPr>
        <w:t>:</w:t>
      </w:r>
      <w:r w:rsidRPr="00E36A94">
        <w:rPr>
          <w:rFonts w:ascii="Times New Roman" w:eastAsia="Times New Roman" w:hAnsi="Times New Roman" w:cs="Times New Roman"/>
          <w:sz w:val="24"/>
          <w:szCs w:val="24"/>
        </w:rPr>
        <w:t xml:space="preserve"> </w:t>
      </w:r>
    </w:p>
    <w:p w14:paraId="5B28768A" w14:textId="482AECA1" w:rsidR="008D7147" w:rsidRPr="00E36A94" w:rsidRDefault="00475B63">
      <w:pPr>
        <w:numPr>
          <w:ilvl w:val="0"/>
          <w:numId w:val="4"/>
        </w:numPr>
        <w:spacing w:after="0"/>
        <w:contextualSpacing/>
        <w:jc w:val="both"/>
        <w:rPr>
          <w:i/>
          <w:sz w:val="24"/>
          <w:szCs w:val="24"/>
        </w:rPr>
      </w:pPr>
      <w:r w:rsidRPr="00E36A94">
        <w:rPr>
          <w:rFonts w:ascii="Times New Roman" w:eastAsia="Times New Roman" w:hAnsi="Times New Roman" w:cs="Times New Roman"/>
          <w:i/>
          <w:sz w:val="24"/>
          <w:szCs w:val="24"/>
        </w:rPr>
        <w:t>Creșterea numărul</w:t>
      </w:r>
      <w:r w:rsidR="002659A7">
        <w:rPr>
          <w:rFonts w:ascii="Times New Roman" w:eastAsia="Times New Roman" w:hAnsi="Times New Roman" w:cs="Times New Roman"/>
          <w:i/>
          <w:sz w:val="24"/>
          <w:szCs w:val="24"/>
        </w:rPr>
        <w:t>ui</w:t>
      </w:r>
      <w:r w:rsidRPr="00E36A94">
        <w:rPr>
          <w:rFonts w:ascii="Times New Roman" w:eastAsia="Times New Roman" w:hAnsi="Times New Roman" w:cs="Times New Roman"/>
          <w:i/>
          <w:sz w:val="24"/>
          <w:szCs w:val="24"/>
        </w:rPr>
        <w:t xml:space="preserve"> de persoan</w:t>
      </w:r>
      <w:r w:rsidR="009B340F" w:rsidRPr="00E36A94">
        <w:rPr>
          <w:rFonts w:ascii="Times New Roman" w:eastAsia="Times New Roman" w:hAnsi="Times New Roman" w:cs="Times New Roman"/>
          <w:i/>
          <w:sz w:val="24"/>
          <w:szCs w:val="24"/>
        </w:rPr>
        <w:t>e care activează în domeniul TI</w:t>
      </w:r>
      <w:r w:rsidRPr="00E36A94">
        <w:rPr>
          <w:rFonts w:ascii="Times New Roman" w:eastAsia="Times New Roman" w:hAnsi="Times New Roman" w:cs="Times New Roman"/>
          <w:i/>
          <w:sz w:val="24"/>
          <w:szCs w:val="24"/>
        </w:rPr>
        <w:t xml:space="preserve"> cu cel puțin </w:t>
      </w:r>
      <w:r w:rsidR="00D820D2" w:rsidRPr="002659A7">
        <w:rPr>
          <w:rFonts w:ascii="Times New Roman" w:eastAsia="Times New Roman" w:hAnsi="Times New Roman" w:cs="Times New Roman"/>
          <w:i/>
          <w:color w:val="auto"/>
          <w:sz w:val="24"/>
          <w:szCs w:val="24"/>
        </w:rPr>
        <w:t>25%</w:t>
      </w:r>
      <w:r w:rsidRPr="002659A7">
        <w:rPr>
          <w:rFonts w:ascii="Times New Roman" w:eastAsia="Times New Roman" w:hAnsi="Times New Roman" w:cs="Times New Roman"/>
          <w:i/>
          <w:color w:val="auto"/>
          <w:sz w:val="24"/>
          <w:szCs w:val="24"/>
        </w:rPr>
        <w:t xml:space="preserve"> </w:t>
      </w:r>
      <w:r w:rsidR="00B623DF">
        <w:rPr>
          <w:rFonts w:ascii="Times New Roman" w:eastAsia="Times New Roman" w:hAnsi="Times New Roman" w:cs="Times New Roman"/>
          <w:i/>
          <w:color w:val="auto"/>
          <w:sz w:val="24"/>
          <w:szCs w:val="24"/>
        </w:rPr>
        <w:t>specialiști în comparație cu</w:t>
      </w:r>
      <w:r w:rsidR="00D820D2">
        <w:rPr>
          <w:rFonts w:ascii="Times New Roman" w:eastAsia="Times New Roman" w:hAnsi="Times New Roman" w:cs="Times New Roman"/>
          <w:i/>
          <w:sz w:val="24"/>
          <w:szCs w:val="24"/>
        </w:rPr>
        <w:t xml:space="preserve"> anul 2016</w:t>
      </w:r>
    </w:p>
    <w:p w14:paraId="3A587449" w14:textId="0DE8162B" w:rsidR="008D7147" w:rsidRPr="00E36A94" w:rsidRDefault="00475B63">
      <w:pPr>
        <w:numPr>
          <w:ilvl w:val="0"/>
          <w:numId w:val="4"/>
        </w:numPr>
        <w:spacing w:after="0"/>
        <w:contextualSpacing/>
        <w:jc w:val="both"/>
        <w:rPr>
          <w:i/>
          <w:sz w:val="24"/>
          <w:szCs w:val="24"/>
        </w:rPr>
      </w:pPr>
      <w:r w:rsidRPr="00E36A94">
        <w:rPr>
          <w:rFonts w:ascii="Times New Roman" w:eastAsia="Times New Roman" w:hAnsi="Times New Roman" w:cs="Times New Roman"/>
          <w:i/>
          <w:sz w:val="24"/>
          <w:szCs w:val="24"/>
        </w:rPr>
        <w:t xml:space="preserve">Atingerea unei rate de </w:t>
      </w:r>
      <w:proofErr w:type="spellStart"/>
      <w:r w:rsidRPr="00E36A94">
        <w:rPr>
          <w:rFonts w:ascii="Times New Roman" w:eastAsia="Times New Roman" w:hAnsi="Times New Roman" w:cs="Times New Roman"/>
          <w:i/>
          <w:sz w:val="24"/>
          <w:szCs w:val="24"/>
        </w:rPr>
        <w:t>angajabilitate</w:t>
      </w:r>
      <w:proofErr w:type="spellEnd"/>
      <w:r w:rsidRPr="00E36A94">
        <w:rPr>
          <w:rFonts w:ascii="Times New Roman" w:eastAsia="Times New Roman" w:hAnsi="Times New Roman" w:cs="Times New Roman"/>
          <w:i/>
          <w:sz w:val="24"/>
          <w:szCs w:val="24"/>
        </w:rPr>
        <w:t xml:space="preserve"> a </w:t>
      </w:r>
      <w:r w:rsidR="00AE6448" w:rsidRPr="00E36A94">
        <w:rPr>
          <w:rFonts w:ascii="Times New Roman" w:eastAsia="Times New Roman" w:hAnsi="Times New Roman" w:cs="Times New Roman"/>
          <w:i/>
          <w:sz w:val="24"/>
          <w:szCs w:val="24"/>
        </w:rPr>
        <w:t>absolvenților TI de cel puțin 90</w:t>
      </w:r>
      <w:r w:rsidR="0079416C">
        <w:rPr>
          <w:rFonts w:ascii="Times New Roman" w:eastAsia="Times New Roman" w:hAnsi="Times New Roman" w:cs="Times New Roman"/>
          <w:i/>
          <w:sz w:val="24"/>
          <w:szCs w:val="24"/>
        </w:rPr>
        <w:t xml:space="preserve">% </w:t>
      </w:r>
    </w:p>
    <w:p w14:paraId="6E71DA6D" w14:textId="65484705" w:rsidR="008D7147" w:rsidRPr="00E36A94" w:rsidRDefault="00475B63">
      <w:pPr>
        <w:numPr>
          <w:ilvl w:val="0"/>
          <w:numId w:val="4"/>
        </w:numPr>
        <w:spacing w:after="120"/>
        <w:contextualSpacing/>
        <w:jc w:val="both"/>
        <w:rPr>
          <w:i/>
          <w:sz w:val="24"/>
          <w:szCs w:val="24"/>
        </w:rPr>
      </w:pPr>
      <w:r w:rsidRPr="00E36A94">
        <w:rPr>
          <w:rFonts w:ascii="Times New Roman" w:eastAsia="Times New Roman" w:hAnsi="Times New Roman" w:cs="Times New Roman"/>
          <w:i/>
          <w:sz w:val="24"/>
          <w:szCs w:val="24"/>
        </w:rPr>
        <w:t xml:space="preserve">Cel puțin </w:t>
      </w:r>
      <w:r w:rsidR="00B623DF" w:rsidRPr="00B623DF">
        <w:rPr>
          <w:rFonts w:ascii="Times New Roman" w:eastAsia="Times New Roman" w:hAnsi="Times New Roman" w:cs="Times New Roman"/>
          <w:i/>
          <w:color w:val="auto"/>
          <w:sz w:val="24"/>
          <w:szCs w:val="24"/>
        </w:rPr>
        <w:t>1</w:t>
      </w:r>
      <w:r w:rsidRPr="00B623DF">
        <w:rPr>
          <w:rFonts w:ascii="Times New Roman" w:eastAsia="Times New Roman" w:hAnsi="Times New Roman" w:cs="Times New Roman"/>
          <w:i/>
          <w:color w:val="auto"/>
          <w:sz w:val="24"/>
          <w:szCs w:val="24"/>
        </w:rPr>
        <w:t>000</w:t>
      </w:r>
      <w:r w:rsidRPr="00E36A94">
        <w:rPr>
          <w:rFonts w:ascii="Times New Roman" w:eastAsia="Times New Roman" w:hAnsi="Times New Roman" w:cs="Times New Roman"/>
          <w:i/>
          <w:sz w:val="24"/>
          <w:szCs w:val="24"/>
        </w:rPr>
        <w:t xml:space="preserve"> angajați din domeniul TI și studenți de la facultățile TI au absolvit cu succes cursuri certificate de organisme internaționale</w:t>
      </w:r>
      <w:r w:rsidR="00057D31" w:rsidRPr="00E36A94">
        <w:rPr>
          <w:rFonts w:ascii="Times New Roman" w:eastAsia="Times New Roman" w:hAnsi="Times New Roman" w:cs="Times New Roman"/>
          <w:i/>
          <w:sz w:val="24"/>
          <w:szCs w:val="24"/>
        </w:rPr>
        <w:t>.</w:t>
      </w:r>
    </w:p>
    <w:p w14:paraId="74EAF0B6" w14:textId="05463E64" w:rsidR="00C926DB" w:rsidRDefault="00C926DB">
      <w:pPr>
        <w:spacing w:after="120"/>
        <w:jc w:val="both"/>
        <w:rPr>
          <w:rFonts w:ascii="Times New Roman" w:eastAsia="Times New Roman" w:hAnsi="Times New Roman" w:cs="Times New Roman"/>
          <w:sz w:val="24"/>
          <w:szCs w:val="24"/>
        </w:rPr>
      </w:pPr>
      <w:r w:rsidRPr="00C926DB">
        <w:rPr>
          <w:rFonts w:ascii="Times New Roman" w:eastAsia="Times New Roman" w:hAnsi="Times New Roman" w:cs="Times New Roman"/>
          <w:sz w:val="24"/>
          <w:szCs w:val="24"/>
        </w:rPr>
        <w:t>Capacitatea TI este una dintre cele mai importante facilități pentru o țară care se concentrează pe îmbunătățirea exporturilor sale tehnologice. Disponibilitate de talent de bună calitate asigură un flux bun de operațiuni, expansiune de afaceri și alți factori strategici esențiali pentru creșterea industriei. Una dintre cele mai mari provocări cu care se confruntă companiile din economia bazată pe cunoaștere este aceea de a asigura un număr adecvat de angajați cu competențe necesare. Pentru a valorifica talentele locale, este necesar de adaptat programele de instruire a absolvenților.</w:t>
      </w:r>
    </w:p>
    <w:p w14:paraId="20D5737F" w14:textId="0D6448E5"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Tot mai frecvent calitatea </w:t>
      </w:r>
      <w:r w:rsidR="00CF2019" w:rsidRPr="00E36A94">
        <w:rPr>
          <w:rFonts w:ascii="Times New Roman" w:eastAsia="Times New Roman" w:hAnsi="Times New Roman" w:cs="Times New Roman"/>
          <w:sz w:val="24"/>
          <w:szCs w:val="24"/>
        </w:rPr>
        <w:t>educației</w:t>
      </w:r>
      <w:r w:rsidRPr="00E36A94">
        <w:rPr>
          <w:rFonts w:ascii="Times New Roman" w:eastAsia="Times New Roman" w:hAnsi="Times New Roman" w:cs="Times New Roman"/>
          <w:sz w:val="24"/>
          <w:szCs w:val="24"/>
        </w:rPr>
        <w:t xml:space="preserve"> </w:t>
      </w:r>
      <w:r w:rsidR="00CF2019" w:rsidRPr="00E36A94">
        <w:rPr>
          <w:rFonts w:ascii="Times New Roman" w:eastAsia="Times New Roman" w:hAnsi="Times New Roman" w:cs="Times New Roman"/>
          <w:sz w:val="24"/>
          <w:szCs w:val="24"/>
        </w:rPr>
        <w:t>forței</w:t>
      </w:r>
      <w:r w:rsidRPr="00E36A94">
        <w:rPr>
          <w:rFonts w:ascii="Times New Roman" w:eastAsia="Times New Roman" w:hAnsi="Times New Roman" w:cs="Times New Roman"/>
          <w:sz w:val="24"/>
          <w:szCs w:val="24"/>
        </w:rPr>
        <w:t xml:space="preserve"> de muncă este </w:t>
      </w:r>
      <w:r w:rsidR="00CF2019" w:rsidRPr="00E36A94">
        <w:rPr>
          <w:rFonts w:ascii="Times New Roman" w:eastAsia="Times New Roman" w:hAnsi="Times New Roman" w:cs="Times New Roman"/>
          <w:sz w:val="24"/>
          <w:szCs w:val="24"/>
        </w:rPr>
        <w:t>enunțată</w:t>
      </w:r>
      <w:r w:rsidRPr="00E36A94">
        <w:rPr>
          <w:rFonts w:ascii="Times New Roman" w:eastAsia="Times New Roman" w:hAnsi="Times New Roman" w:cs="Times New Roman"/>
          <w:sz w:val="24"/>
          <w:szCs w:val="24"/>
        </w:rPr>
        <w:t xml:space="preserve"> în diverse contexte, în rapoarte </w:t>
      </w:r>
      <w:r w:rsidR="00CF2019"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studii realizate de partenerii de dezvoltare, societatea civilă, drept o constrângere pentru atragerea investițiilor, pentru asigurarea unei noi calități a dezvoltării economice. Din cauza proceselor de emigrare Republica Moldova se confruntă cu o </w:t>
      </w:r>
      <w:r w:rsidR="00CF2019" w:rsidRPr="00E36A94">
        <w:rPr>
          <w:rFonts w:ascii="Times New Roman" w:eastAsia="Times New Roman" w:hAnsi="Times New Roman" w:cs="Times New Roman"/>
          <w:sz w:val="24"/>
          <w:szCs w:val="24"/>
        </w:rPr>
        <w:t>micșorare</w:t>
      </w:r>
      <w:r w:rsidRPr="00E36A94">
        <w:rPr>
          <w:rFonts w:ascii="Times New Roman" w:eastAsia="Times New Roman" w:hAnsi="Times New Roman" w:cs="Times New Roman"/>
          <w:sz w:val="24"/>
          <w:szCs w:val="24"/>
        </w:rPr>
        <w:t xml:space="preserve"> a </w:t>
      </w:r>
      <w:r w:rsidR="00CF2019" w:rsidRPr="00E36A94">
        <w:rPr>
          <w:rFonts w:ascii="Times New Roman" w:eastAsia="Times New Roman" w:hAnsi="Times New Roman" w:cs="Times New Roman"/>
          <w:sz w:val="24"/>
          <w:szCs w:val="24"/>
        </w:rPr>
        <w:t>forței</w:t>
      </w:r>
      <w:r w:rsidRPr="00E36A94">
        <w:rPr>
          <w:rFonts w:ascii="Times New Roman" w:eastAsia="Times New Roman" w:hAnsi="Times New Roman" w:cs="Times New Roman"/>
          <w:sz w:val="24"/>
          <w:szCs w:val="24"/>
        </w:rPr>
        <w:t xml:space="preserve"> de muncă calificată.</w:t>
      </w:r>
    </w:p>
    <w:p w14:paraId="37BC9831" w14:textId="77777777"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Dat fiind nivelul prea general de cunoștințe al absolvenților, companiile TI sunt mai puțin dispuse să-i angajeze în câmpul muncii, fiind în căutare de specialiști deja instruiți. Astfel, cei mai susceptibili de a părăsi țara, sunt anume absolvenții în primele luni după absolvire. Pentru a nu-i pierde, este necesar, pe de o parte, de a le organiza activități de consiliere în carieră, iar, pe de alta, de a le oferi instruire specializată, care le-ar crește șansele de a fi angajați. </w:t>
      </w:r>
    </w:p>
    <w:p w14:paraId="59276D76" w14:textId="77777777"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Mulți studenți, ai căror părinți au părăsit în trecut țara, </w:t>
      </w:r>
      <w:proofErr w:type="spellStart"/>
      <w:r w:rsidRPr="00E36A94">
        <w:rPr>
          <w:rFonts w:ascii="Times New Roman" w:eastAsia="Times New Roman" w:hAnsi="Times New Roman" w:cs="Times New Roman"/>
          <w:sz w:val="24"/>
          <w:szCs w:val="24"/>
        </w:rPr>
        <w:t>absolvesc</w:t>
      </w:r>
      <w:proofErr w:type="spellEnd"/>
      <w:r w:rsidRPr="00E36A94">
        <w:rPr>
          <w:rFonts w:ascii="Times New Roman" w:eastAsia="Times New Roman" w:hAnsi="Times New Roman" w:cs="Times New Roman"/>
          <w:sz w:val="24"/>
          <w:szCs w:val="24"/>
        </w:rPr>
        <w:t xml:space="preserve"> peste hotare facultăți în domeniul TI și se angajează la firme din țara respectivă. Pentru a-i face pe o parte din ei să </w:t>
      </w:r>
      <w:r w:rsidRPr="00E36A94">
        <w:rPr>
          <w:rFonts w:ascii="Times New Roman" w:eastAsia="Times New Roman" w:hAnsi="Times New Roman" w:cs="Times New Roman"/>
          <w:sz w:val="24"/>
          <w:szCs w:val="24"/>
        </w:rPr>
        <w:lastRenderedPageBreak/>
        <w:t xml:space="preserve">revină în țară e necesar de a promova intens sectorul TI în rândurile diasporei, inclusiv prin prezentarea avantajelor pe care le-ar putea avea în caz de inițiere a unei afaceri în domeniu: impozit pe venit redus, spații de </w:t>
      </w:r>
      <w:proofErr w:type="spellStart"/>
      <w:r w:rsidRPr="00E36A94">
        <w:rPr>
          <w:rFonts w:ascii="Times New Roman" w:eastAsia="Times New Roman" w:hAnsi="Times New Roman" w:cs="Times New Roman"/>
          <w:sz w:val="24"/>
          <w:szCs w:val="24"/>
        </w:rPr>
        <w:t>co-working</w:t>
      </w:r>
      <w:proofErr w:type="spellEnd"/>
      <w:r w:rsidRPr="00E36A94">
        <w:rPr>
          <w:rFonts w:ascii="Times New Roman" w:eastAsia="Times New Roman" w:hAnsi="Times New Roman" w:cs="Times New Roman"/>
          <w:sz w:val="24"/>
          <w:szCs w:val="24"/>
        </w:rPr>
        <w:t>, costuri reduse de întreținere, forță de muncă mai ieftină, eventual suport în promovarea exportului de servicii TI, inclusiv în țara din care a revenit.</w:t>
      </w:r>
    </w:p>
    <w:p w14:paraId="589F23A7" w14:textId="67B6265A"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De asemenea, </w:t>
      </w:r>
      <w:proofErr w:type="spellStart"/>
      <w:r w:rsidRPr="00E36A94">
        <w:rPr>
          <w:rFonts w:ascii="Times New Roman" w:eastAsia="Times New Roman" w:hAnsi="Times New Roman" w:cs="Times New Roman"/>
          <w:sz w:val="24"/>
          <w:szCs w:val="24"/>
        </w:rPr>
        <w:t>curricula</w:t>
      </w:r>
      <w:proofErr w:type="spellEnd"/>
      <w:r w:rsidRPr="00E36A94">
        <w:rPr>
          <w:rFonts w:ascii="Times New Roman" w:eastAsia="Times New Roman" w:hAnsi="Times New Roman" w:cs="Times New Roman"/>
          <w:sz w:val="24"/>
          <w:szCs w:val="24"/>
        </w:rPr>
        <w:t xml:space="preserve"> academică nefiind aliniată la cerințele industriei </w:t>
      </w:r>
      <w:r w:rsidR="005D2D50">
        <w:rPr>
          <w:rFonts w:ascii="Times New Roman" w:eastAsia="Times New Roman" w:hAnsi="Times New Roman" w:cs="Times New Roman"/>
          <w:sz w:val="24"/>
          <w:szCs w:val="24"/>
        </w:rPr>
        <w:t>TI</w:t>
      </w:r>
      <w:r w:rsidRPr="00E36A94">
        <w:rPr>
          <w:rFonts w:ascii="Times New Roman" w:eastAsia="Times New Roman" w:hAnsi="Times New Roman" w:cs="Times New Roman"/>
          <w:sz w:val="24"/>
          <w:szCs w:val="24"/>
        </w:rPr>
        <w:t xml:space="preserve">, după finisarea studiilor, tinerii absolvenți sunt nevoiți să urmeze cursuri de formare profesională pentru perioade lungi de timp (până la 6 luni). </w:t>
      </w:r>
    </w:p>
    <w:p w14:paraId="6C27AB10" w14:textId="7821A73A"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Angajatorii investesc prea </w:t>
      </w:r>
      <w:r w:rsidR="00CF2019" w:rsidRPr="00E36A94">
        <w:rPr>
          <w:rFonts w:ascii="Times New Roman" w:eastAsia="Times New Roman" w:hAnsi="Times New Roman" w:cs="Times New Roman"/>
          <w:sz w:val="24"/>
          <w:szCs w:val="24"/>
        </w:rPr>
        <w:t>puțin</w:t>
      </w:r>
      <w:r w:rsidRPr="00E36A94">
        <w:rPr>
          <w:rFonts w:ascii="Times New Roman" w:eastAsia="Times New Roman" w:hAnsi="Times New Roman" w:cs="Times New Roman"/>
          <w:sz w:val="24"/>
          <w:szCs w:val="24"/>
        </w:rPr>
        <w:t xml:space="preserve"> în </w:t>
      </w:r>
      <w:r w:rsidR="00CF2019" w:rsidRPr="00E36A94">
        <w:rPr>
          <w:rFonts w:ascii="Times New Roman" w:eastAsia="Times New Roman" w:hAnsi="Times New Roman" w:cs="Times New Roman"/>
          <w:sz w:val="24"/>
          <w:szCs w:val="24"/>
        </w:rPr>
        <w:t>educație</w:t>
      </w:r>
      <w:r w:rsidRPr="00E36A94">
        <w:rPr>
          <w:rFonts w:ascii="Times New Roman" w:eastAsia="Times New Roman" w:hAnsi="Times New Roman" w:cs="Times New Roman"/>
          <w:sz w:val="24"/>
          <w:szCs w:val="24"/>
        </w:rPr>
        <w:t xml:space="preserve"> </w:t>
      </w:r>
      <w:r w:rsidR="00CF2019"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formare profesională continuă, neavând suport din partea statului </w:t>
      </w:r>
      <w:r w:rsidR="00CF2019"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w:t>
      </w:r>
      <w:r w:rsidR="00CF2019" w:rsidRPr="00E36A94">
        <w:rPr>
          <w:rFonts w:ascii="Times New Roman" w:eastAsia="Times New Roman" w:hAnsi="Times New Roman" w:cs="Times New Roman"/>
          <w:sz w:val="24"/>
          <w:szCs w:val="24"/>
        </w:rPr>
        <w:t>siguranța</w:t>
      </w:r>
      <w:r w:rsidRPr="00E36A94">
        <w:rPr>
          <w:rFonts w:ascii="Times New Roman" w:eastAsia="Times New Roman" w:hAnsi="Times New Roman" w:cs="Times New Roman"/>
          <w:sz w:val="24"/>
          <w:szCs w:val="24"/>
        </w:rPr>
        <w:t xml:space="preserve"> unei </w:t>
      </w:r>
      <w:r w:rsidR="00CF2019" w:rsidRPr="00E36A94">
        <w:rPr>
          <w:rFonts w:ascii="Times New Roman" w:eastAsia="Times New Roman" w:hAnsi="Times New Roman" w:cs="Times New Roman"/>
          <w:sz w:val="24"/>
          <w:szCs w:val="24"/>
        </w:rPr>
        <w:t>stabilități</w:t>
      </w:r>
      <w:r w:rsidRPr="00E36A94">
        <w:rPr>
          <w:rFonts w:ascii="Times New Roman" w:eastAsia="Times New Roman" w:hAnsi="Times New Roman" w:cs="Times New Roman"/>
          <w:sz w:val="24"/>
          <w:szCs w:val="24"/>
        </w:rPr>
        <w:t xml:space="preserve"> a personalului instruit. </w:t>
      </w:r>
    </w:p>
    <w:p w14:paraId="48DA6625" w14:textId="6D48C8D5" w:rsidR="008D7147" w:rsidRDefault="00475B63" w:rsidP="00744307">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Politicile publice </w:t>
      </w:r>
      <w:r w:rsidR="00CF2019" w:rsidRPr="00E36A94">
        <w:rPr>
          <w:rFonts w:ascii="Times New Roman" w:eastAsia="Times New Roman" w:hAnsi="Times New Roman" w:cs="Times New Roman"/>
          <w:sz w:val="24"/>
          <w:szCs w:val="24"/>
        </w:rPr>
        <w:t>își</w:t>
      </w:r>
      <w:r w:rsidRPr="00E36A94">
        <w:rPr>
          <w:rFonts w:ascii="Times New Roman" w:eastAsia="Times New Roman" w:hAnsi="Times New Roman" w:cs="Times New Roman"/>
          <w:sz w:val="24"/>
          <w:szCs w:val="24"/>
        </w:rPr>
        <w:t xml:space="preserve"> au rolul lor în </w:t>
      </w:r>
      <w:r w:rsidR="00CF2019" w:rsidRPr="00E36A94">
        <w:rPr>
          <w:rFonts w:ascii="Times New Roman" w:eastAsia="Times New Roman" w:hAnsi="Times New Roman" w:cs="Times New Roman"/>
          <w:sz w:val="24"/>
          <w:szCs w:val="24"/>
        </w:rPr>
        <w:t>depășirea</w:t>
      </w:r>
      <w:r w:rsidRPr="00E36A94">
        <w:rPr>
          <w:rFonts w:ascii="Times New Roman" w:eastAsia="Times New Roman" w:hAnsi="Times New Roman" w:cs="Times New Roman"/>
          <w:sz w:val="24"/>
          <w:szCs w:val="24"/>
        </w:rPr>
        <w:t xml:space="preserve"> acestor bariere aflate în calea dezvoltării instruirii antreprenoriale continue. În prezenta Strategie, obiectivele specifice identificate, au drept scop promovarea </w:t>
      </w:r>
      <w:r w:rsidR="00CF2019" w:rsidRPr="00E36A94">
        <w:rPr>
          <w:rFonts w:ascii="Times New Roman" w:eastAsia="Times New Roman" w:hAnsi="Times New Roman" w:cs="Times New Roman"/>
          <w:sz w:val="24"/>
          <w:szCs w:val="24"/>
        </w:rPr>
        <w:t>competențelor</w:t>
      </w:r>
      <w:r w:rsidRPr="00E36A94">
        <w:rPr>
          <w:rFonts w:ascii="Times New Roman" w:eastAsia="Times New Roman" w:hAnsi="Times New Roman" w:cs="Times New Roman"/>
          <w:sz w:val="24"/>
          <w:szCs w:val="24"/>
        </w:rPr>
        <w:t xml:space="preserve"> </w:t>
      </w:r>
      <w:r w:rsidR="005D2D50"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w:t>
      </w:r>
      <w:r w:rsidR="00CF2019" w:rsidRPr="00E36A94">
        <w:rPr>
          <w:rFonts w:ascii="Times New Roman" w:eastAsia="Times New Roman" w:hAnsi="Times New Roman" w:cs="Times New Roman"/>
          <w:sz w:val="24"/>
          <w:szCs w:val="24"/>
        </w:rPr>
        <w:t>creșterea</w:t>
      </w:r>
      <w:r w:rsidRPr="00E36A94">
        <w:rPr>
          <w:rFonts w:ascii="Times New Roman" w:eastAsia="Times New Roman" w:hAnsi="Times New Roman" w:cs="Times New Roman"/>
          <w:sz w:val="24"/>
          <w:szCs w:val="24"/>
        </w:rPr>
        <w:t xml:space="preserve"> </w:t>
      </w:r>
      <w:r w:rsidR="00CF2019" w:rsidRPr="00E36A94">
        <w:rPr>
          <w:rFonts w:ascii="Times New Roman" w:eastAsia="Times New Roman" w:hAnsi="Times New Roman" w:cs="Times New Roman"/>
          <w:sz w:val="24"/>
          <w:szCs w:val="24"/>
        </w:rPr>
        <w:t>calității</w:t>
      </w:r>
      <w:r w:rsidRPr="00E36A94">
        <w:rPr>
          <w:rFonts w:ascii="Times New Roman" w:eastAsia="Times New Roman" w:hAnsi="Times New Roman" w:cs="Times New Roman"/>
          <w:sz w:val="24"/>
          <w:szCs w:val="24"/>
        </w:rPr>
        <w:t xml:space="preserve"> </w:t>
      </w:r>
      <w:r w:rsidR="00CF2019" w:rsidRPr="00E36A94">
        <w:rPr>
          <w:rFonts w:ascii="Times New Roman" w:eastAsia="Times New Roman" w:hAnsi="Times New Roman" w:cs="Times New Roman"/>
          <w:sz w:val="24"/>
          <w:szCs w:val="24"/>
        </w:rPr>
        <w:t>specialiștilor</w:t>
      </w:r>
      <w:r w:rsidRPr="00E36A94">
        <w:rPr>
          <w:rFonts w:ascii="Times New Roman" w:eastAsia="Times New Roman" w:hAnsi="Times New Roman" w:cs="Times New Roman"/>
          <w:sz w:val="24"/>
          <w:szCs w:val="24"/>
        </w:rPr>
        <w:t xml:space="preserve"> </w:t>
      </w:r>
      <w:r w:rsidR="005D2D50">
        <w:rPr>
          <w:rFonts w:ascii="Times New Roman" w:eastAsia="Times New Roman" w:hAnsi="Times New Roman" w:cs="Times New Roman"/>
          <w:sz w:val="24"/>
          <w:szCs w:val="24"/>
        </w:rPr>
        <w:t>TI</w:t>
      </w:r>
      <w:r w:rsidRPr="00E36A94">
        <w:rPr>
          <w:rFonts w:ascii="Times New Roman" w:eastAsia="Times New Roman" w:hAnsi="Times New Roman" w:cs="Times New Roman"/>
          <w:sz w:val="24"/>
          <w:szCs w:val="24"/>
        </w:rPr>
        <w:t>.</w:t>
      </w:r>
    </w:p>
    <w:p w14:paraId="04905145" w14:textId="7CC37287" w:rsidR="00296232" w:rsidRPr="00A359DF" w:rsidRDefault="00A33DF7" w:rsidP="00A359DF">
      <w:pPr>
        <w:spacing w:after="120"/>
        <w:jc w:val="both"/>
        <w:rPr>
          <w:rFonts w:ascii="Times New Roman" w:eastAsia="Times New Roman" w:hAnsi="Times New Roman" w:cs="Times New Roman"/>
          <w:sz w:val="24"/>
          <w:szCs w:val="24"/>
        </w:rPr>
      </w:pPr>
      <w:r w:rsidRPr="00A33DF7">
        <w:rPr>
          <w:rFonts w:ascii="Times New Roman" w:eastAsia="Times New Roman" w:hAnsi="Times New Roman" w:cs="Times New Roman"/>
          <w:sz w:val="24"/>
          <w:szCs w:val="24"/>
        </w:rPr>
        <w:t xml:space="preserve">Conform Planului de admitere pentru anii 2015-2016, la specialitățile TIC au fost prevăzute aproape 2000 locuri, cu următoarea repartizare: învățământul profesional tehnic </w:t>
      </w:r>
      <w:proofErr w:type="spellStart"/>
      <w:r w:rsidRPr="00A33DF7">
        <w:rPr>
          <w:rFonts w:ascii="Times New Roman" w:eastAsia="Times New Roman" w:hAnsi="Times New Roman" w:cs="Times New Roman"/>
          <w:sz w:val="24"/>
          <w:szCs w:val="24"/>
        </w:rPr>
        <w:t>postsecundar</w:t>
      </w:r>
      <w:proofErr w:type="spellEnd"/>
      <w:r w:rsidRPr="00A33DF7">
        <w:rPr>
          <w:rFonts w:ascii="Times New Roman" w:eastAsia="Times New Roman" w:hAnsi="Times New Roman" w:cs="Times New Roman"/>
          <w:sz w:val="24"/>
          <w:szCs w:val="24"/>
        </w:rPr>
        <w:t xml:space="preserve"> - 520 (informatică); studii superioare de licență (ciclul I) - 150 (informatica); 110 - (cibernetică și informatică economica); 175 (informatica); 85 (management informațional); 155 (informatica aplicată); 105 (calculatoare); 290 (tehnologii informaționale); 45(automatica si informatica); 60 (securitate informațională); 15 (informatica, privați); 40 (cibernetica și informatica economică, privați); 80 (informatica, management informațional, informatica aplicata, privați); 150 (calculatoare, tehnologii informaționale, autom</w:t>
      </w:r>
      <w:r w:rsidR="00C926DB">
        <w:rPr>
          <w:rFonts w:ascii="Times New Roman" w:eastAsia="Times New Roman" w:hAnsi="Times New Roman" w:cs="Times New Roman"/>
          <w:sz w:val="24"/>
          <w:szCs w:val="24"/>
        </w:rPr>
        <w:t>atica și informatica, privați).</w:t>
      </w:r>
    </w:p>
    <w:p w14:paraId="42229D91" w14:textId="77777777" w:rsidR="00A33DF7" w:rsidRPr="00296232" w:rsidRDefault="00A33DF7" w:rsidP="00A33DF7">
      <w:pPr>
        <w:pStyle w:val="NormalWeb"/>
        <w:spacing w:before="0" w:beforeAutospacing="0" w:after="0" w:afterAutospacing="0"/>
        <w:jc w:val="center"/>
        <w:rPr>
          <w:rFonts w:ascii="Calibri" w:eastAsia="Calibri" w:hAnsi="Calibri" w:cs="Calibri"/>
          <w:b/>
          <w:color w:val="4F81BD"/>
          <w:sz w:val="22"/>
          <w:szCs w:val="22"/>
        </w:rPr>
      </w:pPr>
      <w:proofErr w:type="spellStart"/>
      <w:r w:rsidRPr="00296232">
        <w:rPr>
          <w:rFonts w:ascii="Calibri" w:eastAsia="Calibri" w:hAnsi="Calibri" w:cs="Calibri"/>
          <w:b/>
          <w:color w:val="4F81BD"/>
          <w:sz w:val="22"/>
          <w:szCs w:val="22"/>
        </w:rPr>
        <w:t>Figura</w:t>
      </w:r>
      <w:proofErr w:type="spellEnd"/>
      <w:r w:rsidRPr="00296232">
        <w:rPr>
          <w:rFonts w:ascii="Calibri" w:eastAsia="Calibri" w:hAnsi="Calibri" w:cs="Calibri"/>
          <w:b/>
          <w:color w:val="4F81BD"/>
          <w:sz w:val="22"/>
          <w:szCs w:val="22"/>
        </w:rPr>
        <w:t xml:space="preserve"> 3. Repartizarea locurilor la specialitățile TIC, </w:t>
      </w:r>
    </w:p>
    <w:p w14:paraId="28E46635" w14:textId="4D941C7C" w:rsidR="00A33DF7" w:rsidRDefault="00A33DF7" w:rsidP="00A33DF7">
      <w:pPr>
        <w:pStyle w:val="NormalWeb"/>
        <w:spacing w:before="0" w:beforeAutospacing="0" w:after="0" w:afterAutospacing="0"/>
        <w:jc w:val="center"/>
        <w:rPr>
          <w:rFonts w:ascii="Calibri" w:eastAsia="Calibri" w:hAnsi="Calibri" w:cs="Calibri"/>
          <w:b/>
          <w:color w:val="4F81BD"/>
          <w:sz w:val="22"/>
          <w:szCs w:val="22"/>
        </w:rPr>
      </w:pPr>
      <w:r w:rsidRPr="00296232">
        <w:rPr>
          <w:rFonts w:ascii="Calibri" w:eastAsia="Calibri" w:hAnsi="Calibri" w:cs="Calibri"/>
          <w:b/>
          <w:color w:val="4F81BD"/>
          <w:sz w:val="22"/>
          <w:szCs w:val="22"/>
          <w:lang w:val="ro-RO"/>
        </w:rPr>
        <w:t>conform Planului de admitere</w:t>
      </w:r>
      <w:r w:rsidRPr="00296232">
        <w:rPr>
          <w:rFonts w:ascii="Calibri" w:eastAsia="Calibri" w:hAnsi="Calibri" w:cs="Calibri"/>
          <w:b/>
          <w:color w:val="4F81BD"/>
          <w:sz w:val="22"/>
          <w:szCs w:val="22"/>
        </w:rPr>
        <w:t xml:space="preserve"> 2015-2016</w:t>
      </w:r>
    </w:p>
    <w:p w14:paraId="6C4961CC" w14:textId="77777777" w:rsidR="00296232" w:rsidRPr="00296232" w:rsidRDefault="00296232" w:rsidP="00296232">
      <w:pPr>
        <w:pStyle w:val="NormalWeb"/>
        <w:spacing w:before="0" w:beforeAutospacing="0" w:after="0" w:afterAutospacing="0"/>
        <w:rPr>
          <w:rFonts w:ascii="Calibri" w:eastAsia="Calibri" w:hAnsi="Calibri" w:cs="Calibri"/>
          <w:b/>
          <w:color w:val="4F81BD"/>
          <w:sz w:val="22"/>
          <w:szCs w:val="22"/>
        </w:rPr>
      </w:pPr>
    </w:p>
    <w:p w14:paraId="6D118B3E" w14:textId="2F1721C7" w:rsidR="00A33DF7" w:rsidRDefault="00A33DF7" w:rsidP="00744307">
      <w:pPr>
        <w:spacing w:after="120"/>
        <w:jc w:val="both"/>
        <w:rPr>
          <w:rFonts w:ascii="Times New Roman" w:eastAsia="Times New Roman" w:hAnsi="Times New Roman" w:cs="Times New Roman"/>
          <w:sz w:val="24"/>
          <w:szCs w:val="24"/>
        </w:rPr>
      </w:pPr>
      <w:r>
        <w:rPr>
          <w:noProof/>
          <w:lang w:val="en-US"/>
        </w:rPr>
        <w:drawing>
          <wp:inline distT="0" distB="0" distL="0" distR="0" wp14:anchorId="25778DDC" wp14:editId="02259F64">
            <wp:extent cx="573405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8D717B" w14:textId="19E3D064" w:rsidR="008D7147" w:rsidRPr="00E36A94" w:rsidRDefault="00AE6448" w:rsidP="00744307">
      <w:pPr>
        <w:spacing w:after="120"/>
        <w:jc w:val="both"/>
        <w:rPr>
          <w:rFonts w:ascii="Times New Roman" w:eastAsia="Times New Roman" w:hAnsi="Times New Roman" w:cs="Times New Roman"/>
          <w:b/>
          <w:sz w:val="24"/>
          <w:szCs w:val="24"/>
        </w:rPr>
      </w:pPr>
      <w:r w:rsidRPr="00E36A94">
        <w:rPr>
          <w:rFonts w:ascii="Times New Roman" w:eastAsia="Times New Roman" w:hAnsi="Times New Roman" w:cs="Times New Roman"/>
          <w:b/>
          <w:sz w:val="24"/>
          <w:szCs w:val="24"/>
        </w:rPr>
        <w:t>Intervenții planificate:</w:t>
      </w:r>
    </w:p>
    <w:p w14:paraId="24E47705" w14:textId="07EFC7C0" w:rsidR="00CD7CB3" w:rsidRDefault="00A20E80" w:rsidP="00A20E80">
      <w:pPr>
        <w:spacing w:after="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2.1) </w:t>
      </w:r>
      <w:r w:rsidR="00CD7CB3" w:rsidRPr="00A20E80">
        <w:rPr>
          <w:rFonts w:ascii="Times New Roman" w:eastAsia="Times New Roman" w:hAnsi="Times New Roman" w:cs="Times New Roman"/>
          <w:color w:val="auto"/>
          <w:sz w:val="24"/>
          <w:szCs w:val="24"/>
        </w:rPr>
        <w:t>Facilitarea parteneriatelor între instituțiile de învățământ și companiile TI private pentru perfecționarea programelor de studii</w:t>
      </w:r>
    </w:p>
    <w:p w14:paraId="6BB6BD0D" w14:textId="7E772025" w:rsidR="00CD7CB3" w:rsidRDefault="00CD7CB3" w:rsidP="00A20E80">
      <w:pPr>
        <w:pStyle w:val="ListParagraph"/>
        <w:numPr>
          <w:ilvl w:val="1"/>
          <w:numId w:val="32"/>
        </w:numPr>
        <w:spacing w:after="0"/>
        <w:jc w:val="both"/>
        <w:rPr>
          <w:rFonts w:ascii="Times New Roman" w:eastAsia="Times New Roman" w:hAnsi="Times New Roman" w:cs="Times New Roman"/>
          <w:color w:val="auto"/>
          <w:sz w:val="24"/>
          <w:szCs w:val="24"/>
        </w:rPr>
      </w:pPr>
      <w:r w:rsidRPr="00A20E80">
        <w:rPr>
          <w:rFonts w:ascii="Times New Roman" w:eastAsia="Times New Roman" w:hAnsi="Times New Roman" w:cs="Times New Roman"/>
          <w:color w:val="auto"/>
          <w:sz w:val="24"/>
          <w:szCs w:val="24"/>
        </w:rPr>
        <w:t xml:space="preserve">Organizarea anuală a campaniilor de promovare a atractivității specialităților TI </w:t>
      </w:r>
    </w:p>
    <w:p w14:paraId="5C7F8B70" w14:textId="77777777" w:rsidR="00CD7CB3" w:rsidRDefault="00CD7CB3" w:rsidP="00A20E80">
      <w:pPr>
        <w:pStyle w:val="ListParagraph"/>
        <w:numPr>
          <w:ilvl w:val="1"/>
          <w:numId w:val="32"/>
        </w:numPr>
        <w:spacing w:after="0"/>
        <w:jc w:val="both"/>
        <w:rPr>
          <w:rFonts w:ascii="Times New Roman" w:eastAsia="Times New Roman" w:hAnsi="Times New Roman" w:cs="Times New Roman"/>
          <w:color w:val="auto"/>
          <w:sz w:val="24"/>
          <w:szCs w:val="24"/>
        </w:rPr>
      </w:pPr>
      <w:r w:rsidRPr="00A20E80">
        <w:rPr>
          <w:rFonts w:ascii="Times New Roman" w:eastAsia="Times New Roman" w:hAnsi="Times New Roman" w:cs="Times New Roman"/>
          <w:color w:val="auto"/>
          <w:sz w:val="24"/>
          <w:szCs w:val="24"/>
        </w:rPr>
        <w:lastRenderedPageBreak/>
        <w:t xml:space="preserve">Încurajarea companiilor TI private în furnizarea </w:t>
      </w:r>
      <w:proofErr w:type="spellStart"/>
      <w:r w:rsidRPr="00A20E80">
        <w:rPr>
          <w:rFonts w:ascii="Times New Roman" w:eastAsia="Times New Roman" w:hAnsi="Times New Roman" w:cs="Times New Roman"/>
          <w:color w:val="auto"/>
          <w:sz w:val="24"/>
          <w:szCs w:val="24"/>
        </w:rPr>
        <w:t>trainingurilor</w:t>
      </w:r>
      <w:proofErr w:type="spellEnd"/>
      <w:r w:rsidRPr="00A20E80">
        <w:rPr>
          <w:rFonts w:ascii="Times New Roman" w:eastAsia="Times New Roman" w:hAnsi="Times New Roman" w:cs="Times New Roman"/>
          <w:color w:val="auto"/>
          <w:sz w:val="24"/>
          <w:szCs w:val="24"/>
        </w:rPr>
        <w:t xml:space="preserve"> și certificărilor pentru studenții facultăților TI, precum și angajații săi</w:t>
      </w:r>
    </w:p>
    <w:p w14:paraId="2415414C" w14:textId="77777777" w:rsidR="00CD7CB3" w:rsidRDefault="00CD7CB3" w:rsidP="00A20E80">
      <w:pPr>
        <w:pStyle w:val="ListParagraph"/>
        <w:numPr>
          <w:ilvl w:val="1"/>
          <w:numId w:val="32"/>
        </w:numPr>
        <w:spacing w:after="0"/>
        <w:jc w:val="both"/>
        <w:rPr>
          <w:rFonts w:ascii="Times New Roman" w:eastAsia="Times New Roman" w:hAnsi="Times New Roman" w:cs="Times New Roman"/>
          <w:color w:val="auto"/>
          <w:sz w:val="24"/>
          <w:szCs w:val="24"/>
        </w:rPr>
      </w:pPr>
      <w:r w:rsidRPr="00A20E80">
        <w:rPr>
          <w:rFonts w:ascii="Times New Roman" w:eastAsia="Times New Roman" w:hAnsi="Times New Roman" w:cs="Times New Roman"/>
          <w:color w:val="auto"/>
          <w:sz w:val="24"/>
          <w:szCs w:val="24"/>
        </w:rPr>
        <w:t xml:space="preserve">Introducerea în </w:t>
      </w:r>
      <w:proofErr w:type="spellStart"/>
      <w:r w:rsidRPr="00A20E80">
        <w:rPr>
          <w:rFonts w:ascii="Times New Roman" w:eastAsia="Times New Roman" w:hAnsi="Times New Roman" w:cs="Times New Roman"/>
          <w:color w:val="auto"/>
          <w:sz w:val="24"/>
          <w:szCs w:val="24"/>
        </w:rPr>
        <w:t>curricula</w:t>
      </w:r>
      <w:proofErr w:type="spellEnd"/>
      <w:r w:rsidRPr="00A20E80">
        <w:rPr>
          <w:rFonts w:ascii="Times New Roman" w:eastAsia="Times New Roman" w:hAnsi="Times New Roman" w:cs="Times New Roman"/>
          <w:color w:val="auto"/>
          <w:sz w:val="24"/>
          <w:szCs w:val="24"/>
        </w:rPr>
        <w:t xml:space="preserve"> la specialitățile TI a cursurilor de marketing și business management</w:t>
      </w:r>
    </w:p>
    <w:p w14:paraId="14E63CF2" w14:textId="3355D664" w:rsidR="00EF157D" w:rsidRPr="00A20E80" w:rsidRDefault="00CD7CB3" w:rsidP="00A20E80">
      <w:pPr>
        <w:pStyle w:val="ListParagraph"/>
        <w:numPr>
          <w:ilvl w:val="1"/>
          <w:numId w:val="32"/>
        </w:numPr>
        <w:spacing w:after="0"/>
        <w:jc w:val="both"/>
        <w:rPr>
          <w:rFonts w:ascii="Times New Roman" w:eastAsia="Times New Roman" w:hAnsi="Times New Roman" w:cs="Times New Roman"/>
          <w:color w:val="auto"/>
          <w:sz w:val="24"/>
          <w:szCs w:val="24"/>
        </w:rPr>
      </w:pPr>
      <w:r w:rsidRPr="00A20E80">
        <w:rPr>
          <w:rFonts w:ascii="Times New Roman" w:eastAsia="Times New Roman" w:hAnsi="Times New Roman" w:cs="Times New Roman"/>
          <w:color w:val="auto"/>
          <w:sz w:val="24"/>
          <w:szCs w:val="24"/>
        </w:rPr>
        <w:t xml:space="preserve">Excluderea cerinței </w:t>
      </w:r>
      <w:r w:rsidR="00B623DF" w:rsidRPr="00A20E80">
        <w:rPr>
          <w:rFonts w:ascii="Times New Roman" w:eastAsia="Times New Roman" w:hAnsi="Times New Roman" w:cs="Times New Roman"/>
          <w:color w:val="auto"/>
          <w:sz w:val="24"/>
          <w:szCs w:val="24"/>
        </w:rPr>
        <w:t xml:space="preserve">privind </w:t>
      </w:r>
      <w:r w:rsidRPr="00A20E80">
        <w:rPr>
          <w:rFonts w:ascii="Times New Roman" w:eastAsia="Times New Roman" w:hAnsi="Times New Roman" w:cs="Times New Roman"/>
          <w:color w:val="auto"/>
          <w:sz w:val="24"/>
          <w:szCs w:val="24"/>
        </w:rPr>
        <w:t>deținer</w:t>
      </w:r>
      <w:r w:rsidR="00B623DF" w:rsidRPr="00A20E80">
        <w:rPr>
          <w:rFonts w:ascii="Times New Roman" w:eastAsia="Times New Roman" w:hAnsi="Times New Roman" w:cs="Times New Roman"/>
          <w:color w:val="auto"/>
          <w:sz w:val="24"/>
          <w:szCs w:val="24"/>
        </w:rPr>
        <w:t>ea</w:t>
      </w:r>
      <w:r w:rsidRPr="00A20E80">
        <w:rPr>
          <w:rFonts w:ascii="Times New Roman" w:eastAsia="Times New Roman" w:hAnsi="Times New Roman" w:cs="Times New Roman"/>
          <w:color w:val="auto"/>
          <w:sz w:val="24"/>
          <w:szCs w:val="24"/>
        </w:rPr>
        <w:t xml:space="preserve"> unei calificări de nivelul 8 ISCED – studii superioare de doctorat, pentru ocuparea unei funcții științifico -didactice în domeniul TI</w:t>
      </w:r>
      <w:r w:rsidR="00DE5A81" w:rsidRPr="00A20E80">
        <w:rPr>
          <w:rFonts w:ascii="Times New Roman" w:eastAsia="Times New Roman" w:hAnsi="Times New Roman" w:cs="Times New Roman"/>
          <w:color w:val="auto"/>
          <w:sz w:val="24"/>
          <w:szCs w:val="24"/>
        </w:rPr>
        <w:t>.</w:t>
      </w:r>
    </w:p>
    <w:p w14:paraId="7F0E8CD2" w14:textId="77777777" w:rsidR="00444818" w:rsidRPr="00444818" w:rsidRDefault="00444818" w:rsidP="00444818">
      <w:pPr>
        <w:pStyle w:val="ListParagraph"/>
        <w:spacing w:after="120"/>
        <w:jc w:val="both"/>
        <w:rPr>
          <w:rFonts w:ascii="Times New Roman" w:eastAsia="Times New Roman" w:hAnsi="Times New Roman" w:cs="Times New Roman"/>
          <w:color w:val="auto"/>
          <w:sz w:val="12"/>
          <w:szCs w:val="12"/>
        </w:rPr>
      </w:pPr>
    </w:p>
    <w:p w14:paraId="79CC8514" w14:textId="14BEA5B6" w:rsidR="008D7147" w:rsidRPr="00E36A94" w:rsidRDefault="005D2D50" w:rsidP="0066400F">
      <w:pPr>
        <w:pStyle w:val="ListParagraph"/>
        <w:numPr>
          <w:ilvl w:val="0"/>
          <w:numId w:val="20"/>
        </w:numPr>
        <w:spacing w:after="120"/>
        <w:ind w:hanging="720"/>
        <w:jc w:val="both"/>
        <w:rPr>
          <w:rFonts w:ascii="Times New Roman" w:eastAsia="Times New Roman" w:hAnsi="Times New Roman" w:cs="Times New Roman"/>
          <w:sz w:val="24"/>
          <w:szCs w:val="24"/>
        </w:rPr>
      </w:pPr>
      <w:r w:rsidRPr="00E36A94">
        <w:rPr>
          <w:rFonts w:ascii="Times New Roman" w:eastAsia="Times New Roman" w:hAnsi="Times New Roman" w:cs="Times New Roman"/>
          <w:b/>
          <w:sz w:val="24"/>
          <w:szCs w:val="24"/>
        </w:rPr>
        <w:t>Inovații</w:t>
      </w:r>
      <w:r w:rsidR="00475B63" w:rsidRPr="00E36A94">
        <w:rPr>
          <w:rFonts w:ascii="Times New Roman" w:eastAsia="Times New Roman" w:hAnsi="Times New Roman" w:cs="Times New Roman"/>
          <w:b/>
          <w:sz w:val="24"/>
          <w:szCs w:val="24"/>
        </w:rPr>
        <w:t xml:space="preserve"> bazate pe TIC</w:t>
      </w:r>
    </w:p>
    <w:p w14:paraId="1723D3F1" w14:textId="42D63BD6" w:rsidR="00B40802" w:rsidRPr="00B40802" w:rsidRDefault="00475B63" w:rsidP="00B40802">
      <w:pPr>
        <w:spacing w:after="120"/>
        <w:jc w:val="both"/>
        <w:rPr>
          <w:rFonts w:ascii="Times New Roman" w:eastAsia="Times New Roman" w:hAnsi="Times New Roman" w:cs="Times New Roman"/>
          <w:i/>
          <w:sz w:val="24"/>
          <w:szCs w:val="24"/>
        </w:rPr>
      </w:pPr>
      <w:r w:rsidRPr="00E36A94">
        <w:rPr>
          <w:rFonts w:ascii="Times New Roman" w:eastAsia="Times New Roman" w:hAnsi="Times New Roman" w:cs="Times New Roman"/>
          <w:b/>
          <w:sz w:val="24"/>
          <w:szCs w:val="24"/>
        </w:rPr>
        <w:t xml:space="preserve">Obiectiv specific: </w:t>
      </w:r>
      <w:r w:rsidR="00EF157D" w:rsidRPr="00EF157D">
        <w:rPr>
          <w:rFonts w:ascii="Times New Roman" w:eastAsia="Times New Roman" w:hAnsi="Times New Roman" w:cs="Times New Roman"/>
          <w:i/>
          <w:sz w:val="24"/>
          <w:szCs w:val="24"/>
        </w:rPr>
        <w:t>Sporirea numărului companiilor care aplică inovații digitale pentru eficientizarea business proceselor și simplificarea administrării afacerilor</w:t>
      </w:r>
    </w:p>
    <w:p w14:paraId="3AC6A6C3" w14:textId="77777777" w:rsidR="00AD4762" w:rsidRDefault="00B40802" w:rsidP="00B40802">
      <w:pPr>
        <w:spacing w:after="120"/>
        <w:jc w:val="both"/>
        <w:rPr>
          <w:rFonts w:ascii="Times New Roman" w:eastAsia="Times New Roman" w:hAnsi="Times New Roman" w:cs="Times New Roman"/>
          <w:sz w:val="24"/>
          <w:szCs w:val="24"/>
        </w:rPr>
      </w:pPr>
      <w:r w:rsidRPr="00B40802">
        <w:rPr>
          <w:rFonts w:ascii="Times New Roman" w:eastAsia="Times New Roman" w:hAnsi="Times New Roman" w:cs="Times New Roman"/>
          <w:sz w:val="24"/>
          <w:szCs w:val="24"/>
        </w:rPr>
        <w:t xml:space="preserve">Inovația este unul din cei 12 piloni care formează competitivitatea unei economii, iar economiile cu un nivel înalt de dezvoltare al inovațiilor sunt și cele mai competitive. La acest capitol Republica Moldova are un nivel de dezvoltare rudimentar. O demonstrează în acest sens și ultimul raport privind Indicele Global al Competitivității, în care în dreptul indicatorului Inovații, Moldova ocupă abia poziția 128 din 137 state analizate cu un scor de 2,6 din 7. </w:t>
      </w:r>
    </w:p>
    <w:p w14:paraId="5FC46ED7" w14:textId="77777777" w:rsidR="00AD4762" w:rsidRDefault="00B40802" w:rsidP="00B40802">
      <w:pPr>
        <w:spacing w:after="120"/>
        <w:jc w:val="both"/>
        <w:rPr>
          <w:rFonts w:ascii="Times New Roman" w:eastAsia="Times New Roman" w:hAnsi="Times New Roman" w:cs="Times New Roman"/>
          <w:sz w:val="24"/>
          <w:szCs w:val="24"/>
        </w:rPr>
      </w:pPr>
      <w:r w:rsidRPr="00B40802">
        <w:rPr>
          <w:rFonts w:ascii="Times New Roman" w:eastAsia="Times New Roman" w:hAnsi="Times New Roman" w:cs="Times New Roman"/>
          <w:sz w:val="24"/>
          <w:szCs w:val="24"/>
        </w:rPr>
        <w:t xml:space="preserve">Cele mai critice aspecte vizează lipsa cheltuielilor companiilor pentru cercetare și dezvoltare, colaborarea mediului universitar cu industriile, disponibilitatea oamenilor de știință și a inginerilor, precum și achizițiile Guvernului de tehnologii avansate. </w:t>
      </w:r>
    </w:p>
    <w:p w14:paraId="311B7766" w14:textId="77777777" w:rsidR="00AD4762" w:rsidRDefault="00B40802" w:rsidP="00B40802">
      <w:pPr>
        <w:spacing w:after="120"/>
        <w:jc w:val="both"/>
        <w:rPr>
          <w:rFonts w:ascii="Times New Roman" w:eastAsia="Times New Roman" w:hAnsi="Times New Roman" w:cs="Times New Roman"/>
          <w:sz w:val="24"/>
          <w:szCs w:val="24"/>
        </w:rPr>
      </w:pPr>
      <w:r w:rsidRPr="00B40802">
        <w:rPr>
          <w:rFonts w:ascii="Times New Roman" w:eastAsia="Times New Roman" w:hAnsi="Times New Roman" w:cs="Times New Roman"/>
          <w:sz w:val="24"/>
          <w:szCs w:val="24"/>
        </w:rPr>
        <w:t>În industrie există unele companii cu capacități suficiente în generarea inovațiilor, însă produsele/soluțiile generate sunt orienta</w:t>
      </w:r>
      <w:r w:rsidR="00AD4762">
        <w:rPr>
          <w:rFonts w:ascii="Times New Roman" w:eastAsia="Times New Roman" w:hAnsi="Times New Roman" w:cs="Times New Roman"/>
          <w:sz w:val="24"/>
          <w:szCs w:val="24"/>
        </w:rPr>
        <w:t>te spre piața externă, Uniunea E</w:t>
      </w:r>
      <w:r w:rsidRPr="00B40802">
        <w:rPr>
          <w:rFonts w:ascii="Times New Roman" w:eastAsia="Times New Roman" w:hAnsi="Times New Roman" w:cs="Times New Roman"/>
          <w:sz w:val="24"/>
          <w:szCs w:val="24"/>
        </w:rPr>
        <w:t>uropeană sau CSI. Produsele inovative create pentru piața locală sunt puține, iar soluțiile departe de a fi adaptate la cerințele businessului local. În mare parte acest lucru este cauzat de incapacitatea sectorului privat de a adopta tehnologii TI. Necunoașterea potențialelor beneficii și sar</w:t>
      </w:r>
      <w:r w:rsidR="00AD4762">
        <w:rPr>
          <w:rFonts w:ascii="Times New Roman" w:eastAsia="Times New Roman" w:hAnsi="Times New Roman" w:cs="Times New Roman"/>
          <w:sz w:val="24"/>
          <w:szCs w:val="24"/>
        </w:rPr>
        <w:t>cinile tehnice formulate vag</w:t>
      </w:r>
      <w:r w:rsidRPr="00B40802">
        <w:rPr>
          <w:rFonts w:ascii="Times New Roman" w:eastAsia="Times New Roman" w:hAnsi="Times New Roman" w:cs="Times New Roman"/>
          <w:sz w:val="24"/>
          <w:szCs w:val="24"/>
        </w:rPr>
        <w:t xml:space="preserve"> duc la o valoare percepută redusă a tehnologiilor TI. </w:t>
      </w:r>
    </w:p>
    <w:p w14:paraId="3E5DBD31" w14:textId="77777777" w:rsidR="00AD4762" w:rsidRDefault="00B40802" w:rsidP="00B40802">
      <w:pPr>
        <w:spacing w:after="120"/>
        <w:jc w:val="both"/>
        <w:rPr>
          <w:rFonts w:ascii="Times New Roman" w:eastAsia="Times New Roman" w:hAnsi="Times New Roman" w:cs="Times New Roman"/>
          <w:sz w:val="24"/>
          <w:szCs w:val="24"/>
        </w:rPr>
      </w:pPr>
      <w:r w:rsidRPr="00B40802">
        <w:rPr>
          <w:rFonts w:ascii="Times New Roman" w:eastAsia="Times New Roman" w:hAnsi="Times New Roman" w:cs="Times New Roman"/>
          <w:sz w:val="24"/>
          <w:szCs w:val="24"/>
        </w:rPr>
        <w:t xml:space="preserve">Pentru ca tehnologiile TI să ducă la creșterea productivității sectorului privat este necesar de a stabili un cadru de cooperare între instituțiile de cercetare, mediul academic, companiile TI și mediul privat. În același timp, potrivit unei cercetări a OCDE, rolul TI este vital în dezvoltarea inovațiilor. Astfel, se constată că „abordarea sistemelor naționale de inovare subliniază faptul că fluxurile de tehnologie și informații între oameni, întreprinderi și instituții sunt esențiale pentru procesul inovator”. </w:t>
      </w:r>
    </w:p>
    <w:p w14:paraId="2216FDE7" w14:textId="77777777" w:rsidR="00AD4762" w:rsidRDefault="00B40802" w:rsidP="00B40802">
      <w:pPr>
        <w:spacing w:after="120"/>
        <w:jc w:val="both"/>
        <w:rPr>
          <w:rFonts w:ascii="Times New Roman" w:eastAsia="Times New Roman" w:hAnsi="Times New Roman" w:cs="Times New Roman"/>
          <w:sz w:val="24"/>
          <w:szCs w:val="24"/>
        </w:rPr>
      </w:pPr>
      <w:r w:rsidRPr="00B40802">
        <w:rPr>
          <w:rFonts w:ascii="Times New Roman" w:eastAsia="Times New Roman" w:hAnsi="Times New Roman" w:cs="Times New Roman"/>
          <w:sz w:val="24"/>
          <w:szCs w:val="24"/>
        </w:rPr>
        <w:t>Inovația și dezvoltarea tehnologică sunt rezultatul unui set complex de relații dintre actorii din sistem, care includ întreprinderi, universități și institute guvernamentale de cercetare. În acest context, instituționalizarea unui cadru național al sistemelor de inovare este de o importanță majoră.</w:t>
      </w:r>
    </w:p>
    <w:p w14:paraId="2A03E38D" w14:textId="67175E35" w:rsidR="008D7147" w:rsidRPr="00E36A94" w:rsidRDefault="00475B63" w:rsidP="00B40802">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Mediul privat este relativ sceptic la soluțiile TI de creștere a productivității. În mare parte acest lucru este cauzat de necesitatea unor investiții considerabile fără a avea certitudinea că va fi obținut efectul promis. Piața internă este una mică și soluțiile dezvoltate pentru un număr nesemnificativ de beneficiari vor avea un cost ridicat.  </w:t>
      </w:r>
    </w:p>
    <w:p w14:paraId="723D5835" w14:textId="77777777"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Pentru factorii de decizie politică, înțelegerea sistemului național de inovare poate contribui la identificarea punctelor de pârghie pentru îmbunătățirea performanței inovatoare și a competitivității globale. Acesta poate contribui la identificarea neconcordanțelor în cadrul sistemului, atât între instituții, cât și în ceea ce privește politicile guvernamentale, care pot împiedica dezvoltarea tehnologică și inovarea.</w:t>
      </w:r>
    </w:p>
    <w:p w14:paraId="366DEE1A" w14:textId="77777777"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lastRenderedPageBreak/>
        <w:t>Politicile care urmăresc să îmbunătățească crearea de rețele între actorii și instituțiile din sistem și care vizează îmbunătățirea capacității inovatoare a întreprinderilor, în special abilitatea lor de a identifica și absorbi tehnologiile, sunt cele mai valoroase în acest context.</w:t>
      </w:r>
    </w:p>
    <w:p w14:paraId="5C601064" w14:textId="787AFEC3"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Cele mai bune practici din experiența internațională ale unor țări ce au progresat substanțial în domeniul </w:t>
      </w:r>
      <w:r w:rsidR="00223EC2">
        <w:rPr>
          <w:rFonts w:ascii="Times New Roman" w:eastAsia="Times New Roman" w:hAnsi="Times New Roman" w:cs="Times New Roman"/>
          <w:sz w:val="24"/>
          <w:szCs w:val="24"/>
        </w:rPr>
        <w:t>TI</w:t>
      </w:r>
      <w:r w:rsidRPr="00E36A94">
        <w:rPr>
          <w:rFonts w:ascii="Times New Roman" w:eastAsia="Times New Roman" w:hAnsi="Times New Roman" w:cs="Times New Roman"/>
          <w:sz w:val="24"/>
          <w:szCs w:val="24"/>
        </w:rPr>
        <w:t xml:space="preserve"> (China, India, </w:t>
      </w:r>
      <w:r w:rsidR="001739BE" w:rsidRPr="00E36A94">
        <w:rPr>
          <w:rFonts w:ascii="Times New Roman" w:eastAsia="Times New Roman" w:hAnsi="Times New Roman" w:cs="Times New Roman"/>
          <w:sz w:val="24"/>
          <w:szCs w:val="24"/>
        </w:rPr>
        <w:t>Coreea</w:t>
      </w:r>
      <w:r w:rsidRPr="00E36A94">
        <w:rPr>
          <w:rFonts w:ascii="Times New Roman" w:eastAsia="Times New Roman" w:hAnsi="Times New Roman" w:cs="Times New Roman"/>
          <w:sz w:val="24"/>
          <w:szCs w:val="24"/>
        </w:rPr>
        <w:t xml:space="preserve"> de Sud, </w:t>
      </w:r>
      <w:proofErr w:type="spellStart"/>
      <w:r w:rsidRPr="00E36A94">
        <w:rPr>
          <w:rFonts w:ascii="Times New Roman" w:eastAsia="Times New Roman" w:hAnsi="Times New Roman" w:cs="Times New Roman"/>
          <w:sz w:val="24"/>
          <w:szCs w:val="24"/>
        </w:rPr>
        <w:t>Malaezia</w:t>
      </w:r>
      <w:proofErr w:type="spellEnd"/>
      <w:r w:rsidRPr="00E36A94">
        <w:rPr>
          <w:rFonts w:ascii="Times New Roman" w:eastAsia="Times New Roman" w:hAnsi="Times New Roman" w:cs="Times New Roman"/>
          <w:sz w:val="24"/>
          <w:szCs w:val="24"/>
        </w:rPr>
        <w:t>, Singapore) scot în evidență 3 tipuri de intervenții ale statului pentru susținerea politicilor in</w:t>
      </w:r>
      <w:r w:rsidR="00506D4C">
        <w:rPr>
          <w:rFonts w:ascii="Times New Roman" w:eastAsia="Times New Roman" w:hAnsi="Times New Roman" w:cs="Times New Roman"/>
          <w:sz w:val="24"/>
          <w:szCs w:val="24"/>
        </w:rPr>
        <w:t>ovaționale în sfera TI</w:t>
      </w:r>
      <w:r w:rsidR="006E3051">
        <w:rPr>
          <w:rFonts w:ascii="Times New Roman" w:eastAsia="Times New Roman" w:hAnsi="Times New Roman" w:cs="Times New Roman"/>
          <w:sz w:val="24"/>
          <w:szCs w:val="24"/>
        </w:rPr>
        <w:t xml:space="preserve"> și anume:</w:t>
      </w:r>
    </w:p>
    <w:p w14:paraId="6C61A364" w14:textId="437FE0F0" w:rsidR="008D7147" w:rsidRPr="00E36A94" w:rsidRDefault="006E3051" w:rsidP="001739BE">
      <w:pPr>
        <w:spacing w:after="120"/>
        <w:jc w:val="both"/>
        <w:rPr>
          <w:rFonts w:ascii="Times New Roman" w:eastAsia="Times New Roman" w:hAnsi="Times New Roman" w:cs="Times New Roman"/>
          <w:sz w:val="24"/>
          <w:szCs w:val="24"/>
        </w:rPr>
      </w:pPr>
      <w:r w:rsidRPr="00605E48">
        <w:rPr>
          <w:rFonts w:ascii="Times New Roman" w:eastAsia="Times New Roman" w:hAnsi="Times New Roman" w:cs="Times New Roman"/>
          <w:b/>
          <w:i/>
          <w:sz w:val="24"/>
          <w:szCs w:val="24"/>
        </w:rPr>
        <w:t xml:space="preserve">3.1.1) </w:t>
      </w:r>
      <w:r w:rsidR="00475B63" w:rsidRPr="00605E48">
        <w:rPr>
          <w:rFonts w:ascii="Times New Roman" w:eastAsia="Times New Roman" w:hAnsi="Times New Roman" w:cs="Times New Roman"/>
          <w:b/>
          <w:i/>
          <w:sz w:val="24"/>
          <w:szCs w:val="24"/>
        </w:rPr>
        <w:t>Suport pentru cercetare și dezvoltare</w:t>
      </w:r>
      <w:r w:rsidR="00475B63" w:rsidRPr="00605E48">
        <w:rPr>
          <w:rFonts w:ascii="Times New Roman" w:eastAsia="Times New Roman" w:hAnsi="Times New Roman" w:cs="Times New Roman"/>
          <w:i/>
          <w:sz w:val="24"/>
          <w:szCs w:val="24"/>
        </w:rPr>
        <w:t xml:space="preserve"> </w:t>
      </w:r>
      <w:r w:rsidR="00475B63" w:rsidRPr="00E36A94">
        <w:rPr>
          <w:rFonts w:ascii="Times New Roman" w:eastAsia="Times New Roman" w:hAnsi="Times New Roman" w:cs="Times New Roman"/>
          <w:sz w:val="24"/>
          <w:szCs w:val="24"/>
        </w:rPr>
        <w:t xml:space="preserve">– </w:t>
      </w:r>
      <w:r w:rsidR="00223EC2">
        <w:rPr>
          <w:rFonts w:ascii="Times New Roman" w:eastAsia="Times New Roman" w:hAnsi="Times New Roman" w:cs="Times New Roman"/>
          <w:sz w:val="24"/>
          <w:szCs w:val="24"/>
        </w:rPr>
        <w:t xml:space="preserve">prin oferirea </w:t>
      </w:r>
      <w:r w:rsidR="00475B63" w:rsidRPr="00E36A94">
        <w:rPr>
          <w:rFonts w:ascii="Times New Roman" w:eastAsia="Times New Roman" w:hAnsi="Times New Roman" w:cs="Times New Roman"/>
          <w:sz w:val="24"/>
          <w:szCs w:val="24"/>
        </w:rPr>
        <w:t>spațiu</w:t>
      </w:r>
      <w:r w:rsidR="00223EC2">
        <w:rPr>
          <w:rFonts w:ascii="Times New Roman" w:eastAsia="Times New Roman" w:hAnsi="Times New Roman" w:cs="Times New Roman"/>
          <w:sz w:val="24"/>
          <w:szCs w:val="24"/>
        </w:rPr>
        <w:t>lui</w:t>
      </w:r>
      <w:r w:rsidR="00475B63" w:rsidRPr="00E36A94">
        <w:rPr>
          <w:rFonts w:ascii="Times New Roman" w:eastAsia="Times New Roman" w:hAnsi="Times New Roman" w:cs="Times New Roman"/>
          <w:sz w:val="24"/>
          <w:szCs w:val="24"/>
        </w:rPr>
        <w:t xml:space="preserve"> liber </w:t>
      </w:r>
      <w:r w:rsidR="001739BE" w:rsidRPr="00E36A94">
        <w:rPr>
          <w:rFonts w:ascii="Times New Roman" w:eastAsia="Times New Roman" w:hAnsi="Times New Roman" w:cs="Times New Roman"/>
          <w:sz w:val="24"/>
          <w:szCs w:val="24"/>
        </w:rPr>
        <w:t>companiilor implicate în R&amp;</w:t>
      </w:r>
      <w:r w:rsidR="00475B63" w:rsidRPr="00E36A94">
        <w:rPr>
          <w:rFonts w:ascii="Times New Roman" w:eastAsia="Times New Roman" w:hAnsi="Times New Roman" w:cs="Times New Roman"/>
          <w:sz w:val="24"/>
          <w:szCs w:val="24"/>
        </w:rPr>
        <w:t xml:space="preserve">D avansat, împreună cu </w:t>
      </w:r>
      <w:r w:rsidR="00223EC2">
        <w:rPr>
          <w:rFonts w:ascii="Times New Roman" w:eastAsia="Times New Roman" w:hAnsi="Times New Roman" w:cs="Times New Roman"/>
          <w:sz w:val="24"/>
          <w:szCs w:val="24"/>
        </w:rPr>
        <w:t>instrumentele software necesare,</w:t>
      </w:r>
      <w:r w:rsidR="00475B63" w:rsidRPr="00E36A94">
        <w:rPr>
          <w:rFonts w:ascii="Times New Roman" w:eastAsia="Times New Roman" w:hAnsi="Times New Roman" w:cs="Times New Roman"/>
          <w:sz w:val="24"/>
          <w:szCs w:val="24"/>
        </w:rPr>
        <w:t xml:space="preserve"> o serie de stimulente fiscale legate de cercetare și dezvoltare, cum ar fi dubla deducere a tuturor cheltuielilor legate de R&amp;D și scutirea de impozitul reținut la sursă de redevență sau de taxe </w:t>
      </w:r>
      <w:r w:rsidR="00223EC2">
        <w:rPr>
          <w:rFonts w:ascii="Times New Roman" w:eastAsia="Times New Roman" w:hAnsi="Times New Roman" w:cs="Times New Roman"/>
          <w:sz w:val="24"/>
          <w:szCs w:val="24"/>
        </w:rPr>
        <w:t xml:space="preserve">tehnice plătite nerezidenților, </w:t>
      </w:r>
      <w:r w:rsidR="00475B63" w:rsidRPr="00E36A94">
        <w:rPr>
          <w:rFonts w:ascii="Times New Roman" w:eastAsia="Times New Roman" w:hAnsi="Times New Roman" w:cs="Times New Roman"/>
          <w:sz w:val="24"/>
          <w:szCs w:val="24"/>
        </w:rPr>
        <w:t xml:space="preserve">programe de granturi pentru susținerea companiilor ce investesc în R&amp;D. </w:t>
      </w:r>
    </w:p>
    <w:p w14:paraId="78C63613" w14:textId="68FFCFD3" w:rsidR="008D7147" w:rsidRPr="00E36A94" w:rsidRDefault="006E3051" w:rsidP="001739BE">
      <w:pPr>
        <w:spacing w:after="120"/>
        <w:jc w:val="both"/>
        <w:rPr>
          <w:rFonts w:ascii="Times New Roman" w:eastAsia="Times New Roman" w:hAnsi="Times New Roman" w:cs="Times New Roman"/>
          <w:sz w:val="24"/>
          <w:szCs w:val="24"/>
        </w:rPr>
      </w:pPr>
      <w:r w:rsidRPr="00605E48">
        <w:rPr>
          <w:rFonts w:ascii="Times New Roman" w:eastAsia="Times New Roman" w:hAnsi="Times New Roman" w:cs="Times New Roman"/>
          <w:b/>
          <w:i/>
          <w:sz w:val="24"/>
          <w:szCs w:val="24"/>
        </w:rPr>
        <w:t xml:space="preserve">3.1.2) </w:t>
      </w:r>
      <w:r w:rsidR="00475B63" w:rsidRPr="00605E48">
        <w:rPr>
          <w:rFonts w:ascii="Times New Roman" w:eastAsia="Times New Roman" w:hAnsi="Times New Roman" w:cs="Times New Roman"/>
          <w:b/>
          <w:i/>
          <w:sz w:val="24"/>
          <w:szCs w:val="24"/>
        </w:rPr>
        <w:t>Protecția drepturilor de proprietate intelectuală</w:t>
      </w:r>
      <w:r w:rsidR="00475B63" w:rsidRPr="00E36A94">
        <w:rPr>
          <w:rFonts w:ascii="Times New Roman" w:eastAsia="Times New Roman" w:hAnsi="Times New Roman" w:cs="Times New Roman"/>
          <w:sz w:val="24"/>
          <w:szCs w:val="24"/>
        </w:rPr>
        <w:t xml:space="preserve"> – ajustarea legislației aferente drepturilor de autor în concordanță cu Aspecte legate de comerț ale Acordului privind drepturile de proprietate intelectuală (TRIPS) al OMC</w:t>
      </w:r>
      <w:r w:rsidR="0066400F" w:rsidRPr="00E36A94">
        <w:rPr>
          <w:rFonts w:ascii="Times New Roman" w:eastAsia="Times New Roman" w:hAnsi="Times New Roman" w:cs="Times New Roman"/>
          <w:sz w:val="24"/>
          <w:szCs w:val="24"/>
        </w:rPr>
        <w:t xml:space="preserve">. </w:t>
      </w:r>
      <w:r w:rsidR="00475B63" w:rsidRPr="00E36A94">
        <w:rPr>
          <w:rFonts w:ascii="Times New Roman" w:eastAsia="Times New Roman" w:hAnsi="Times New Roman" w:cs="Times New Roman"/>
          <w:sz w:val="24"/>
          <w:szCs w:val="24"/>
        </w:rPr>
        <w:t xml:space="preserve">În </w:t>
      </w:r>
      <w:r w:rsidR="0066400F" w:rsidRPr="00E36A94">
        <w:rPr>
          <w:rFonts w:ascii="Times New Roman" w:eastAsia="Times New Roman" w:hAnsi="Times New Roman" w:cs="Times New Roman"/>
          <w:sz w:val="24"/>
          <w:szCs w:val="24"/>
        </w:rPr>
        <w:t>diverse</w:t>
      </w:r>
      <w:r w:rsidR="00475B63" w:rsidRPr="00E36A94">
        <w:rPr>
          <w:rFonts w:ascii="Times New Roman" w:eastAsia="Times New Roman" w:hAnsi="Times New Roman" w:cs="Times New Roman"/>
          <w:sz w:val="24"/>
          <w:szCs w:val="24"/>
        </w:rPr>
        <w:t xml:space="preserve"> țări, precum China sau </w:t>
      </w:r>
      <w:proofErr w:type="spellStart"/>
      <w:r w:rsidR="00475B63" w:rsidRPr="00E36A94">
        <w:rPr>
          <w:rFonts w:ascii="Times New Roman" w:eastAsia="Times New Roman" w:hAnsi="Times New Roman" w:cs="Times New Roman"/>
          <w:sz w:val="24"/>
          <w:szCs w:val="24"/>
        </w:rPr>
        <w:t>Maalezia</w:t>
      </w:r>
      <w:proofErr w:type="spellEnd"/>
      <w:r w:rsidR="00475B63" w:rsidRPr="00E36A94">
        <w:rPr>
          <w:rFonts w:ascii="Times New Roman" w:eastAsia="Times New Roman" w:hAnsi="Times New Roman" w:cs="Times New Roman"/>
          <w:sz w:val="24"/>
          <w:szCs w:val="24"/>
        </w:rPr>
        <w:t>, legislația privind drepturile de autor a fost revizuită pentru a include "software-</w:t>
      </w:r>
      <w:proofErr w:type="spellStart"/>
      <w:r w:rsidR="00475B63" w:rsidRPr="00E36A94">
        <w:rPr>
          <w:rFonts w:ascii="Times New Roman" w:eastAsia="Times New Roman" w:hAnsi="Times New Roman" w:cs="Times New Roman"/>
          <w:sz w:val="24"/>
          <w:szCs w:val="24"/>
        </w:rPr>
        <w:t>ul</w:t>
      </w:r>
      <w:proofErr w:type="spellEnd"/>
      <w:r w:rsidR="00475B63" w:rsidRPr="00E36A94">
        <w:rPr>
          <w:rFonts w:ascii="Times New Roman" w:eastAsia="Times New Roman" w:hAnsi="Times New Roman" w:cs="Times New Roman"/>
          <w:sz w:val="24"/>
          <w:szCs w:val="24"/>
        </w:rPr>
        <w:t xml:space="preserve"> / programele de calculator" în conformitate cu definiția "operelor" care se bucură de drepturi de autor.</w:t>
      </w:r>
    </w:p>
    <w:p w14:paraId="3D535AE2" w14:textId="46E0FDC1" w:rsidR="008D7147" w:rsidRPr="00E36A94" w:rsidRDefault="006E3051" w:rsidP="001739BE">
      <w:pPr>
        <w:spacing w:after="120"/>
        <w:jc w:val="both"/>
        <w:rPr>
          <w:rFonts w:ascii="Times New Roman" w:eastAsia="Times New Roman" w:hAnsi="Times New Roman" w:cs="Times New Roman"/>
          <w:sz w:val="24"/>
          <w:szCs w:val="24"/>
        </w:rPr>
      </w:pPr>
      <w:r w:rsidRPr="00605E48">
        <w:rPr>
          <w:rFonts w:ascii="Times New Roman" w:eastAsia="Times New Roman" w:hAnsi="Times New Roman" w:cs="Times New Roman"/>
          <w:b/>
          <w:i/>
          <w:sz w:val="24"/>
          <w:szCs w:val="24"/>
        </w:rPr>
        <w:t xml:space="preserve">3.1.3) </w:t>
      </w:r>
      <w:r w:rsidR="00475B63" w:rsidRPr="00605E48">
        <w:rPr>
          <w:rFonts w:ascii="Times New Roman" w:eastAsia="Times New Roman" w:hAnsi="Times New Roman" w:cs="Times New Roman"/>
          <w:b/>
          <w:i/>
          <w:sz w:val="24"/>
          <w:szCs w:val="24"/>
        </w:rPr>
        <w:t>Furnizarea de facilități și servicii de incubare</w:t>
      </w:r>
      <w:r w:rsidR="00475B63" w:rsidRPr="00E36A94">
        <w:rPr>
          <w:rFonts w:ascii="Times New Roman" w:eastAsia="Times New Roman" w:hAnsi="Times New Roman" w:cs="Times New Roman"/>
          <w:sz w:val="24"/>
          <w:szCs w:val="24"/>
        </w:rPr>
        <w:t xml:space="preserve"> –prin rețele de centre de incubare și/sa</w:t>
      </w:r>
      <w:r w:rsidR="00506D4C">
        <w:rPr>
          <w:rFonts w:ascii="Times New Roman" w:eastAsia="Times New Roman" w:hAnsi="Times New Roman" w:cs="Times New Roman"/>
          <w:sz w:val="24"/>
          <w:szCs w:val="24"/>
        </w:rPr>
        <w:t>u prin intermediul parcurilor TI</w:t>
      </w:r>
      <w:r w:rsidR="00475B63" w:rsidRPr="00E36A94">
        <w:rPr>
          <w:rFonts w:ascii="Times New Roman" w:eastAsia="Times New Roman" w:hAnsi="Times New Roman" w:cs="Times New Roman"/>
          <w:sz w:val="24"/>
          <w:szCs w:val="24"/>
        </w:rPr>
        <w:t>, care posedă facilități de incubare susținute de instituții guvernamentale și academice.</w:t>
      </w:r>
    </w:p>
    <w:p w14:paraId="40CF6D5E" w14:textId="71B88267"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Este evident că pentru a îmbunătăți politicile inovaționale bazate pe </w:t>
      </w:r>
      <w:r w:rsidR="00506D4C">
        <w:rPr>
          <w:rFonts w:ascii="Times New Roman" w:eastAsia="Times New Roman" w:hAnsi="Times New Roman" w:cs="Times New Roman"/>
          <w:sz w:val="24"/>
          <w:szCs w:val="24"/>
        </w:rPr>
        <w:t>TI</w:t>
      </w:r>
      <w:r w:rsidRPr="00E36A94">
        <w:rPr>
          <w:rFonts w:ascii="Times New Roman" w:eastAsia="Times New Roman" w:hAnsi="Times New Roman" w:cs="Times New Roman"/>
          <w:sz w:val="24"/>
          <w:szCs w:val="24"/>
        </w:rPr>
        <w:t xml:space="preserve"> și a produce efecte vizibile, Republica Moldova trebuie să întreprindă măsuri ce s-au dovedit a fi viabile în alte state după cum este reflectat în exemplele de mai sus.</w:t>
      </w:r>
    </w:p>
    <w:p w14:paraId="70A3944D" w14:textId="2E4B61A0"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Potrivit datelor Academiei de Științe a Moldovei, finanțarea activităților de cercetare constituie doar 0,35% din PIB al țării, iar cheltuielile bugetare în 2016 pentru întreg domen</w:t>
      </w:r>
      <w:r w:rsidR="00506D4C">
        <w:rPr>
          <w:rFonts w:ascii="Times New Roman" w:eastAsia="Times New Roman" w:hAnsi="Times New Roman" w:cs="Times New Roman"/>
          <w:sz w:val="24"/>
          <w:szCs w:val="24"/>
        </w:rPr>
        <w:t>iul au constituit 275,3 mil.</w:t>
      </w:r>
      <w:r w:rsidRPr="00E36A94">
        <w:rPr>
          <w:rFonts w:ascii="Times New Roman" w:eastAsia="Times New Roman" w:hAnsi="Times New Roman" w:cs="Times New Roman"/>
          <w:sz w:val="24"/>
          <w:szCs w:val="24"/>
        </w:rPr>
        <w:t xml:space="preserve"> lei, </w:t>
      </w:r>
      <w:r w:rsidR="00506D4C">
        <w:rPr>
          <w:rFonts w:ascii="Times New Roman" w:eastAsia="Times New Roman" w:hAnsi="Times New Roman" w:cs="Times New Roman"/>
          <w:sz w:val="24"/>
          <w:szCs w:val="24"/>
        </w:rPr>
        <w:t>dintre care 17,5%, 48,2 mil.</w:t>
      </w:r>
      <w:r w:rsidRPr="00E36A94">
        <w:rPr>
          <w:rFonts w:ascii="Times New Roman" w:eastAsia="Times New Roman" w:hAnsi="Times New Roman" w:cs="Times New Roman"/>
          <w:sz w:val="24"/>
          <w:szCs w:val="24"/>
        </w:rPr>
        <w:t xml:space="preserve"> lei, au constituit surse extrabugetare. </w:t>
      </w:r>
    </w:p>
    <w:p w14:paraId="467F8828" w14:textId="001A4DDC" w:rsidR="001739BE" w:rsidRPr="00E36A94" w:rsidRDefault="001739BE" w:rsidP="00783B2D">
      <w:pPr>
        <w:spacing w:after="0"/>
        <w:jc w:val="both"/>
        <w:rPr>
          <w:rFonts w:ascii="Times New Roman" w:eastAsia="Times New Roman" w:hAnsi="Times New Roman" w:cs="Times New Roman"/>
          <w:b/>
          <w:sz w:val="24"/>
          <w:szCs w:val="24"/>
        </w:rPr>
      </w:pPr>
      <w:r w:rsidRPr="00E36A94">
        <w:rPr>
          <w:rFonts w:ascii="Times New Roman" w:eastAsia="Times New Roman" w:hAnsi="Times New Roman" w:cs="Times New Roman"/>
          <w:b/>
          <w:sz w:val="24"/>
          <w:szCs w:val="24"/>
        </w:rPr>
        <w:t>Intervenții planificate:</w:t>
      </w:r>
    </w:p>
    <w:p w14:paraId="1AEA11E0" w14:textId="77777777" w:rsidR="006803E8" w:rsidRPr="006E4751" w:rsidRDefault="006803E8" w:rsidP="006803E8">
      <w:pPr>
        <w:pStyle w:val="ListParagraph"/>
        <w:numPr>
          <w:ilvl w:val="1"/>
          <w:numId w:val="24"/>
        </w:numPr>
        <w:spacing w:after="0"/>
        <w:jc w:val="both"/>
        <w:rPr>
          <w:rFonts w:ascii="Times New Roman" w:eastAsia="Times New Roman" w:hAnsi="Times New Roman" w:cs="Times New Roman"/>
          <w:color w:val="auto"/>
          <w:sz w:val="24"/>
          <w:szCs w:val="24"/>
        </w:rPr>
      </w:pPr>
      <w:r w:rsidRPr="006E4751">
        <w:rPr>
          <w:rFonts w:ascii="Times New Roman" w:eastAsia="Times New Roman" w:hAnsi="Times New Roman" w:cs="Times New Roman"/>
          <w:color w:val="auto"/>
          <w:sz w:val="24"/>
          <w:szCs w:val="24"/>
        </w:rPr>
        <w:t xml:space="preserve">Dezvoltarea unei abordări sistemice a inovației realizată prin intermediul unui Sistem de Inovare cadru la nivel de țară prin: definirea unui cadru al sistemelor de inovare pentru Moldova pe linii similare, cum ar fi: Abordarea OCDE și alte sisteme, Sistemul Național de Inovare din Australia, Sistemul național de Inovare din Japonia </w:t>
      </w:r>
    </w:p>
    <w:p w14:paraId="20BC75F9" w14:textId="4A104A02" w:rsidR="006803E8" w:rsidRPr="006E4751" w:rsidRDefault="006803E8" w:rsidP="006803E8">
      <w:pPr>
        <w:pStyle w:val="ListParagraph"/>
        <w:numPr>
          <w:ilvl w:val="1"/>
          <w:numId w:val="24"/>
        </w:numPr>
        <w:spacing w:after="0"/>
        <w:jc w:val="both"/>
        <w:rPr>
          <w:rFonts w:ascii="Times New Roman" w:eastAsia="Times New Roman" w:hAnsi="Times New Roman" w:cs="Times New Roman"/>
          <w:color w:val="auto"/>
          <w:sz w:val="24"/>
          <w:szCs w:val="24"/>
        </w:rPr>
      </w:pPr>
      <w:r w:rsidRPr="006E4751">
        <w:rPr>
          <w:rFonts w:ascii="Times New Roman" w:eastAsia="Times New Roman" w:hAnsi="Times New Roman" w:cs="Times New Roman"/>
          <w:color w:val="auto"/>
          <w:sz w:val="24"/>
          <w:szCs w:val="24"/>
        </w:rPr>
        <w:t>D</w:t>
      </w:r>
      <w:r w:rsidR="00057B7B">
        <w:rPr>
          <w:rFonts w:ascii="Times New Roman" w:eastAsia="Times New Roman" w:hAnsi="Times New Roman" w:cs="Times New Roman"/>
          <w:color w:val="auto"/>
          <w:sz w:val="24"/>
          <w:szCs w:val="24"/>
        </w:rPr>
        <w:t>efinirea</w:t>
      </w:r>
      <w:r w:rsidRPr="006E4751">
        <w:rPr>
          <w:rFonts w:ascii="Times New Roman" w:eastAsia="Times New Roman" w:hAnsi="Times New Roman" w:cs="Times New Roman"/>
          <w:color w:val="auto"/>
          <w:sz w:val="24"/>
          <w:szCs w:val="24"/>
        </w:rPr>
        <w:t xml:space="preserve"> clară a activităților care intră în conceptul de cercetare - dezvoltare (R&amp;D) în TI</w:t>
      </w:r>
    </w:p>
    <w:p w14:paraId="409D985C" w14:textId="77777777" w:rsidR="00192965" w:rsidRDefault="00192965" w:rsidP="006803E8">
      <w:pPr>
        <w:pStyle w:val="ListParagraph"/>
        <w:numPr>
          <w:ilvl w:val="1"/>
          <w:numId w:val="24"/>
        </w:numPr>
        <w:spacing w:after="0"/>
        <w:jc w:val="both"/>
        <w:rPr>
          <w:rFonts w:ascii="Times New Roman" w:eastAsia="Times New Roman" w:hAnsi="Times New Roman" w:cs="Times New Roman"/>
          <w:color w:val="auto"/>
          <w:sz w:val="24"/>
          <w:szCs w:val="24"/>
        </w:rPr>
      </w:pPr>
      <w:r w:rsidRPr="00192965">
        <w:rPr>
          <w:rFonts w:ascii="Times New Roman" w:eastAsia="Times New Roman" w:hAnsi="Times New Roman" w:cs="Times New Roman"/>
          <w:color w:val="auto"/>
          <w:sz w:val="24"/>
          <w:szCs w:val="24"/>
        </w:rPr>
        <w:t>Oferirea unui set de stimulente fiscale și/sau financiare pentru încurajarea companiilor care investesc în digitizarea business – proceselor (deducția în scopuri fiscale a cheltuielilor)</w:t>
      </w:r>
    </w:p>
    <w:p w14:paraId="76E10002" w14:textId="78EAE5D3" w:rsidR="006803E8" w:rsidRPr="006E4751" w:rsidRDefault="006803E8" w:rsidP="006803E8">
      <w:pPr>
        <w:pStyle w:val="ListParagraph"/>
        <w:numPr>
          <w:ilvl w:val="1"/>
          <w:numId w:val="24"/>
        </w:numPr>
        <w:spacing w:after="0"/>
        <w:jc w:val="both"/>
        <w:rPr>
          <w:rFonts w:ascii="Times New Roman" w:eastAsia="Times New Roman" w:hAnsi="Times New Roman" w:cs="Times New Roman"/>
          <w:color w:val="auto"/>
          <w:sz w:val="24"/>
          <w:szCs w:val="24"/>
        </w:rPr>
      </w:pPr>
      <w:r w:rsidRPr="006E4751">
        <w:rPr>
          <w:rFonts w:ascii="Times New Roman" w:eastAsia="Times New Roman" w:hAnsi="Times New Roman" w:cs="Times New Roman"/>
          <w:color w:val="auto"/>
          <w:sz w:val="24"/>
          <w:szCs w:val="24"/>
        </w:rPr>
        <w:t xml:space="preserve">Suport </w:t>
      </w:r>
      <w:proofErr w:type="spellStart"/>
      <w:r w:rsidRPr="006E4751">
        <w:rPr>
          <w:rFonts w:ascii="Times New Roman" w:eastAsia="Times New Roman" w:hAnsi="Times New Roman" w:cs="Times New Roman"/>
          <w:color w:val="auto"/>
          <w:sz w:val="24"/>
          <w:szCs w:val="24"/>
        </w:rPr>
        <w:t>incubațional</w:t>
      </w:r>
      <w:proofErr w:type="spellEnd"/>
      <w:r w:rsidRPr="006E4751">
        <w:rPr>
          <w:rFonts w:ascii="Times New Roman" w:eastAsia="Times New Roman" w:hAnsi="Times New Roman" w:cs="Times New Roman"/>
          <w:color w:val="auto"/>
          <w:sz w:val="24"/>
          <w:szCs w:val="24"/>
        </w:rPr>
        <w:t xml:space="preserve"> pentru </w:t>
      </w:r>
      <w:proofErr w:type="spellStart"/>
      <w:r w:rsidRPr="006E4751">
        <w:rPr>
          <w:rFonts w:ascii="Times New Roman" w:eastAsia="Times New Roman" w:hAnsi="Times New Roman" w:cs="Times New Roman"/>
          <w:color w:val="auto"/>
          <w:sz w:val="24"/>
          <w:szCs w:val="24"/>
        </w:rPr>
        <w:t>startup</w:t>
      </w:r>
      <w:proofErr w:type="spellEnd"/>
      <w:r w:rsidRPr="006E4751">
        <w:rPr>
          <w:rFonts w:ascii="Times New Roman" w:eastAsia="Times New Roman" w:hAnsi="Times New Roman" w:cs="Times New Roman"/>
          <w:color w:val="auto"/>
          <w:sz w:val="24"/>
          <w:szCs w:val="24"/>
        </w:rPr>
        <w:t xml:space="preserve">-uri TI din partea centrelor inovaționale TI și a parcurilor </w:t>
      </w:r>
      <w:r w:rsidR="00117C8B">
        <w:rPr>
          <w:rFonts w:ascii="Times New Roman" w:eastAsia="Times New Roman" w:hAnsi="Times New Roman" w:cs="Times New Roman"/>
          <w:color w:val="auto"/>
          <w:sz w:val="24"/>
          <w:szCs w:val="24"/>
        </w:rPr>
        <w:t>TI</w:t>
      </w:r>
    </w:p>
    <w:p w14:paraId="30CA3CF8" w14:textId="77777777" w:rsidR="006803E8" w:rsidRPr="006E4751" w:rsidRDefault="006803E8" w:rsidP="006803E8">
      <w:pPr>
        <w:pStyle w:val="ListParagraph"/>
        <w:numPr>
          <w:ilvl w:val="1"/>
          <w:numId w:val="24"/>
        </w:numPr>
        <w:spacing w:after="0"/>
        <w:jc w:val="both"/>
        <w:rPr>
          <w:rFonts w:ascii="Times New Roman" w:eastAsia="Times New Roman" w:hAnsi="Times New Roman" w:cs="Times New Roman"/>
          <w:color w:val="auto"/>
          <w:sz w:val="24"/>
          <w:szCs w:val="24"/>
        </w:rPr>
      </w:pPr>
      <w:r w:rsidRPr="006E4751">
        <w:rPr>
          <w:rFonts w:ascii="Times New Roman" w:eastAsia="Times New Roman" w:hAnsi="Times New Roman" w:cs="Times New Roman"/>
          <w:color w:val="auto"/>
          <w:sz w:val="24"/>
          <w:szCs w:val="24"/>
        </w:rPr>
        <w:t>Revizuirea legislației aferente drepturilor de autor pentru a include „software-</w:t>
      </w:r>
      <w:proofErr w:type="spellStart"/>
      <w:r w:rsidRPr="006E4751">
        <w:rPr>
          <w:rFonts w:ascii="Times New Roman" w:eastAsia="Times New Roman" w:hAnsi="Times New Roman" w:cs="Times New Roman"/>
          <w:color w:val="auto"/>
          <w:sz w:val="24"/>
          <w:szCs w:val="24"/>
        </w:rPr>
        <w:t>ul</w:t>
      </w:r>
      <w:proofErr w:type="spellEnd"/>
      <w:r w:rsidRPr="006E4751">
        <w:rPr>
          <w:rFonts w:ascii="Times New Roman" w:eastAsia="Times New Roman" w:hAnsi="Times New Roman" w:cs="Times New Roman"/>
          <w:color w:val="auto"/>
          <w:sz w:val="24"/>
          <w:szCs w:val="24"/>
        </w:rPr>
        <w:t xml:space="preserve"> / programele de calculator” în conformitate cu definiția „operelor” care se bucură de drepturi de autor</w:t>
      </w:r>
    </w:p>
    <w:p w14:paraId="30286D21" w14:textId="0F644E1E" w:rsidR="006803E8" w:rsidRDefault="00117C8B" w:rsidP="008B7CC4">
      <w:pPr>
        <w:pStyle w:val="ListParagraph"/>
        <w:numPr>
          <w:ilvl w:val="1"/>
          <w:numId w:val="24"/>
        </w:numPr>
        <w:spacing w:after="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w:t>
      </w:r>
      <w:r w:rsidR="006803E8" w:rsidRPr="006E4751">
        <w:rPr>
          <w:rFonts w:ascii="Times New Roman" w:eastAsia="Times New Roman" w:hAnsi="Times New Roman" w:cs="Times New Roman"/>
          <w:color w:val="auto"/>
          <w:sz w:val="24"/>
          <w:szCs w:val="24"/>
        </w:rPr>
        <w:t>uport pentru inovare TI la faza incipientă prin acces la infrastructură și programe de finanțare</w:t>
      </w:r>
    </w:p>
    <w:p w14:paraId="16158874" w14:textId="5735FE75" w:rsidR="00C7569D" w:rsidRDefault="00C7569D" w:rsidP="008B7CC4">
      <w:pPr>
        <w:pStyle w:val="ListParagraph"/>
        <w:numPr>
          <w:ilvl w:val="1"/>
          <w:numId w:val="24"/>
        </w:numPr>
        <w:spacing w:after="0"/>
        <w:jc w:val="both"/>
        <w:rPr>
          <w:rFonts w:ascii="Times New Roman" w:eastAsia="Times New Roman" w:hAnsi="Times New Roman" w:cs="Times New Roman"/>
          <w:color w:val="auto"/>
          <w:sz w:val="24"/>
          <w:szCs w:val="24"/>
        </w:rPr>
      </w:pPr>
      <w:r w:rsidRPr="00C7569D">
        <w:rPr>
          <w:rFonts w:ascii="Times New Roman" w:eastAsia="Times New Roman" w:hAnsi="Times New Roman" w:cs="Times New Roman"/>
          <w:color w:val="auto"/>
          <w:sz w:val="24"/>
          <w:szCs w:val="24"/>
        </w:rPr>
        <w:lastRenderedPageBreak/>
        <w:t>Identificarea mecanismelor de promovare a inovației digitale în domeniul social, prin programe de granturi</w:t>
      </w:r>
      <w:r>
        <w:rPr>
          <w:rFonts w:ascii="Times New Roman" w:eastAsia="Times New Roman" w:hAnsi="Times New Roman" w:cs="Times New Roman"/>
          <w:color w:val="auto"/>
          <w:sz w:val="24"/>
          <w:szCs w:val="24"/>
        </w:rPr>
        <w:t>.</w:t>
      </w:r>
    </w:p>
    <w:p w14:paraId="09E232E8" w14:textId="77777777" w:rsidR="00D36F22" w:rsidRPr="00296232" w:rsidRDefault="00D36F22" w:rsidP="00D75BCA">
      <w:pPr>
        <w:spacing w:after="0"/>
        <w:jc w:val="both"/>
        <w:rPr>
          <w:rFonts w:ascii="Times New Roman" w:eastAsia="Times New Roman" w:hAnsi="Times New Roman" w:cs="Times New Roman"/>
          <w:color w:val="auto"/>
          <w:sz w:val="12"/>
          <w:szCs w:val="12"/>
        </w:rPr>
      </w:pPr>
    </w:p>
    <w:p w14:paraId="5193801C" w14:textId="03E83605" w:rsidR="0073286A" w:rsidRPr="00E36A94" w:rsidRDefault="0073286A" w:rsidP="00B12F25">
      <w:pPr>
        <w:tabs>
          <w:tab w:val="left" w:pos="720"/>
        </w:tabs>
        <w:spacing w:after="0" w:line="240" w:lineRule="auto"/>
        <w:jc w:val="both"/>
        <w:rPr>
          <w:rFonts w:ascii="Times New Roman" w:eastAsia="Times New Roman" w:hAnsi="Times New Roman" w:cs="Times New Roman"/>
          <w:b/>
          <w:sz w:val="24"/>
          <w:szCs w:val="24"/>
        </w:rPr>
      </w:pPr>
      <w:r w:rsidRPr="00E36A94">
        <w:rPr>
          <w:rFonts w:ascii="Times New Roman" w:eastAsia="Times New Roman" w:hAnsi="Times New Roman" w:cs="Times New Roman"/>
          <w:b/>
          <w:sz w:val="24"/>
          <w:szCs w:val="24"/>
        </w:rPr>
        <w:t>4</w:t>
      </w:r>
      <w:r w:rsidR="00C46613">
        <w:rPr>
          <w:rFonts w:ascii="Times New Roman" w:eastAsia="Times New Roman" w:hAnsi="Times New Roman" w:cs="Times New Roman"/>
          <w:b/>
          <w:sz w:val="24"/>
          <w:szCs w:val="24"/>
        </w:rPr>
        <w:t>)</w:t>
      </w:r>
      <w:r w:rsidRPr="00E36A94">
        <w:rPr>
          <w:rFonts w:ascii="Times New Roman" w:eastAsia="Times New Roman" w:hAnsi="Times New Roman" w:cs="Times New Roman"/>
          <w:b/>
          <w:sz w:val="24"/>
          <w:szCs w:val="24"/>
        </w:rPr>
        <w:tab/>
      </w:r>
      <w:r w:rsidR="00475B63" w:rsidRPr="00E36A94">
        <w:rPr>
          <w:rFonts w:ascii="Times New Roman" w:eastAsia="Times New Roman" w:hAnsi="Times New Roman" w:cs="Times New Roman"/>
          <w:b/>
          <w:sz w:val="24"/>
          <w:szCs w:val="24"/>
        </w:rPr>
        <w:t xml:space="preserve">Suport pentru investiții și exporturi </w:t>
      </w:r>
      <w:r w:rsidR="002D48FC" w:rsidRPr="00E36A94">
        <w:rPr>
          <w:rFonts w:ascii="Times New Roman" w:eastAsia="Times New Roman" w:hAnsi="Times New Roman" w:cs="Times New Roman"/>
          <w:b/>
          <w:sz w:val="24"/>
          <w:szCs w:val="24"/>
        </w:rPr>
        <w:t>TI</w:t>
      </w:r>
    </w:p>
    <w:p w14:paraId="0C94151C" w14:textId="362275D5" w:rsidR="008D7147" w:rsidRPr="00E36A94" w:rsidRDefault="00475B63" w:rsidP="00506618">
      <w:pPr>
        <w:spacing w:after="0" w:line="240" w:lineRule="auto"/>
        <w:jc w:val="both"/>
        <w:rPr>
          <w:rFonts w:ascii="Times New Roman" w:eastAsia="Times New Roman" w:hAnsi="Times New Roman" w:cs="Times New Roman"/>
          <w:i/>
          <w:sz w:val="24"/>
          <w:szCs w:val="24"/>
        </w:rPr>
      </w:pPr>
      <w:r w:rsidRPr="00E36A94">
        <w:rPr>
          <w:rFonts w:ascii="Times New Roman" w:eastAsia="Times New Roman" w:hAnsi="Times New Roman" w:cs="Times New Roman"/>
          <w:b/>
          <w:sz w:val="24"/>
          <w:szCs w:val="24"/>
        </w:rPr>
        <w:t>Obiectiv</w:t>
      </w:r>
      <w:r w:rsidR="002D48FC" w:rsidRPr="00E36A94">
        <w:rPr>
          <w:rFonts w:ascii="Times New Roman" w:eastAsia="Times New Roman" w:hAnsi="Times New Roman" w:cs="Times New Roman"/>
          <w:b/>
          <w:sz w:val="24"/>
          <w:szCs w:val="24"/>
        </w:rPr>
        <w:t>e</w:t>
      </w:r>
      <w:r w:rsidRPr="00E36A94">
        <w:rPr>
          <w:rFonts w:ascii="Times New Roman" w:eastAsia="Times New Roman" w:hAnsi="Times New Roman" w:cs="Times New Roman"/>
          <w:b/>
          <w:sz w:val="24"/>
          <w:szCs w:val="24"/>
        </w:rPr>
        <w:t xml:space="preserve"> specific</w:t>
      </w:r>
      <w:r w:rsidR="002D48FC" w:rsidRPr="00E36A94">
        <w:rPr>
          <w:rFonts w:ascii="Times New Roman" w:eastAsia="Times New Roman" w:hAnsi="Times New Roman" w:cs="Times New Roman"/>
          <w:b/>
          <w:sz w:val="24"/>
          <w:szCs w:val="24"/>
        </w:rPr>
        <w:t xml:space="preserve">e </w:t>
      </w:r>
      <w:r w:rsidR="002D48FC" w:rsidRPr="00E36A94">
        <w:rPr>
          <w:rFonts w:ascii="Times New Roman" w:eastAsia="Times New Roman" w:hAnsi="Times New Roman" w:cs="Times New Roman"/>
          <w:i/>
          <w:sz w:val="24"/>
          <w:szCs w:val="24"/>
        </w:rPr>
        <w:t>către anul 2023</w:t>
      </w:r>
      <w:r w:rsidRPr="00E36A94">
        <w:rPr>
          <w:rFonts w:ascii="Times New Roman" w:eastAsia="Times New Roman" w:hAnsi="Times New Roman" w:cs="Times New Roman"/>
          <w:i/>
          <w:sz w:val="24"/>
          <w:szCs w:val="24"/>
        </w:rPr>
        <w:t xml:space="preserve">: </w:t>
      </w:r>
    </w:p>
    <w:p w14:paraId="6C5482AA" w14:textId="1E7A6B12" w:rsidR="002D48FC" w:rsidRPr="006E4751" w:rsidRDefault="00334861" w:rsidP="002D48FC">
      <w:pPr>
        <w:pStyle w:val="ListParagraph"/>
        <w:numPr>
          <w:ilvl w:val="0"/>
          <w:numId w:val="4"/>
        </w:numPr>
        <w:spacing w:after="0"/>
        <w:jc w:val="both"/>
        <w:rPr>
          <w:rFonts w:ascii="Times New Roman" w:eastAsia="Times New Roman" w:hAnsi="Times New Roman" w:cs="Times New Roman"/>
          <w:color w:val="auto"/>
          <w:sz w:val="24"/>
          <w:szCs w:val="24"/>
        </w:rPr>
      </w:pPr>
      <w:r w:rsidRPr="006E4751">
        <w:rPr>
          <w:rFonts w:ascii="Times New Roman" w:eastAsia="Times New Roman" w:hAnsi="Times New Roman" w:cs="Times New Roman"/>
          <w:i/>
          <w:color w:val="auto"/>
          <w:sz w:val="24"/>
          <w:szCs w:val="24"/>
        </w:rPr>
        <w:t>Creșterea</w:t>
      </w:r>
      <w:r w:rsidR="00475B63" w:rsidRPr="006E4751">
        <w:rPr>
          <w:rFonts w:ascii="Times New Roman" w:eastAsia="Times New Roman" w:hAnsi="Times New Roman" w:cs="Times New Roman"/>
          <w:i/>
          <w:color w:val="auto"/>
          <w:sz w:val="24"/>
          <w:szCs w:val="24"/>
        </w:rPr>
        <w:t xml:space="preserve"> exporturilor de servicii TI </w:t>
      </w:r>
      <w:r w:rsidRPr="006E4751">
        <w:rPr>
          <w:rFonts w:ascii="Times New Roman" w:eastAsia="Times New Roman" w:hAnsi="Times New Roman" w:cs="Times New Roman"/>
          <w:i/>
          <w:color w:val="auto"/>
          <w:sz w:val="24"/>
          <w:szCs w:val="24"/>
        </w:rPr>
        <w:t>de la 80 mil. USD în 2016 la 200</w:t>
      </w:r>
      <w:r w:rsidR="00475B63" w:rsidRPr="006E4751">
        <w:rPr>
          <w:rFonts w:ascii="Times New Roman" w:eastAsia="Times New Roman" w:hAnsi="Times New Roman" w:cs="Times New Roman"/>
          <w:i/>
          <w:color w:val="auto"/>
          <w:sz w:val="24"/>
          <w:szCs w:val="24"/>
        </w:rPr>
        <w:t xml:space="preserve"> mil</w:t>
      </w:r>
      <w:r w:rsidR="002D48FC" w:rsidRPr="006E4751">
        <w:rPr>
          <w:rFonts w:ascii="Times New Roman" w:eastAsia="Times New Roman" w:hAnsi="Times New Roman" w:cs="Times New Roman"/>
          <w:i/>
          <w:color w:val="auto"/>
          <w:sz w:val="24"/>
          <w:szCs w:val="24"/>
        </w:rPr>
        <w:t>. USD</w:t>
      </w:r>
      <w:r w:rsidR="00475B63" w:rsidRPr="006E4751">
        <w:rPr>
          <w:rFonts w:ascii="Times New Roman" w:eastAsia="Times New Roman" w:hAnsi="Times New Roman" w:cs="Times New Roman"/>
          <w:i/>
          <w:color w:val="auto"/>
          <w:sz w:val="24"/>
          <w:szCs w:val="24"/>
        </w:rPr>
        <w:t xml:space="preserve"> </w:t>
      </w:r>
      <w:r w:rsidRPr="006E4751">
        <w:rPr>
          <w:rFonts w:ascii="Times New Roman" w:eastAsia="Times New Roman" w:hAnsi="Times New Roman" w:cs="Times New Roman"/>
          <w:i/>
          <w:color w:val="auto"/>
          <w:sz w:val="24"/>
          <w:szCs w:val="24"/>
        </w:rPr>
        <w:t>în ultimul an de implementare al Strategiei (al 5-lea)</w:t>
      </w:r>
    </w:p>
    <w:p w14:paraId="6D3D0915" w14:textId="0070DA2E" w:rsidR="008D7147" w:rsidRPr="006E4751" w:rsidRDefault="00475B63" w:rsidP="00F36AF8">
      <w:pPr>
        <w:pStyle w:val="ListParagraph"/>
        <w:numPr>
          <w:ilvl w:val="0"/>
          <w:numId w:val="4"/>
        </w:numPr>
        <w:spacing w:after="0"/>
        <w:jc w:val="both"/>
        <w:rPr>
          <w:rFonts w:ascii="Times New Roman" w:eastAsia="Times New Roman" w:hAnsi="Times New Roman" w:cs="Times New Roman"/>
          <w:color w:val="auto"/>
          <w:sz w:val="24"/>
          <w:szCs w:val="24"/>
        </w:rPr>
      </w:pPr>
      <w:r w:rsidRPr="006E4751">
        <w:rPr>
          <w:rFonts w:ascii="Times New Roman" w:eastAsia="Times New Roman" w:hAnsi="Times New Roman" w:cs="Times New Roman"/>
          <w:i/>
          <w:color w:val="auto"/>
          <w:sz w:val="24"/>
          <w:szCs w:val="24"/>
        </w:rPr>
        <w:t xml:space="preserve">Creșterea </w:t>
      </w:r>
      <w:r w:rsidR="00334861" w:rsidRPr="006E4751">
        <w:rPr>
          <w:rFonts w:ascii="Times New Roman" w:eastAsia="Times New Roman" w:hAnsi="Times New Roman" w:cs="Times New Roman"/>
          <w:i/>
          <w:color w:val="auto"/>
          <w:sz w:val="24"/>
          <w:szCs w:val="24"/>
        </w:rPr>
        <w:t>prezenței pe piața locală cu 100 a numărului de companii cu capital străin (străin, mixt) din sectorul TI</w:t>
      </w:r>
    </w:p>
    <w:p w14:paraId="6371E514" w14:textId="6F332662" w:rsidR="008D7147" w:rsidRPr="00E36A94" w:rsidRDefault="00475B63" w:rsidP="00783B2D">
      <w:pPr>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Studiul realizat de compania </w:t>
      </w:r>
      <w:proofErr w:type="spellStart"/>
      <w:r w:rsidRPr="00E36A94">
        <w:rPr>
          <w:rFonts w:ascii="Times New Roman" w:eastAsia="Times New Roman" w:hAnsi="Times New Roman" w:cs="Times New Roman"/>
          <w:sz w:val="24"/>
          <w:szCs w:val="24"/>
        </w:rPr>
        <w:t>Av</w:t>
      </w:r>
      <w:r w:rsidR="00A651BA" w:rsidRPr="00E36A94">
        <w:rPr>
          <w:rFonts w:ascii="Times New Roman" w:eastAsia="Times New Roman" w:hAnsi="Times New Roman" w:cs="Times New Roman"/>
          <w:sz w:val="24"/>
          <w:szCs w:val="24"/>
        </w:rPr>
        <w:t>a</w:t>
      </w:r>
      <w:r w:rsidRPr="00E36A94">
        <w:rPr>
          <w:rFonts w:ascii="Times New Roman" w:eastAsia="Times New Roman" w:hAnsi="Times New Roman" w:cs="Times New Roman"/>
          <w:sz w:val="24"/>
          <w:szCs w:val="24"/>
        </w:rPr>
        <w:t>sant</w:t>
      </w:r>
      <w:proofErr w:type="spellEnd"/>
      <w:r w:rsidRPr="00E36A94">
        <w:rPr>
          <w:rFonts w:ascii="Times New Roman" w:eastAsia="Times New Roman" w:hAnsi="Times New Roman" w:cs="Times New Roman"/>
          <w:sz w:val="24"/>
          <w:szCs w:val="24"/>
        </w:rPr>
        <w:t xml:space="preserve"> pe baza evaluării pieței de outsourcing TI din Moldova, a interviurilor și a discuțiilor cu diferiți actori și a analizei pieței globale de outsourcing </w:t>
      </w:r>
      <w:r w:rsidR="0073286A" w:rsidRPr="00E36A94">
        <w:rPr>
          <w:rFonts w:ascii="Times New Roman" w:eastAsia="Times New Roman" w:hAnsi="Times New Roman" w:cs="Times New Roman"/>
          <w:sz w:val="24"/>
          <w:szCs w:val="24"/>
        </w:rPr>
        <w:t>TI</w:t>
      </w:r>
      <w:r w:rsidRPr="00E36A94">
        <w:rPr>
          <w:rFonts w:ascii="Times New Roman" w:eastAsia="Times New Roman" w:hAnsi="Times New Roman" w:cs="Times New Roman"/>
          <w:sz w:val="24"/>
          <w:szCs w:val="24"/>
        </w:rPr>
        <w:t>, recomandă ca Moldova să-și mențină și să-și extindă domeniile de capacități tradiționale puternice (dezvoltarea de aplicații,  servicii de mentenanță și testare pentru piețele din Europa de Vest și din SUA). Industria TI ca o prioritate ar trebui să se concentreze pe piețele țintă cu soluții inovatoare, iar profilul serviciilor și a piețelor țintă unde Moldova poate explora un bun potențial de creștere a exporturilor este prezentat în tabelul de mai jos.</w:t>
      </w:r>
    </w:p>
    <w:p w14:paraId="236E0E9A" w14:textId="351A57A6" w:rsidR="008D7147" w:rsidRPr="00296232" w:rsidRDefault="0073286A" w:rsidP="007B301D">
      <w:pPr>
        <w:spacing w:before="60" w:after="120"/>
        <w:jc w:val="center"/>
        <w:rPr>
          <w:b/>
          <w:color w:val="4F81BD"/>
          <w:lang w:val="en-US"/>
        </w:rPr>
      </w:pPr>
      <w:r w:rsidRPr="00296232">
        <w:rPr>
          <w:b/>
          <w:color w:val="4F81BD"/>
          <w:lang w:val="en-US"/>
        </w:rPr>
        <w:t xml:space="preserve">Tabelul 3. </w:t>
      </w:r>
      <w:proofErr w:type="spellStart"/>
      <w:r w:rsidR="00475B63" w:rsidRPr="00296232">
        <w:rPr>
          <w:b/>
          <w:color w:val="4F81BD"/>
          <w:lang w:val="en-US"/>
        </w:rPr>
        <w:t>Piețele</w:t>
      </w:r>
      <w:proofErr w:type="spellEnd"/>
      <w:r w:rsidR="00475B63" w:rsidRPr="00296232">
        <w:rPr>
          <w:b/>
          <w:color w:val="4F81BD"/>
          <w:lang w:val="en-US"/>
        </w:rPr>
        <w:t xml:space="preserve"> </w:t>
      </w:r>
      <w:proofErr w:type="spellStart"/>
      <w:r w:rsidR="00475B63" w:rsidRPr="00296232">
        <w:rPr>
          <w:b/>
          <w:color w:val="4F81BD"/>
          <w:lang w:val="en-US"/>
        </w:rPr>
        <w:t>țintă</w:t>
      </w:r>
      <w:proofErr w:type="spellEnd"/>
      <w:r w:rsidR="00475B63" w:rsidRPr="00296232">
        <w:rPr>
          <w:b/>
          <w:color w:val="4F81BD"/>
          <w:lang w:val="en-US"/>
        </w:rPr>
        <w:t xml:space="preserve"> </w:t>
      </w:r>
      <w:proofErr w:type="spellStart"/>
      <w:r w:rsidR="00475B63" w:rsidRPr="00296232">
        <w:rPr>
          <w:b/>
          <w:color w:val="4F81BD"/>
          <w:lang w:val="en-US"/>
        </w:rPr>
        <w:t>pentru</w:t>
      </w:r>
      <w:proofErr w:type="spellEnd"/>
      <w:r w:rsidR="00475B63" w:rsidRPr="00296232">
        <w:rPr>
          <w:b/>
          <w:color w:val="4F81BD"/>
          <w:lang w:val="en-US"/>
        </w:rPr>
        <w:t xml:space="preserve"> </w:t>
      </w:r>
      <w:proofErr w:type="spellStart"/>
      <w:r w:rsidR="00475B63" w:rsidRPr="00296232">
        <w:rPr>
          <w:b/>
          <w:color w:val="4F81BD"/>
          <w:lang w:val="en-US"/>
        </w:rPr>
        <w:t>industria</w:t>
      </w:r>
      <w:proofErr w:type="spellEnd"/>
      <w:r w:rsidR="00475B63" w:rsidRPr="00296232">
        <w:rPr>
          <w:b/>
          <w:color w:val="4F81BD"/>
          <w:lang w:val="en-US"/>
        </w:rPr>
        <w:t xml:space="preserve"> TI din Moldova</w:t>
      </w:r>
    </w:p>
    <w:tbl>
      <w:tblPr>
        <w:tblStyle w:val="a1"/>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
        <w:gridCol w:w="1350"/>
        <w:gridCol w:w="4239"/>
        <w:gridCol w:w="1530"/>
        <w:gridCol w:w="1993"/>
      </w:tblGrid>
      <w:tr w:rsidR="008D7147" w:rsidRPr="008B7CC4" w14:paraId="26ABFE27" w14:textId="77777777" w:rsidTr="00B12F25">
        <w:trPr>
          <w:trHeight w:val="683"/>
        </w:trPr>
        <w:tc>
          <w:tcPr>
            <w:tcW w:w="459" w:type="dxa"/>
            <w:vAlign w:val="center"/>
          </w:tcPr>
          <w:p w14:paraId="5032F7B8" w14:textId="77777777" w:rsidR="008D7147" w:rsidRPr="008B7CC4" w:rsidRDefault="008D7147">
            <w:pPr>
              <w:spacing w:after="160"/>
              <w:jc w:val="center"/>
              <w:rPr>
                <w:rFonts w:ascii="Times New Roman" w:eastAsia="Times New Roman" w:hAnsi="Times New Roman" w:cs="Times New Roman"/>
                <w:sz w:val="20"/>
                <w:szCs w:val="20"/>
              </w:rPr>
            </w:pPr>
          </w:p>
        </w:tc>
        <w:tc>
          <w:tcPr>
            <w:tcW w:w="1350" w:type="dxa"/>
          </w:tcPr>
          <w:p w14:paraId="4E563C83" w14:textId="77777777" w:rsidR="008D7147" w:rsidRPr="008B7CC4" w:rsidRDefault="008D7147">
            <w:pPr>
              <w:spacing w:after="160"/>
              <w:rPr>
                <w:rFonts w:ascii="Times New Roman" w:eastAsia="Times New Roman" w:hAnsi="Times New Roman" w:cs="Times New Roman"/>
                <w:sz w:val="20"/>
                <w:szCs w:val="20"/>
              </w:rPr>
            </w:pPr>
          </w:p>
        </w:tc>
        <w:tc>
          <w:tcPr>
            <w:tcW w:w="4239" w:type="dxa"/>
          </w:tcPr>
          <w:p w14:paraId="5D5C524B" w14:textId="77777777" w:rsidR="008D7147" w:rsidRPr="008B7CC4" w:rsidRDefault="00475B63" w:rsidP="001C6C1D">
            <w:pPr>
              <w:spacing w:after="160"/>
              <w:jc w:val="center"/>
              <w:rPr>
                <w:color w:val="4F81BD"/>
                <w:sz w:val="20"/>
                <w:szCs w:val="20"/>
                <w:lang w:val="ru-RU"/>
              </w:rPr>
            </w:pPr>
            <w:r w:rsidRPr="008B7CC4">
              <w:rPr>
                <w:color w:val="4F81BD"/>
                <w:sz w:val="20"/>
                <w:szCs w:val="20"/>
                <w:lang w:val="ru-RU"/>
              </w:rPr>
              <w:t>Serviciile / Soluțiile targetate</w:t>
            </w:r>
          </w:p>
        </w:tc>
        <w:tc>
          <w:tcPr>
            <w:tcW w:w="1530" w:type="dxa"/>
          </w:tcPr>
          <w:p w14:paraId="39CDE5E2" w14:textId="01C132C5" w:rsidR="008D7147" w:rsidRPr="008B7CC4" w:rsidRDefault="008B7CC4" w:rsidP="00B12F25">
            <w:pPr>
              <w:jc w:val="center"/>
              <w:rPr>
                <w:color w:val="4F81BD"/>
                <w:sz w:val="20"/>
                <w:szCs w:val="20"/>
              </w:rPr>
            </w:pPr>
            <w:r w:rsidRPr="008B7CC4">
              <w:rPr>
                <w:color w:val="4F81BD"/>
                <w:sz w:val="20"/>
                <w:szCs w:val="20"/>
              </w:rPr>
              <w:t>Valoarea</w:t>
            </w:r>
            <w:r w:rsidR="00B12F25">
              <w:rPr>
                <w:color w:val="4F81BD"/>
                <w:sz w:val="20"/>
                <w:szCs w:val="20"/>
              </w:rPr>
              <w:t xml:space="preserve"> estimativă a pieței, </w:t>
            </w:r>
            <w:r w:rsidRPr="008B7CC4">
              <w:rPr>
                <w:color w:val="4F81BD"/>
                <w:sz w:val="20"/>
                <w:szCs w:val="20"/>
              </w:rPr>
              <w:t>ml</w:t>
            </w:r>
            <w:r w:rsidR="00475B63" w:rsidRPr="008B7CC4">
              <w:rPr>
                <w:color w:val="4F81BD"/>
                <w:sz w:val="20"/>
                <w:szCs w:val="20"/>
              </w:rPr>
              <w:t>d</w:t>
            </w:r>
            <w:r w:rsidRPr="008B7CC4">
              <w:rPr>
                <w:color w:val="4F81BD"/>
                <w:sz w:val="20"/>
                <w:szCs w:val="20"/>
              </w:rPr>
              <w:t>.</w:t>
            </w:r>
            <w:r w:rsidR="00475B63" w:rsidRPr="008B7CC4">
              <w:rPr>
                <w:color w:val="4F81BD"/>
                <w:sz w:val="20"/>
                <w:szCs w:val="20"/>
              </w:rPr>
              <w:t xml:space="preserve"> USD</w:t>
            </w:r>
          </w:p>
        </w:tc>
        <w:tc>
          <w:tcPr>
            <w:tcW w:w="1993" w:type="dxa"/>
          </w:tcPr>
          <w:p w14:paraId="4CB9BEEA" w14:textId="77777777" w:rsidR="008B30DB" w:rsidRPr="008B7CC4" w:rsidRDefault="00475B63" w:rsidP="008B30DB">
            <w:pPr>
              <w:jc w:val="center"/>
              <w:rPr>
                <w:color w:val="4F81BD"/>
                <w:sz w:val="20"/>
                <w:szCs w:val="20"/>
              </w:rPr>
            </w:pPr>
            <w:r w:rsidRPr="008B7CC4">
              <w:rPr>
                <w:color w:val="4F81BD"/>
                <w:sz w:val="20"/>
                <w:szCs w:val="20"/>
              </w:rPr>
              <w:t xml:space="preserve">Potențialul de export pentru Moldova, </w:t>
            </w:r>
          </w:p>
          <w:p w14:paraId="2AF8D264" w14:textId="0CDE03A8" w:rsidR="008D7147" w:rsidRPr="008B7CC4" w:rsidRDefault="00475B63" w:rsidP="006C732C">
            <w:pPr>
              <w:jc w:val="center"/>
              <w:rPr>
                <w:color w:val="4F81BD"/>
                <w:sz w:val="20"/>
                <w:szCs w:val="20"/>
                <w:lang w:val="en-US"/>
              </w:rPr>
            </w:pPr>
            <w:r w:rsidRPr="008B7CC4">
              <w:rPr>
                <w:color w:val="4F81BD"/>
                <w:sz w:val="20"/>
                <w:szCs w:val="20"/>
              </w:rPr>
              <w:t>mil USD</w:t>
            </w:r>
          </w:p>
        </w:tc>
      </w:tr>
      <w:tr w:rsidR="008D7147" w:rsidRPr="008B7CC4" w14:paraId="2AA59F20" w14:textId="77777777" w:rsidTr="00B12F25">
        <w:tc>
          <w:tcPr>
            <w:tcW w:w="459" w:type="dxa"/>
            <w:vMerge w:val="restart"/>
            <w:vAlign w:val="center"/>
          </w:tcPr>
          <w:p w14:paraId="2F41DE02" w14:textId="034C226E" w:rsidR="008D7147" w:rsidRPr="008B7CC4" w:rsidRDefault="00506618" w:rsidP="00F36AF8">
            <w:pPr>
              <w:ind w:left="113" w:right="113"/>
              <w:jc w:val="center"/>
              <w:rPr>
                <w:color w:val="4F81BD"/>
                <w:sz w:val="16"/>
                <w:szCs w:val="16"/>
                <w:lang w:val="ru-RU"/>
              </w:rPr>
            </w:pPr>
            <w:proofErr w:type="spellStart"/>
            <w:r>
              <w:rPr>
                <w:color w:val="4F81BD"/>
                <w:sz w:val="16"/>
                <w:szCs w:val="16"/>
                <w:lang w:val="ru-RU"/>
              </w:rPr>
              <w:t>Piețe</w:t>
            </w:r>
            <w:r w:rsidR="00475B63" w:rsidRPr="008B7CC4">
              <w:rPr>
                <w:color w:val="4F81BD"/>
                <w:sz w:val="16"/>
                <w:szCs w:val="16"/>
                <w:lang w:val="ru-RU"/>
              </w:rPr>
              <w:t>Stabilite</w:t>
            </w:r>
            <w:proofErr w:type="spellEnd"/>
          </w:p>
        </w:tc>
        <w:tc>
          <w:tcPr>
            <w:tcW w:w="1350" w:type="dxa"/>
          </w:tcPr>
          <w:p w14:paraId="0CEEC347" w14:textId="77777777" w:rsidR="008D7147" w:rsidRPr="008B7CC4" w:rsidRDefault="00475B63">
            <w:pPr>
              <w:spacing w:after="160"/>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Europa de Vest &amp; Țările Scandinave</w:t>
            </w:r>
          </w:p>
        </w:tc>
        <w:tc>
          <w:tcPr>
            <w:tcW w:w="4239" w:type="dxa"/>
          </w:tcPr>
          <w:p w14:paraId="3EC63862" w14:textId="77777777" w:rsidR="008D7147" w:rsidRPr="008B7CC4" w:rsidRDefault="00475B63" w:rsidP="00B271B0">
            <w:pPr>
              <w:numPr>
                <w:ilvl w:val="0"/>
                <w:numId w:val="16"/>
              </w:numPr>
              <w:ind w:left="171" w:hanging="270"/>
              <w:contextualSpacing/>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Cercetare aplicată în industrii (Mobile, Internetul obiectelor IOT) – statele Nordice</w:t>
            </w:r>
          </w:p>
          <w:p w14:paraId="556DED47" w14:textId="23068884" w:rsidR="008D7147" w:rsidRPr="008B7CC4" w:rsidRDefault="00475B63" w:rsidP="00B271B0">
            <w:pPr>
              <w:numPr>
                <w:ilvl w:val="0"/>
                <w:numId w:val="16"/>
              </w:numPr>
              <w:ind w:left="171" w:hanging="270"/>
              <w:contextualSpacing/>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RPA (Robotiza</w:t>
            </w:r>
            <w:r w:rsidR="001F5E58" w:rsidRPr="008B7CC4">
              <w:rPr>
                <w:rFonts w:ascii="Times New Roman" w:eastAsia="Times New Roman" w:hAnsi="Times New Roman" w:cs="Times New Roman"/>
                <w:sz w:val="20"/>
                <w:szCs w:val="20"/>
              </w:rPr>
              <w:t>rea procesului de automatizare)</w:t>
            </w:r>
            <w:r w:rsidRPr="008B7CC4">
              <w:rPr>
                <w:rFonts w:ascii="Times New Roman" w:eastAsia="Times New Roman" w:hAnsi="Times New Roman" w:cs="Times New Roman"/>
                <w:sz w:val="20"/>
                <w:szCs w:val="20"/>
              </w:rPr>
              <w:t xml:space="preserve"> / BPO Automatizare în Europa de Vest</w:t>
            </w:r>
          </w:p>
          <w:p w14:paraId="7534A949" w14:textId="77777777" w:rsidR="008D7147" w:rsidRPr="008B7CC4" w:rsidRDefault="00475B63" w:rsidP="00B271B0">
            <w:pPr>
              <w:numPr>
                <w:ilvl w:val="0"/>
                <w:numId w:val="16"/>
              </w:numPr>
              <w:spacing w:after="160"/>
              <w:ind w:left="171" w:hanging="270"/>
              <w:contextualSpacing/>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Servicii de proiectare inginerie pentru industria auto</w:t>
            </w:r>
          </w:p>
        </w:tc>
        <w:tc>
          <w:tcPr>
            <w:tcW w:w="1530" w:type="dxa"/>
            <w:vAlign w:val="center"/>
          </w:tcPr>
          <w:p w14:paraId="004F5653" w14:textId="77777777" w:rsidR="008D7147" w:rsidRPr="008B7CC4" w:rsidRDefault="00475B63">
            <w:pPr>
              <w:spacing w:after="160"/>
              <w:jc w:val="center"/>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10</w:t>
            </w:r>
          </w:p>
        </w:tc>
        <w:tc>
          <w:tcPr>
            <w:tcW w:w="1993" w:type="dxa"/>
            <w:vAlign w:val="center"/>
          </w:tcPr>
          <w:p w14:paraId="7EAF6AEA" w14:textId="77777777" w:rsidR="008D7147" w:rsidRPr="008B7CC4" w:rsidRDefault="00475B63">
            <w:pPr>
              <w:spacing w:after="160"/>
              <w:jc w:val="center"/>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70</w:t>
            </w:r>
          </w:p>
        </w:tc>
      </w:tr>
      <w:tr w:rsidR="008D7147" w:rsidRPr="008B7CC4" w14:paraId="203D2BD9" w14:textId="77777777" w:rsidTr="00B12F25">
        <w:trPr>
          <w:trHeight w:val="1322"/>
        </w:trPr>
        <w:tc>
          <w:tcPr>
            <w:tcW w:w="459" w:type="dxa"/>
            <w:vMerge/>
            <w:vAlign w:val="center"/>
          </w:tcPr>
          <w:p w14:paraId="2ED66A1D" w14:textId="77777777" w:rsidR="008D7147" w:rsidRPr="008B7CC4" w:rsidRDefault="008D7147">
            <w:pPr>
              <w:spacing w:after="160"/>
              <w:jc w:val="center"/>
              <w:rPr>
                <w:color w:val="4F81BD"/>
                <w:sz w:val="20"/>
                <w:szCs w:val="20"/>
                <w:lang w:val="ru-RU"/>
              </w:rPr>
            </w:pPr>
          </w:p>
        </w:tc>
        <w:tc>
          <w:tcPr>
            <w:tcW w:w="1350" w:type="dxa"/>
          </w:tcPr>
          <w:p w14:paraId="72B1AC0E" w14:textId="77777777" w:rsidR="008D7147" w:rsidRPr="008B7CC4" w:rsidRDefault="00475B63">
            <w:pPr>
              <w:spacing w:after="160"/>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America</w:t>
            </w:r>
          </w:p>
        </w:tc>
        <w:tc>
          <w:tcPr>
            <w:tcW w:w="4239" w:type="dxa"/>
          </w:tcPr>
          <w:p w14:paraId="252286E7" w14:textId="77777777" w:rsidR="008D7147" w:rsidRPr="008B7CC4" w:rsidRDefault="00475B63" w:rsidP="00B271B0">
            <w:pPr>
              <w:numPr>
                <w:ilvl w:val="0"/>
                <w:numId w:val="2"/>
              </w:numPr>
              <w:ind w:left="171" w:hanging="270"/>
              <w:contextualSpacing/>
              <w:rPr>
                <w:rFonts w:ascii="Times New Roman" w:eastAsia="Times New Roman" w:hAnsi="Times New Roman" w:cs="Times New Roman"/>
                <w:sz w:val="20"/>
                <w:szCs w:val="20"/>
              </w:rPr>
            </w:pPr>
            <w:proofErr w:type="spellStart"/>
            <w:r w:rsidRPr="008B7CC4">
              <w:rPr>
                <w:rFonts w:ascii="Times New Roman" w:eastAsia="Times New Roman" w:hAnsi="Times New Roman" w:cs="Times New Roman"/>
                <w:sz w:val="20"/>
                <w:szCs w:val="20"/>
              </w:rPr>
              <w:t>Gaming</w:t>
            </w:r>
            <w:proofErr w:type="spellEnd"/>
            <w:r w:rsidRPr="008B7CC4">
              <w:rPr>
                <w:rFonts w:ascii="Times New Roman" w:eastAsia="Times New Roman" w:hAnsi="Times New Roman" w:cs="Times New Roman"/>
                <w:sz w:val="20"/>
                <w:szCs w:val="20"/>
              </w:rPr>
              <w:t xml:space="preserve"> &amp; Localizare software pentru Europa</w:t>
            </w:r>
          </w:p>
          <w:p w14:paraId="389E2276" w14:textId="77777777" w:rsidR="008D7147" w:rsidRPr="008B7CC4" w:rsidRDefault="00475B63" w:rsidP="00B271B0">
            <w:pPr>
              <w:numPr>
                <w:ilvl w:val="0"/>
                <w:numId w:val="2"/>
              </w:numPr>
              <w:ind w:left="171" w:hanging="270"/>
              <w:contextualSpacing/>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Animație personalizată și traducere pentru ECE</w:t>
            </w:r>
          </w:p>
          <w:p w14:paraId="259CDAD7" w14:textId="77777777" w:rsidR="008D7147" w:rsidRPr="008B7CC4" w:rsidRDefault="00475B63" w:rsidP="00B271B0">
            <w:pPr>
              <w:numPr>
                <w:ilvl w:val="0"/>
                <w:numId w:val="2"/>
              </w:numPr>
              <w:spacing w:after="160"/>
              <w:ind w:left="171" w:hanging="270"/>
              <w:contextualSpacing/>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 xml:space="preserve">Serviciile de dezvoltare a produselor prin legături cu </w:t>
            </w:r>
            <w:proofErr w:type="spellStart"/>
            <w:r w:rsidRPr="008B7CC4">
              <w:rPr>
                <w:rFonts w:ascii="Times New Roman" w:eastAsia="Times New Roman" w:hAnsi="Times New Roman" w:cs="Times New Roman"/>
                <w:sz w:val="20"/>
                <w:szCs w:val="20"/>
              </w:rPr>
              <w:t>startup</w:t>
            </w:r>
            <w:proofErr w:type="spellEnd"/>
            <w:r w:rsidRPr="008B7CC4">
              <w:rPr>
                <w:rFonts w:ascii="Times New Roman" w:eastAsia="Times New Roman" w:hAnsi="Times New Roman" w:cs="Times New Roman"/>
                <w:sz w:val="20"/>
                <w:szCs w:val="20"/>
              </w:rPr>
              <w:t xml:space="preserve">-urile </w:t>
            </w:r>
            <w:proofErr w:type="spellStart"/>
            <w:r w:rsidRPr="008B7CC4">
              <w:rPr>
                <w:rFonts w:ascii="Times New Roman" w:eastAsia="Times New Roman" w:hAnsi="Times New Roman" w:cs="Times New Roman"/>
                <w:sz w:val="20"/>
                <w:szCs w:val="20"/>
              </w:rPr>
              <w:t>IoT</w:t>
            </w:r>
            <w:proofErr w:type="spellEnd"/>
            <w:r w:rsidRPr="008B7CC4">
              <w:rPr>
                <w:rFonts w:ascii="Times New Roman" w:eastAsia="Times New Roman" w:hAnsi="Times New Roman" w:cs="Times New Roman"/>
                <w:sz w:val="20"/>
                <w:szCs w:val="20"/>
              </w:rPr>
              <w:t xml:space="preserve"> și automatizare</w:t>
            </w:r>
          </w:p>
        </w:tc>
        <w:tc>
          <w:tcPr>
            <w:tcW w:w="1530" w:type="dxa"/>
            <w:vAlign w:val="center"/>
          </w:tcPr>
          <w:p w14:paraId="0D843902" w14:textId="77777777" w:rsidR="008D7147" w:rsidRPr="008B7CC4" w:rsidRDefault="00475B63">
            <w:pPr>
              <w:spacing w:after="160"/>
              <w:jc w:val="center"/>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30</w:t>
            </w:r>
          </w:p>
        </w:tc>
        <w:tc>
          <w:tcPr>
            <w:tcW w:w="1993" w:type="dxa"/>
            <w:vAlign w:val="center"/>
          </w:tcPr>
          <w:p w14:paraId="248BBF78" w14:textId="77777777" w:rsidR="008D7147" w:rsidRPr="008B7CC4" w:rsidRDefault="00475B63">
            <w:pPr>
              <w:spacing w:after="160"/>
              <w:jc w:val="center"/>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130</w:t>
            </w:r>
          </w:p>
        </w:tc>
      </w:tr>
      <w:tr w:rsidR="008D7147" w:rsidRPr="008B7CC4" w14:paraId="1F96946F" w14:textId="77777777" w:rsidTr="00B12F25">
        <w:tc>
          <w:tcPr>
            <w:tcW w:w="459" w:type="dxa"/>
            <w:vMerge w:val="restart"/>
            <w:vAlign w:val="center"/>
          </w:tcPr>
          <w:p w14:paraId="65C7E1B9" w14:textId="6CEF4DB2" w:rsidR="008D7147" w:rsidRPr="008B7CC4" w:rsidRDefault="00506618" w:rsidP="00F36AF8">
            <w:pPr>
              <w:ind w:left="113" w:right="113"/>
              <w:jc w:val="center"/>
              <w:rPr>
                <w:color w:val="4F81BD"/>
                <w:sz w:val="16"/>
                <w:szCs w:val="16"/>
                <w:lang w:val="ru-RU"/>
              </w:rPr>
            </w:pPr>
            <w:proofErr w:type="spellStart"/>
            <w:r>
              <w:rPr>
                <w:color w:val="4F81BD"/>
                <w:sz w:val="16"/>
                <w:szCs w:val="16"/>
                <w:lang w:val="ru-RU"/>
              </w:rPr>
              <w:t>Piețe</w:t>
            </w:r>
            <w:r w:rsidR="00475B63" w:rsidRPr="008B7CC4">
              <w:rPr>
                <w:color w:val="4F81BD"/>
                <w:sz w:val="16"/>
                <w:szCs w:val="16"/>
                <w:lang w:val="ru-RU"/>
              </w:rPr>
              <w:t>Alternative</w:t>
            </w:r>
            <w:proofErr w:type="spellEnd"/>
          </w:p>
        </w:tc>
        <w:tc>
          <w:tcPr>
            <w:tcW w:w="1350" w:type="dxa"/>
          </w:tcPr>
          <w:p w14:paraId="402B5165" w14:textId="77777777" w:rsidR="008D7147" w:rsidRPr="008B7CC4" w:rsidRDefault="00475B63">
            <w:pPr>
              <w:spacing w:after="160"/>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Orientul Mijlociu și Africa (MEA)</w:t>
            </w:r>
          </w:p>
        </w:tc>
        <w:tc>
          <w:tcPr>
            <w:tcW w:w="4239" w:type="dxa"/>
          </w:tcPr>
          <w:p w14:paraId="58DE6BB4" w14:textId="77777777" w:rsidR="008D7147" w:rsidRPr="008B7CC4" w:rsidRDefault="00475B63" w:rsidP="00B271B0">
            <w:pPr>
              <w:numPr>
                <w:ilvl w:val="0"/>
                <w:numId w:val="10"/>
              </w:numPr>
              <w:ind w:left="171" w:hanging="270"/>
              <w:contextualSpacing/>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Consultanță în domeniul E-Guvernare &amp; dezvoltarea de produse pentru țările africane</w:t>
            </w:r>
          </w:p>
          <w:p w14:paraId="67D6B453" w14:textId="77777777" w:rsidR="008D7147" w:rsidRPr="008B7CC4" w:rsidRDefault="00475B63" w:rsidP="00B271B0">
            <w:pPr>
              <w:numPr>
                <w:ilvl w:val="0"/>
                <w:numId w:val="10"/>
              </w:numPr>
              <w:spacing w:after="160"/>
              <w:ind w:left="171" w:hanging="270"/>
              <w:contextualSpacing/>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ER&amp;D (inginerie și cercetare-dezvoltare) și servicii de securitate cibernetică către furnizorii din Israel</w:t>
            </w:r>
          </w:p>
        </w:tc>
        <w:tc>
          <w:tcPr>
            <w:tcW w:w="1530" w:type="dxa"/>
            <w:vAlign w:val="center"/>
          </w:tcPr>
          <w:p w14:paraId="32D0CF7C" w14:textId="77777777" w:rsidR="008D7147" w:rsidRPr="008B7CC4" w:rsidRDefault="00475B63">
            <w:pPr>
              <w:spacing w:after="160"/>
              <w:jc w:val="center"/>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5</w:t>
            </w:r>
          </w:p>
        </w:tc>
        <w:tc>
          <w:tcPr>
            <w:tcW w:w="1993" w:type="dxa"/>
            <w:vAlign w:val="center"/>
          </w:tcPr>
          <w:p w14:paraId="0FB4A124" w14:textId="77777777" w:rsidR="008D7147" w:rsidRPr="008B7CC4" w:rsidRDefault="00475B63">
            <w:pPr>
              <w:spacing w:after="160"/>
              <w:jc w:val="center"/>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25</w:t>
            </w:r>
          </w:p>
        </w:tc>
      </w:tr>
      <w:tr w:rsidR="008D7147" w:rsidRPr="008B7CC4" w14:paraId="15C7D0F3" w14:textId="77777777" w:rsidTr="00B12F25">
        <w:tc>
          <w:tcPr>
            <w:tcW w:w="459" w:type="dxa"/>
            <w:vMerge/>
            <w:vAlign w:val="center"/>
          </w:tcPr>
          <w:p w14:paraId="6EC91C32" w14:textId="77777777" w:rsidR="008D7147" w:rsidRPr="008B7CC4" w:rsidRDefault="008D7147">
            <w:pPr>
              <w:spacing w:after="160"/>
              <w:jc w:val="center"/>
              <w:rPr>
                <w:rFonts w:ascii="Times New Roman" w:eastAsia="Times New Roman" w:hAnsi="Times New Roman" w:cs="Times New Roman"/>
                <w:color w:val="FF0000"/>
                <w:sz w:val="16"/>
                <w:szCs w:val="16"/>
              </w:rPr>
            </w:pPr>
          </w:p>
        </w:tc>
        <w:tc>
          <w:tcPr>
            <w:tcW w:w="1350" w:type="dxa"/>
          </w:tcPr>
          <w:p w14:paraId="344B9B02" w14:textId="77777777" w:rsidR="008D7147" w:rsidRPr="008B7CC4" w:rsidRDefault="00475B63">
            <w:pPr>
              <w:spacing w:after="160"/>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ASPAC (Asia-Pacific)</w:t>
            </w:r>
          </w:p>
        </w:tc>
        <w:tc>
          <w:tcPr>
            <w:tcW w:w="4239" w:type="dxa"/>
          </w:tcPr>
          <w:p w14:paraId="5386647B" w14:textId="77777777" w:rsidR="008D7147" w:rsidRPr="008B7CC4" w:rsidRDefault="00475B63" w:rsidP="00B271B0">
            <w:pPr>
              <w:numPr>
                <w:ilvl w:val="0"/>
                <w:numId w:val="13"/>
              </w:numPr>
              <w:ind w:left="171" w:hanging="270"/>
              <w:contextualSpacing/>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Interfață pentru serviciile TI din Asia pentru Europa</w:t>
            </w:r>
          </w:p>
          <w:p w14:paraId="65C9AAD5" w14:textId="77777777" w:rsidR="008D7147" w:rsidRPr="008B7CC4" w:rsidRDefault="00475B63" w:rsidP="00B271B0">
            <w:pPr>
              <w:numPr>
                <w:ilvl w:val="0"/>
                <w:numId w:val="13"/>
              </w:numPr>
              <w:spacing w:after="160"/>
              <w:ind w:left="171" w:hanging="270"/>
              <w:contextualSpacing/>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 xml:space="preserve">Colaborare cu Coreea de Sud pentru a îmbunătăți continuu soluțiile </w:t>
            </w:r>
            <w:proofErr w:type="spellStart"/>
            <w:r w:rsidRPr="008B7CC4">
              <w:rPr>
                <w:rFonts w:ascii="Times New Roman" w:eastAsia="Times New Roman" w:hAnsi="Times New Roman" w:cs="Times New Roman"/>
                <w:sz w:val="20"/>
                <w:szCs w:val="20"/>
              </w:rPr>
              <w:t>eGov</w:t>
            </w:r>
            <w:proofErr w:type="spellEnd"/>
          </w:p>
        </w:tc>
        <w:tc>
          <w:tcPr>
            <w:tcW w:w="1530" w:type="dxa"/>
            <w:vAlign w:val="center"/>
          </w:tcPr>
          <w:p w14:paraId="04AB99A7" w14:textId="77777777" w:rsidR="008D7147" w:rsidRPr="008B7CC4" w:rsidRDefault="00475B63">
            <w:pPr>
              <w:spacing w:after="160"/>
              <w:jc w:val="center"/>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12</w:t>
            </w:r>
          </w:p>
        </w:tc>
        <w:tc>
          <w:tcPr>
            <w:tcW w:w="1993" w:type="dxa"/>
            <w:vAlign w:val="center"/>
          </w:tcPr>
          <w:p w14:paraId="46326134" w14:textId="77777777" w:rsidR="008D7147" w:rsidRPr="008B7CC4" w:rsidRDefault="00475B63">
            <w:pPr>
              <w:spacing w:after="160"/>
              <w:jc w:val="center"/>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50</w:t>
            </w:r>
          </w:p>
        </w:tc>
      </w:tr>
      <w:tr w:rsidR="008D7147" w:rsidRPr="008B7CC4" w14:paraId="74C717F8" w14:textId="77777777" w:rsidTr="00B12F25">
        <w:tc>
          <w:tcPr>
            <w:tcW w:w="459" w:type="dxa"/>
            <w:vMerge/>
            <w:vAlign w:val="center"/>
          </w:tcPr>
          <w:p w14:paraId="2DA7B193" w14:textId="77777777" w:rsidR="008D7147" w:rsidRPr="008B7CC4" w:rsidRDefault="008D7147">
            <w:pPr>
              <w:spacing w:after="160"/>
              <w:jc w:val="center"/>
              <w:rPr>
                <w:rFonts w:ascii="Times New Roman" w:eastAsia="Times New Roman" w:hAnsi="Times New Roman" w:cs="Times New Roman"/>
                <w:color w:val="FF0000"/>
                <w:sz w:val="16"/>
                <w:szCs w:val="16"/>
              </w:rPr>
            </w:pPr>
          </w:p>
        </w:tc>
        <w:tc>
          <w:tcPr>
            <w:tcW w:w="1350" w:type="dxa"/>
          </w:tcPr>
          <w:p w14:paraId="15543031" w14:textId="77777777" w:rsidR="008D7147" w:rsidRPr="008B7CC4" w:rsidRDefault="00475B63">
            <w:pPr>
              <w:spacing w:after="160"/>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Europa centrală și de Est &amp; CSI</w:t>
            </w:r>
          </w:p>
        </w:tc>
        <w:tc>
          <w:tcPr>
            <w:tcW w:w="4239" w:type="dxa"/>
          </w:tcPr>
          <w:p w14:paraId="59C98ED5" w14:textId="77777777" w:rsidR="008D7147" w:rsidRPr="008B7CC4" w:rsidRDefault="00475B63" w:rsidP="00B271B0">
            <w:pPr>
              <w:numPr>
                <w:ilvl w:val="0"/>
                <w:numId w:val="6"/>
              </w:numPr>
              <w:ind w:left="171" w:hanging="270"/>
              <w:contextualSpacing/>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Suport pentru produse / servicii furnizorilor din Europa Centrală și de Est</w:t>
            </w:r>
          </w:p>
          <w:p w14:paraId="247962B6" w14:textId="77777777" w:rsidR="008D7147" w:rsidRPr="008B7CC4" w:rsidRDefault="00475B63" w:rsidP="00B271B0">
            <w:pPr>
              <w:numPr>
                <w:ilvl w:val="0"/>
                <w:numId w:val="6"/>
              </w:numPr>
              <w:spacing w:after="160"/>
              <w:ind w:left="171" w:hanging="270"/>
              <w:contextualSpacing/>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 xml:space="preserve">Consultanță în domeniul E-Guvernare și parteneriate </w:t>
            </w:r>
            <w:proofErr w:type="spellStart"/>
            <w:r w:rsidRPr="008B7CC4">
              <w:rPr>
                <w:rFonts w:ascii="Times New Roman" w:eastAsia="Times New Roman" w:hAnsi="Times New Roman" w:cs="Times New Roman"/>
                <w:sz w:val="20"/>
                <w:szCs w:val="20"/>
              </w:rPr>
              <w:t>FinTech</w:t>
            </w:r>
            <w:proofErr w:type="spellEnd"/>
            <w:r w:rsidRPr="008B7CC4">
              <w:rPr>
                <w:rFonts w:ascii="Times New Roman" w:eastAsia="Times New Roman" w:hAnsi="Times New Roman" w:cs="Times New Roman"/>
                <w:sz w:val="20"/>
                <w:szCs w:val="20"/>
              </w:rPr>
              <w:t xml:space="preserve"> cu / pentru țările CSI</w:t>
            </w:r>
          </w:p>
        </w:tc>
        <w:tc>
          <w:tcPr>
            <w:tcW w:w="1530" w:type="dxa"/>
            <w:vAlign w:val="center"/>
          </w:tcPr>
          <w:p w14:paraId="5FCCB815" w14:textId="77777777" w:rsidR="008D7147" w:rsidRPr="008B7CC4" w:rsidRDefault="00475B63">
            <w:pPr>
              <w:spacing w:after="160"/>
              <w:jc w:val="center"/>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15</w:t>
            </w:r>
          </w:p>
        </w:tc>
        <w:tc>
          <w:tcPr>
            <w:tcW w:w="1993" w:type="dxa"/>
            <w:vAlign w:val="center"/>
          </w:tcPr>
          <w:p w14:paraId="4BBEE0E9" w14:textId="77777777" w:rsidR="008D7147" w:rsidRPr="008B7CC4" w:rsidRDefault="00475B63">
            <w:pPr>
              <w:spacing w:after="160"/>
              <w:jc w:val="center"/>
              <w:rPr>
                <w:rFonts w:ascii="Times New Roman" w:eastAsia="Times New Roman" w:hAnsi="Times New Roman" w:cs="Times New Roman"/>
                <w:sz w:val="20"/>
                <w:szCs w:val="20"/>
              </w:rPr>
            </w:pPr>
            <w:r w:rsidRPr="008B7CC4">
              <w:rPr>
                <w:rFonts w:ascii="Times New Roman" w:eastAsia="Times New Roman" w:hAnsi="Times New Roman" w:cs="Times New Roman"/>
                <w:sz w:val="20"/>
                <w:szCs w:val="20"/>
              </w:rPr>
              <w:t>60</w:t>
            </w:r>
          </w:p>
        </w:tc>
      </w:tr>
    </w:tbl>
    <w:p w14:paraId="14EF7052" w14:textId="77777777" w:rsidR="008D7147" w:rsidRPr="00B85EE6" w:rsidRDefault="00475B63">
      <w:pPr>
        <w:spacing w:after="0"/>
        <w:jc w:val="center"/>
        <w:rPr>
          <w:rFonts w:ascii="Times New Roman" w:eastAsia="Times New Roman" w:hAnsi="Times New Roman" w:cs="Times New Roman"/>
          <w:i/>
          <w:sz w:val="16"/>
          <w:szCs w:val="16"/>
        </w:rPr>
      </w:pPr>
      <w:r w:rsidRPr="00B85EE6">
        <w:rPr>
          <w:rFonts w:ascii="Times New Roman" w:eastAsia="Times New Roman" w:hAnsi="Times New Roman" w:cs="Times New Roman"/>
          <w:i/>
          <w:sz w:val="16"/>
          <w:szCs w:val="16"/>
        </w:rPr>
        <w:t xml:space="preserve">Sursa: AVASANT, TI Sector Strategic </w:t>
      </w:r>
      <w:proofErr w:type="spellStart"/>
      <w:r w:rsidRPr="00B85EE6">
        <w:rPr>
          <w:rFonts w:ascii="Times New Roman" w:eastAsia="Times New Roman" w:hAnsi="Times New Roman" w:cs="Times New Roman"/>
          <w:i/>
          <w:sz w:val="16"/>
          <w:szCs w:val="16"/>
        </w:rPr>
        <w:t>Roadmap</w:t>
      </w:r>
      <w:proofErr w:type="spellEnd"/>
      <w:r w:rsidRPr="00B85EE6">
        <w:rPr>
          <w:rFonts w:ascii="Times New Roman" w:eastAsia="Times New Roman" w:hAnsi="Times New Roman" w:cs="Times New Roman"/>
          <w:i/>
          <w:sz w:val="16"/>
          <w:szCs w:val="16"/>
        </w:rPr>
        <w:t xml:space="preserve"> for Moldova</w:t>
      </w:r>
    </w:p>
    <w:p w14:paraId="3BFB4E38" w14:textId="3FE847EE" w:rsidR="008D7147" w:rsidRPr="00E36A94" w:rsidRDefault="00475B63" w:rsidP="009D7E24">
      <w:pPr>
        <w:spacing w:after="120"/>
        <w:jc w:val="both"/>
        <w:rPr>
          <w:rFonts w:ascii="Times New Roman" w:eastAsia="Times New Roman" w:hAnsi="Times New Roman" w:cs="Times New Roman"/>
          <w:sz w:val="24"/>
          <w:szCs w:val="24"/>
        </w:rPr>
      </w:pPr>
      <w:bookmarkStart w:id="0" w:name="_gjdgxs" w:colFirst="0" w:colLast="0"/>
      <w:bookmarkEnd w:id="0"/>
      <w:r w:rsidRPr="00E36A94">
        <w:rPr>
          <w:rFonts w:ascii="Times New Roman" w:eastAsia="Times New Roman" w:hAnsi="Times New Roman" w:cs="Times New Roman"/>
          <w:sz w:val="24"/>
          <w:szCs w:val="24"/>
        </w:rPr>
        <w:t xml:space="preserve">Însă pentru explorarea acestui potențial, sectorul TI are nevoie de eliminarea vulnerabilităților interne legate de insuficiența capitalului uman competitiv, politici </w:t>
      </w:r>
      <w:r w:rsidR="000047BC">
        <w:rPr>
          <w:rFonts w:ascii="Times New Roman" w:eastAsia="Times New Roman" w:hAnsi="Times New Roman" w:cs="Times New Roman"/>
          <w:sz w:val="24"/>
          <w:szCs w:val="24"/>
        </w:rPr>
        <w:t xml:space="preserve">limitate </w:t>
      </w:r>
      <w:r w:rsidRPr="00E36A94">
        <w:rPr>
          <w:rFonts w:ascii="Times New Roman" w:eastAsia="Times New Roman" w:hAnsi="Times New Roman" w:cs="Times New Roman"/>
          <w:sz w:val="24"/>
          <w:szCs w:val="24"/>
        </w:rPr>
        <w:t xml:space="preserve">în domeniul inovațiilor, dar și cadru </w:t>
      </w:r>
      <w:r w:rsidR="009E5D42">
        <w:rPr>
          <w:rFonts w:ascii="Times New Roman" w:eastAsia="Times New Roman" w:hAnsi="Times New Roman" w:cs="Times New Roman"/>
          <w:sz w:val="24"/>
          <w:szCs w:val="24"/>
        </w:rPr>
        <w:t xml:space="preserve">ineficient </w:t>
      </w:r>
      <w:r w:rsidRPr="00E36A94">
        <w:rPr>
          <w:rFonts w:ascii="Times New Roman" w:eastAsia="Times New Roman" w:hAnsi="Times New Roman" w:cs="Times New Roman"/>
          <w:sz w:val="24"/>
          <w:szCs w:val="24"/>
        </w:rPr>
        <w:t xml:space="preserve">de promovare a țării. Acest ultim aspect urmează a fi ameliorat prin sprijinirea companiilor TI locale pentru participarea în programele globale de incubare, organizarea evenimentelor de </w:t>
      </w:r>
      <w:proofErr w:type="spellStart"/>
      <w:r w:rsidRPr="00E36A94">
        <w:rPr>
          <w:rFonts w:ascii="Times New Roman" w:eastAsia="Times New Roman" w:hAnsi="Times New Roman" w:cs="Times New Roman"/>
          <w:sz w:val="24"/>
          <w:szCs w:val="24"/>
        </w:rPr>
        <w:t>matchmaking</w:t>
      </w:r>
      <w:proofErr w:type="spellEnd"/>
      <w:r w:rsidRPr="00E36A94">
        <w:rPr>
          <w:rFonts w:ascii="Times New Roman" w:eastAsia="Times New Roman" w:hAnsi="Times New Roman" w:cs="Times New Roman"/>
          <w:sz w:val="24"/>
          <w:szCs w:val="24"/>
        </w:rPr>
        <w:t xml:space="preserve"> cu potențiali investitori, facilitarea participării la evenimente pe piețele țintă, precum și definirea Propune</w:t>
      </w:r>
      <w:r w:rsidR="009E5D42">
        <w:rPr>
          <w:rFonts w:ascii="Times New Roman" w:eastAsia="Times New Roman" w:hAnsi="Times New Roman" w:cs="Times New Roman"/>
          <w:sz w:val="24"/>
          <w:szCs w:val="24"/>
        </w:rPr>
        <w:t>rii Unice de Valoare, Propunerii</w:t>
      </w:r>
      <w:r w:rsidRPr="00E36A94">
        <w:rPr>
          <w:rFonts w:ascii="Times New Roman" w:eastAsia="Times New Roman" w:hAnsi="Times New Roman" w:cs="Times New Roman"/>
          <w:sz w:val="24"/>
          <w:szCs w:val="24"/>
        </w:rPr>
        <w:t xml:space="preserve"> de Servicii (</w:t>
      </w:r>
      <w:proofErr w:type="spellStart"/>
      <w:r w:rsidRPr="00E36A94">
        <w:rPr>
          <w:rFonts w:ascii="Times New Roman" w:eastAsia="Times New Roman" w:hAnsi="Times New Roman" w:cs="Times New Roman"/>
          <w:sz w:val="24"/>
          <w:szCs w:val="24"/>
        </w:rPr>
        <w:t>Unique</w:t>
      </w:r>
      <w:proofErr w:type="spellEnd"/>
      <w:r w:rsidRPr="00E36A94">
        <w:rPr>
          <w:rFonts w:ascii="Times New Roman" w:eastAsia="Times New Roman" w:hAnsi="Times New Roman" w:cs="Times New Roman"/>
          <w:sz w:val="24"/>
          <w:szCs w:val="24"/>
        </w:rPr>
        <w:t xml:space="preserve"> </w:t>
      </w:r>
      <w:proofErr w:type="spellStart"/>
      <w:r w:rsidRPr="00E36A94">
        <w:rPr>
          <w:rFonts w:ascii="Times New Roman" w:eastAsia="Times New Roman" w:hAnsi="Times New Roman" w:cs="Times New Roman"/>
          <w:sz w:val="24"/>
          <w:szCs w:val="24"/>
        </w:rPr>
        <w:t>Value</w:t>
      </w:r>
      <w:proofErr w:type="spellEnd"/>
      <w:r w:rsidRPr="00E36A94">
        <w:rPr>
          <w:rFonts w:ascii="Times New Roman" w:eastAsia="Times New Roman" w:hAnsi="Times New Roman" w:cs="Times New Roman"/>
          <w:sz w:val="24"/>
          <w:szCs w:val="24"/>
        </w:rPr>
        <w:t xml:space="preserve"> </w:t>
      </w:r>
      <w:proofErr w:type="spellStart"/>
      <w:r w:rsidRPr="00E36A94">
        <w:rPr>
          <w:rFonts w:ascii="Times New Roman" w:eastAsia="Times New Roman" w:hAnsi="Times New Roman" w:cs="Times New Roman"/>
          <w:sz w:val="24"/>
          <w:szCs w:val="24"/>
        </w:rPr>
        <w:t>Proposition</w:t>
      </w:r>
      <w:proofErr w:type="spellEnd"/>
      <w:r w:rsidRPr="00E36A94">
        <w:rPr>
          <w:rFonts w:ascii="Times New Roman" w:eastAsia="Times New Roman" w:hAnsi="Times New Roman" w:cs="Times New Roman"/>
          <w:sz w:val="24"/>
          <w:szCs w:val="24"/>
        </w:rPr>
        <w:t xml:space="preserve">, Service </w:t>
      </w:r>
      <w:proofErr w:type="spellStart"/>
      <w:r w:rsidRPr="00E36A94">
        <w:rPr>
          <w:rFonts w:ascii="Times New Roman" w:eastAsia="Times New Roman" w:hAnsi="Times New Roman" w:cs="Times New Roman"/>
          <w:sz w:val="24"/>
          <w:szCs w:val="24"/>
        </w:rPr>
        <w:t>Proposition</w:t>
      </w:r>
      <w:proofErr w:type="spellEnd"/>
      <w:r w:rsidRPr="00E36A94">
        <w:rPr>
          <w:rFonts w:ascii="Times New Roman" w:eastAsia="Times New Roman" w:hAnsi="Times New Roman" w:cs="Times New Roman"/>
          <w:sz w:val="24"/>
          <w:szCs w:val="24"/>
        </w:rPr>
        <w:t>)</w:t>
      </w:r>
      <w:r w:rsidR="009D7E24" w:rsidRPr="00E36A94">
        <w:rPr>
          <w:rFonts w:ascii="Times New Roman" w:eastAsia="Times New Roman" w:hAnsi="Times New Roman" w:cs="Times New Roman"/>
          <w:sz w:val="24"/>
          <w:szCs w:val="24"/>
        </w:rPr>
        <w:t>.</w:t>
      </w:r>
    </w:p>
    <w:p w14:paraId="6224B929" w14:textId="1B0D8843" w:rsidR="00A651BA" w:rsidRPr="003D48E2" w:rsidRDefault="009D7E24" w:rsidP="00A651BA">
      <w:pPr>
        <w:spacing w:after="120"/>
        <w:jc w:val="both"/>
        <w:rPr>
          <w:rFonts w:ascii="Times New Roman" w:eastAsia="Times New Roman" w:hAnsi="Times New Roman" w:cs="Times New Roman"/>
          <w:b/>
          <w:sz w:val="24"/>
          <w:szCs w:val="24"/>
        </w:rPr>
      </w:pPr>
      <w:r w:rsidRPr="00E36A94">
        <w:rPr>
          <w:rFonts w:ascii="Times New Roman" w:eastAsia="Times New Roman" w:hAnsi="Times New Roman" w:cs="Times New Roman"/>
          <w:b/>
          <w:sz w:val="24"/>
          <w:szCs w:val="24"/>
        </w:rPr>
        <w:lastRenderedPageBreak/>
        <w:t>Intervenții planificate:</w:t>
      </w:r>
    </w:p>
    <w:p w14:paraId="6E79DE5B" w14:textId="77777777" w:rsidR="003D48E2" w:rsidRPr="009B7DAE" w:rsidRDefault="003D48E2" w:rsidP="003D48E2">
      <w:pPr>
        <w:pStyle w:val="ListParagraph"/>
        <w:numPr>
          <w:ilvl w:val="1"/>
          <w:numId w:val="25"/>
        </w:numPr>
        <w:spacing w:after="120"/>
        <w:ind w:left="720"/>
        <w:jc w:val="both"/>
        <w:rPr>
          <w:rFonts w:ascii="Times New Roman" w:eastAsia="Times New Roman" w:hAnsi="Times New Roman" w:cs="Times New Roman"/>
          <w:color w:val="auto"/>
          <w:sz w:val="24"/>
          <w:szCs w:val="24"/>
        </w:rPr>
      </w:pPr>
      <w:r w:rsidRPr="009B7DAE">
        <w:rPr>
          <w:rFonts w:ascii="Times New Roman" w:eastAsia="Times New Roman" w:hAnsi="Times New Roman" w:cs="Times New Roman"/>
          <w:color w:val="auto"/>
          <w:sz w:val="24"/>
          <w:szCs w:val="24"/>
        </w:rPr>
        <w:t xml:space="preserve">Facilitarea participării companiilor TI locale la conferințe, summit-uri, </w:t>
      </w:r>
      <w:proofErr w:type="spellStart"/>
      <w:r w:rsidRPr="009B7DAE">
        <w:rPr>
          <w:rFonts w:ascii="Times New Roman" w:eastAsia="Times New Roman" w:hAnsi="Times New Roman" w:cs="Times New Roman"/>
          <w:color w:val="auto"/>
          <w:sz w:val="24"/>
          <w:szCs w:val="24"/>
        </w:rPr>
        <w:t>hackaton</w:t>
      </w:r>
      <w:proofErr w:type="spellEnd"/>
      <w:r w:rsidRPr="009B7DAE">
        <w:rPr>
          <w:rFonts w:ascii="Times New Roman" w:eastAsia="Times New Roman" w:hAnsi="Times New Roman" w:cs="Times New Roman"/>
          <w:color w:val="auto"/>
          <w:sz w:val="24"/>
          <w:szCs w:val="24"/>
        </w:rPr>
        <w:t>-uri pe piețele țintă</w:t>
      </w:r>
    </w:p>
    <w:p w14:paraId="545432B5" w14:textId="77777777" w:rsidR="003D48E2" w:rsidRPr="009B7DAE" w:rsidRDefault="003D48E2" w:rsidP="003D48E2">
      <w:pPr>
        <w:pStyle w:val="ListParagraph"/>
        <w:numPr>
          <w:ilvl w:val="1"/>
          <w:numId w:val="25"/>
        </w:numPr>
        <w:spacing w:after="120"/>
        <w:ind w:left="720"/>
        <w:jc w:val="both"/>
        <w:rPr>
          <w:rFonts w:ascii="Times New Roman" w:eastAsia="Times New Roman" w:hAnsi="Times New Roman" w:cs="Times New Roman"/>
          <w:color w:val="auto"/>
          <w:sz w:val="24"/>
          <w:szCs w:val="24"/>
        </w:rPr>
      </w:pPr>
      <w:r w:rsidRPr="009B7DAE">
        <w:rPr>
          <w:rFonts w:ascii="Times New Roman" w:eastAsia="Times New Roman" w:hAnsi="Times New Roman" w:cs="Times New Roman"/>
          <w:color w:val="auto"/>
          <w:sz w:val="24"/>
          <w:szCs w:val="24"/>
        </w:rPr>
        <w:t>Facilitarea și sprijinirea companiilor TI locale pentru selecția și participarea în programele globale de incubare</w:t>
      </w:r>
    </w:p>
    <w:p w14:paraId="3D2A2817" w14:textId="77777777" w:rsidR="003D48E2" w:rsidRPr="009B7DAE" w:rsidRDefault="003D48E2" w:rsidP="003D48E2">
      <w:pPr>
        <w:pStyle w:val="ListParagraph"/>
        <w:numPr>
          <w:ilvl w:val="1"/>
          <w:numId w:val="25"/>
        </w:numPr>
        <w:spacing w:after="120"/>
        <w:ind w:left="720"/>
        <w:jc w:val="both"/>
        <w:rPr>
          <w:rFonts w:ascii="Times New Roman" w:eastAsia="Times New Roman" w:hAnsi="Times New Roman" w:cs="Times New Roman"/>
          <w:color w:val="auto"/>
          <w:sz w:val="24"/>
          <w:szCs w:val="24"/>
        </w:rPr>
      </w:pPr>
      <w:r w:rsidRPr="009B7DAE">
        <w:rPr>
          <w:rFonts w:ascii="Times New Roman" w:eastAsia="Times New Roman" w:hAnsi="Times New Roman" w:cs="Times New Roman"/>
          <w:color w:val="auto"/>
          <w:sz w:val="24"/>
          <w:szCs w:val="24"/>
        </w:rPr>
        <w:t>Crearea unui serviciu dedicat de acordare a suportului pentru companiile și întreprinzătorii moldoveni în setarea legăturilor de afaceri cu furnizorii de servicii, cumpărători internaționali</w:t>
      </w:r>
    </w:p>
    <w:p w14:paraId="1550C822" w14:textId="396B9F80" w:rsidR="003D48E2" w:rsidRPr="009B7DAE" w:rsidRDefault="003D48E2" w:rsidP="003D48E2">
      <w:pPr>
        <w:pStyle w:val="ListParagraph"/>
        <w:numPr>
          <w:ilvl w:val="1"/>
          <w:numId w:val="25"/>
        </w:numPr>
        <w:spacing w:after="120"/>
        <w:ind w:left="720"/>
        <w:jc w:val="both"/>
        <w:rPr>
          <w:rFonts w:ascii="Times New Roman" w:eastAsia="Times New Roman" w:hAnsi="Times New Roman" w:cs="Times New Roman"/>
          <w:color w:val="auto"/>
          <w:sz w:val="24"/>
          <w:szCs w:val="24"/>
        </w:rPr>
      </w:pPr>
      <w:r w:rsidRPr="009B7DAE">
        <w:rPr>
          <w:rFonts w:ascii="Times New Roman" w:eastAsia="Times New Roman" w:hAnsi="Times New Roman" w:cs="Times New Roman"/>
          <w:color w:val="auto"/>
          <w:sz w:val="24"/>
          <w:szCs w:val="24"/>
        </w:rPr>
        <w:t xml:space="preserve">Creșterea gradului </w:t>
      </w:r>
      <w:r w:rsidR="004B4961">
        <w:rPr>
          <w:rFonts w:ascii="Times New Roman" w:eastAsia="Times New Roman" w:hAnsi="Times New Roman" w:cs="Times New Roman"/>
          <w:color w:val="auto"/>
          <w:sz w:val="24"/>
          <w:szCs w:val="24"/>
        </w:rPr>
        <w:t xml:space="preserve">de conștientizare și accedere a </w:t>
      </w:r>
      <w:r w:rsidRPr="009B7DAE">
        <w:rPr>
          <w:rFonts w:ascii="Times New Roman" w:eastAsia="Times New Roman" w:hAnsi="Times New Roman" w:cs="Times New Roman"/>
          <w:color w:val="auto"/>
          <w:sz w:val="24"/>
          <w:szCs w:val="24"/>
        </w:rPr>
        <w:t>programelor globale de incubare din piețele-țintă mature precum Silicon-Valley sau statele Nordice</w:t>
      </w:r>
    </w:p>
    <w:p w14:paraId="571A88A8" w14:textId="77777777" w:rsidR="003D48E2" w:rsidRPr="009B7DAE" w:rsidRDefault="003D48E2" w:rsidP="003D48E2">
      <w:pPr>
        <w:pStyle w:val="ListParagraph"/>
        <w:numPr>
          <w:ilvl w:val="1"/>
          <w:numId w:val="25"/>
        </w:numPr>
        <w:spacing w:after="120"/>
        <w:ind w:left="720"/>
        <w:jc w:val="both"/>
        <w:rPr>
          <w:rFonts w:ascii="Times New Roman" w:eastAsia="Times New Roman" w:hAnsi="Times New Roman" w:cs="Times New Roman"/>
          <w:color w:val="auto"/>
          <w:sz w:val="24"/>
          <w:szCs w:val="24"/>
        </w:rPr>
      </w:pPr>
      <w:r w:rsidRPr="009B7DAE">
        <w:rPr>
          <w:rFonts w:ascii="Times New Roman" w:eastAsia="Times New Roman" w:hAnsi="Times New Roman" w:cs="Times New Roman"/>
          <w:color w:val="auto"/>
          <w:sz w:val="24"/>
          <w:szCs w:val="24"/>
        </w:rPr>
        <w:t xml:space="preserve">Organizarea evenimentelor pentru </w:t>
      </w:r>
      <w:proofErr w:type="spellStart"/>
      <w:r w:rsidRPr="009B7DAE">
        <w:rPr>
          <w:rFonts w:ascii="Times New Roman" w:eastAsia="Times New Roman" w:hAnsi="Times New Roman" w:cs="Times New Roman"/>
          <w:color w:val="auto"/>
          <w:sz w:val="24"/>
          <w:szCs w:val="24"/>
        </w:rPr>
        <w:t>strartup</w:t>
      </w:r>
      <w:proofErr w:type="spellEnd"/>
      <w:r w:rsidRPr="009B7DAE">
        <w:rPr>
          <w:rFonts w:ascii="Times New Roman" w:eastAsia="Times New Roman" w:hAnsi="Times New Roman" w:cs="Times New Roman"/>
          <w:color w:val="auto"/>
          <w:sz w:val="24"/>
          <w:szCs w:val="24"/>
        </w:rPr>
        <w:t>-uri cu invitarea potențialelor investitori (</w:t>
      </w:r>
      <w:proofErr w:type="spellStart"/>
      <w:r w:rsidRPr="009B7DAE">
        <w:rPr>
          <w:rFonts w:ascii="Times New Roman" w:eastAsia="Times New Roman" w:hAnsi="Times New Roman" w:cs="Times New Roman"/>
          <w:color w:val="auto"/>
          <w:sz w:val="24"/>
          <w:szCs w:val="24"/>
        </w:rPr>
        <w:t>startup</w:t>
      </w:r>
      <w:proofErr w:type="spellEnd"/>
      <w:r w:rsidRPr="009B7DAE">
        <w:rPr>
          <w:rFonts w:ascii="Times New Roman" w:eastAsia="Times New Roman" w:hAnsi="Times New Roman" w:cs="Times New Roman"/>
          <w:color w:val="auto"/>
          <w:sz w:val="24"/>
          <w:szCs w:val="24"/>
        </w:rPr>
        <w:t xml:space="preserve"> </w:t>
      </w:r>
      <w:proofErr w:type="spellStart"/>
      <w:r w:rsidRPr="009B7DAE">
        <w:rPr>
          <w:rFonts w:ascii="Times New Roman" w:eastAsia="Times New Roman" w:hAnsi="Times New Roman" w:cs="Times New Roman"/>
          <w:color w:val="auto"/>
          <w:sz w:val="24"/>
          <w:szCs w:val="24"/>
        </w:rPr>
        <w:t>week</w:t>
      </w:r>
      <w:proofErr w:type="spellEnd"/>
      <w:r w:rsidRPr="009B7DAE">
        <w:rPr>
          <w:rFonts w:ascii="Times New Roman" w:eastAsia="Times New Roman" w:hAnsi="Times New Roman" w:cs="Times New Roman"/>
          <w:color w:val="auto"/>
          <w:sz w:val="24"/>
          <w:szCs w:val="24"/>
        </w:rPr>
        <w:t>, week-end)</w:t>
      </w:r>
    </w:p>
    <w:p w14:paraId="2FF979BC" w14:textId="77777777" w:rsidR="003D48E2" w:rsidRPr="009B7DAE" w:rsidRDefault="003D48E2" w:rsidP="003D48E2">
      <w:pPr>
        <w:pStyle w:val="ListParagraph"/>
        <w:numPr>
          <w:ilvl w:val="1"/>
          <w:numId w:val="25"/>
        </w:numPr>
        <w:spacing w:after="120"/>
        <w:ind w:left="720"/>
        <w:jc w:val="both"/>
        <w:rPr>
          <w:rFonts w:ascii="Times New Roman" w:eastAsia="Times New Roman" w:hAnsi="Times New Roman" w:cs="Times New Roman"/>
          <w:color w:val="auto"/>
          <w:sz w:val="24"/>
          <w:szCs w:val="24"/>
        </w:rPr>
      </w:pPr>
      <w:r w:rsidRPr="009B7DAE">
        <w:rPr>
          <w:rFonts w:ascii="Times New Roman" w:eastAsia="Times New Roman" w:hAnsi="Times New Roman" w:cs="Times New Roman"/>
          <w:color w:val="auto"/>
          <w:sz w:val="24"/>
          <w:szCs w:val="24"/>
        </w:rPr>
        <w:t xml:space="preserve">Elaborarea unui Ghid privind dezvoltarea strategiilor de marketing digital și </w:t>
      </w:r>
      <w:proofErr w:type="spellStart"/>
      <w:r w:rsidRPr="009B7DAE">
        <w:rPr>
          <w:rFonts w:ascii="Times New Roman" w:eastAsia="Times New Roman" w:hAnsi="Times New Roman" w:cs="Times New Roman"/>
          <w:color w:val="auto"/>
          <w:sz w:val="24"/>
          <w:szCs w:val="24"/>
        </w:rPr>
        <w:t>branding</w:t>
      </w:r>
      <w:proofErr w:type="spellEnd"/>
      <w:r w:rsidRPr="009B7DAE">
        <w:rPr>
          <w:rFonts w:ascii="Times New Roman" w:eastAsia="Times New Roman" w:hAnsi="Times New Roman" w:cs="Times New Roman"/>
          <w:color w:val="auto"/>
          <w:sz w:val="24"/>
          <w:szCs w:val="24"/>
        </w:rPr>
        <w:t xml:space="preserve"> pentru companiile TI</w:t>
      </w:r>
    </w:p>
    <w:p w14:paraId="4F304841" w14:textId="44A71153" w:rsidR="003D48E2" w:rsidRDefault="003D48E2" w:rsidP="00065D35">
      <w:pPr>
        <w:pStyle w:val="ListParagraph"/>
        <w:numPr>
          <w:ilvl w:val="1"/>
          <w:numId w:val="25"/>
        </w:numPr>
        <w:spacing w:after="240"/>
        <w:ind w:left="720"/>
        <w:jc w:val="both"/>
        <w:rPr>
          <w:rFonts w:ascii="Times New Roman" w:eastAsia="Times New Roman" w:hAnsi="Times New Roman" w:cs="Times New Roman"/>
          <w:color w:val="auto"/>
          <w:sz w:val="24"/>
          <w:szCs w:val="24"/>
        </w:rPr>
      </w:pPr>
      <w:r w:rsidRPr="009B7DAE">
        <w:rPr>
          <w:rFonts w:ascii="Times New Roman" w:eastAsia="Times New Roman" w:hAnsi="Times New Roman" w:cs="Times New Roman"/>
          <w:color w:val="auto"/>
          <w:sz w:val="24"/>
          <w:szCs w:val="24"/>
        </w:rPr>
        <w:t>Crearea unui Ghișeu unic pentru atragerea investițiilor și promovarea exporturilor în cadrul MIEPO</w:t>
      </w:r>
      <w:r w:rsidR="009B7DAE" w:rsidRPr="009B7DAE">
        <w:rPr>
          <w:rFonts w:ascii="Times New Roman" w:eastAsia="Times New Roman" w:hAnsi="Times New Roman" w:cs="Times New Roman"/>
          <w:color w:val="auto"/>
          <w:sz w:val="24"/>
          <w:szCs w:val="24"/>
        </w:rPr>
        <w:t>.</w:t>
      </w:r>
    </w:p>
    <w:p w14:paraId="26A2C629" w14:textId="77777777" w:rsidR="00CE002F" w:rsidRPr="00CE002F" w:rsidRDefault="00CE002F" w:rsidP="00CE002F">
      <w:pPr>
        <w:pStyle w:val="ListParagraph"/>
        <w:spacing w:after="240"/>
        <w:jc w:val="both"/>
        <w:rPr>
          <w:rFonts w:ascii="Times New Roman" w:eastAsia="Times New Roman" w:hAnsi="Times New Roman" w:cs="Times New Roman"/>
          <w:color w:val="auto"/>
          <w:sz w:val="16"/>
          <w:szCs w:val="16"/>
        </w:rPr>
      </w:pPr>
    </w:p>
    <w:p w14:paraId="3B20419B" w14:textId="7968BC3D" w:rsidR="008D7147" w:rsidRPr="00E36A94" w:rsidRDefault="00475B63" w:rsidP="00444BBB">
      <w:pPr>
        <w:pStyle w:val="ListParagraph"/>
        <w:numPr>
          <w:ilvl w:val="0"/>
          <w:numId w:val="29"/>
        </w:numPr>
        <w:spacing w:after="120" w:line="240" w:lineRule="auto"/>
        <w:jc w:val="center"/>
        <w:rPr>
          <w:rFonts w:ascii="Times New Roman" w:eastAsia="Times New Roman" w:hAnsi="Times New Roman" w:cs="Times New Roman"/>
          <w:b/>
          <w:color w:val="auto"/>
          <w:sz w:val="24"/>
          <w:szCs w:val="24"/>
        </w:rPr>
      </w:pPr>
      <w:r w:rsidRPr="00E36A94">
        <w:rPr>
          <w:rFonts w:ascii="Times New Roman" w:eastAsia="Times New Roman" w:hAnsi="Times New Roman" w:cs="Times New Roman"/>
          <w:b/>
          <w:color w:val="auto"/>
          <w:sz w:val="24"/>
          <w:szCs w:val="24"/>
        </w:rPr>
        <w:t>ESTIMAREA IMPACTULUI ŞI A COSTURILOR AFERENTE IMPLEMENTĂRII</w:t>
      </w:r>
    </w:p>
    <w:p w14:paraId="5F81AC80" w14:textId="7776F74D" w:rsidR="008D7147" w:rsidRPr="00E36A94" w:rsidRDefault="00475B63">
      <w:pPr>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Există o </w:t>
      </w:r>
      <w:r w:rsidR="0078722F" w:rsidRPr="00E36A94">
        <w:rPr>
          <w:rFonts w:ascii="Times New Roman" w:eastAsia="Times New Roman" w:hAnsi="Times New Roman" w:cs="Times New Roman"/>
          <w:sz w:val="24"/>
          <w:szCs w:val="24"/>
        </w:rPr>
        <w:t>corelație</w:t>
      </w:r>
      <w:r w:rsidRPr="00E36A94">
        <w:rPr>
          <w:rFonts w:ascii="Times New Roman" w:eastAsia="Times New Roman" w:hAnsi="Times New Roman" w:cs="Times New Roman"/>
          <w:sz w:val="24"/>
          <w:szCs w:val="24"/>
        </w:rPr>
        <w:t xml:space="preserve"> clară, pozitivă între companiile care activează în domeniu TI </w:t>
      </w:r>
      <w:r w:rsidR="005D2D50"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veniturile generate de acestea. Acest lucru sugerează că calitatea produselor livrate generează </w:t>
      </w:r>
      <w:r w:rsidR="005D2D50" w:rsidRPr="00E36A94">
        <w:rPr>
          <w:rFonts w:ascii="Times New Roman" w:eastAsia="Times New Roman" w:hAnsi="Times New Roman" w:cs="Times New Roman"/>
          <w:sz w:val="24"/>
          <w:szCs w:val="24"/>
        </w:rPr>
        <w:t>creșterea</w:t>
      </w:r>
      <w:r w:rsidRPr="00E36A94">
        <w:rPr>
          <w:rFonts w:ascii="Times New Roman" w:eastAsia="Times New Roman" w:hAnsi="Times New Roman" w:cs="Times New Roman"/>
          <w:sz w:val="24"/>
          <w:szCs w:val="24"/>
        </w:rPr>
        <w:t xml:space="preserve"> volumului exportului IT. Survenirea impactului pozitiv va fi posibil doar cumulativ, prin atingerea obiectivelor stabilite în prezenta Strategie.</w:t>
      </w:r>
    </w:p>
    <w:p w14:paraId="0CC39880" w14:textId="4755F02E" w:rsidR="008D7147" w:rsidRPr="00E36A94" w:rsidRDefault="00475B63">
      <w:pPr>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Este de menționat că în cadrul prezentei Strategii, prin industrie TI se are în vedere activitățile eligibile din Legea cu privire la parcurile pentru tehnologia </w:t>
      </w:r>
      <w:r w:rsidR="005D2D50" w:rsidRPr="00E36A94">
        <w:rPr>
          <w:rFonts w:ascii="Times New Roman" w:eastAsia="Times New Roman" w:hAnsi="Times New Roman" w:cs="Times New Roman"/>
          <w:sz w:val="24"/>
          <w:szCs w:val="24"/>
        </w:rPr>
        <w:t>informației</w:t>
      </w:r>
      <w:r w:rsidRPr="00E36A94">
        <w:rPr>
          <w:rFonts w:ascii="Times New Roman" w:eastAsia="Times New Roman" w:hAnsi="Times New Roman" w:cs="Times New Roman"/>
          <w:sz w:val="24"/>
          <w:szCs w:val="24"/>
        </w:rPr>
        <w:t xml:space="preserve"> (conform CAEM </w:t>
      </w:r>
      <w:proofErr w:type="spellStart"/>
      <w:r w:rsidRPr="00E36A94">
        <w:rPr>
          <w:rFonts w:ascii="Times New Roman" w:eastAsia="Times New Roman" w:hAnsi="Times New Roman" w:cs="Times New Roman"/>
          <w:sz w:val="24"/>
          <w:szCs w:val="24"/>
        </w:rPr>
        <w:t>Rev</w:t>
      </w:r>
      <w:proofErr w:type="spellEnd"/>
      <w:r w:rsidRPr="00E36A94">
        <w:rPr>
          <w:rFonts w:ascii="Times New Roman" w:eastAsia="Times New Roman" w:hAnsi="Times New Roman" w:cs="Times New Roman"/>
          <w:sz w:val="24"/>
          <w:szCs w:val="24"/>
        </w:rPr>
        <w:t xml:space="preserve"> 2):</w:t>
      </w:r>
    </w:p>
    <w:p w14:paraId="46BE0C7D" w14:textId="52D4011D" w:rsidR="008D7147" w:rsidRPr="00E36A94" w:rsidRDefault="00475B63" w:rsidP="006C732C">
      <w:pPr>
        <w:tabs>
          <w:tab w:val="left" w:pos="1080"/>
        </w:tabs>
        <w:spacing w:after="0"/>
        <w:ind w:left="7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a)</w:t>
      </w:r>
      <w:r w:rsidR="000A6096">
        <w:rPr>
          <w:rFonts w:ascii="Times New Roman" w:eastAsia="Times New Roman" w:hAnsi="Times New Roman" w:cs="Times New Roman"/>
          <w:sz w:val="14"/>
          <w:szCs w:val="14"/>
        </w:rPr>
        <w:t xml:space="preserve">     </w:t>
      </w:r>
      <w:r w:rsidR="005D2D50" w:rsidRPr="00E36A94">
        <w:rPr>
          <w:rFonts w:ascii="Times New Roman" w:eastAsia="Times New Roman" w:hAnsi="Times New Roman" w:cs="Times New Roman"/>
          <w:sz w:val="24"/>
          <w:szCs w:val="24"/>
        </w:rPr>
        <w:t>activități</w:t>
      </w:r>
      <w:r w:rsidRPr="00E36A94">
        <w:rPr>
          <w:rFonts w:ascii="Times New Roman" w:eastAsia="Times New Roman" w:hAnsi="Times New Roman" w:cs="Times New Roman"/>
          <w:sz w:val="24"/>
          <w:szCs w:val="24"/>
        </w:rPr>
        <w:t xml:space="preserve"> de realizare a soft-ului la comandă (software orientat spre client) (62.01);</w:t>
      </w:r>
    </w:p>
    <w:p w14:paraId="03F1F4C6" w14:textId="18FD25B7" w:rsidR="008D7147" w:rsidRPr="00E36A94" w:rsidRDefault="00475B63" w:rsidP="006C732C">
      <w:pPr>
        <w:tabs>
          <w:tab w:val="left" w:pos="1080"/>
        </w:tabs>
        <w:spacing w:after="0"/>
        <w:ind w:left="7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b)</w:t>
      </w:r>
      <w:r w:rsidRPr="00E36A94">
        <w:rPr>
          <w:rFonts w:ascii="Times New Roman" w:eastAsia="Times New Roman" w:hAnsi="Times New Roman" w:cs="Times New Roman"/>
          <w:sz w:val="14"/>
          <w:szCs w:val="14"/>
        </w:rPr>
        <w:t xml:space="preserve">  </w:t>
      </w:r>
      <w:r w:rsidRPr="00E36A94">
        <w:rPr>
          <w:rFonts w:ascii="Times New Roman" w:eastAsia="Times New Roman" w:hAnsi="Times New Roman" w:cs="Times New Roman"/>
          <w:sz w:val="14"/>
          <w:szCs w:val="14"/>
        </w:rPr>
        <w:tab/>
      </w:r>
      <w:r w:rsidR="005D2D50" w:rsidRPr="00E36A94">
        <w:rPr>
          <w:rFonts w:ascii="Times New Roman" w:eastAsia="Times New Roman" w:hAnsi="Times New Roman" w:cs="Times New Roman"/>
          <w:sz w:val="24"/>
          <w:szCs w:val="24"/>
        </w:rPr>
        <w:t>activități</w:t>
      </w:r>
      <w:r w:rsidRPr="00E36A94">
        <w:rPr>
          <w:rFonts w:ascii="Times New Roman" w:eastAsia="Times New Roman" w:hAnsi="Times New Roman" w:cs="Times New Roman"/>
          <w:sz w:val="24"/>
          <w:szCs w:val="24"/>
        </w:rPr>
        <w:t xml:space="preserve"> de editare a jocurilor de calculator (58.21);</w:t>
      </w:r>
    </w:p>
    <w:p w14:paraId="74480FD7" w14:textId="0AC28091" w:rsidR="008D7147" w:rsidRPr="00E36A94" w:rsidRDefault="00475B63" w:rsidP="006C732C">
      <w:pPr>
        <w:tabs>
          <w:tab w:val="left" w:pos="1080"/>
        </w:tabs>
        <w:spacing w:after="0"/>
        <w:ind w:left="7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c)</w:t>
      </w:r>
      <w:r w:rsidRPr="00E36A94">
        <w:rPr>
          <w:rFonts w:ascii="Times New Roman" w:eastAsia="Times New Roman" w:hAnsi="Times New Roman" w:cs="Times New Roman"/>
          <w:sz w:val="14"/>
          <w:szCs w:val="14"/>
        </w:rPr>
        <w:t xml:space="preserve">  </w:t>
      </w:r>
      <w:r w:rsidRPr="00E36A94">
        <w:rPr>
          <w:rFonts w:ascii="Times New Roman" w:eastAsia="Times New Roman" w:hAnsi="Times New Roman" w:cs="Times New Roman"/>
          <w:sz w:val="14"/>
          <w:szCs w:val="14"/>
        </w:rPr>
        <w:tab/>
      </w:r>
      <w:r w:rsidR="005D2D50" w:rsidRPr="00E36A94">
        <w:rPr>
          <w:rFonts w:ascii="Times New Roman" w:eastAsia="Times New Roman" w:hAnsi="Times New Roman" w:cs="Times New Roman"/>
          <w:sz w:val="24"/>
          <w:szCs w:val="24"/>
        </w:rPr>
        <w:t>activități</w:t>
      </w:r>
      <w:r w:rsidRPr="00E36A94">
        <w:rPr>
          <w:rFonts w:ascii="Times New Roman" w:eastAsia="Times New Roman" w:hAnsi="Times New Roman" w:cs="Times New Roman"/>
          <w:sz w:val="24"/>
          <w:szCs w:val="24"/>
        </w:rPr>
        <w:t xml:space="preserve"> de editare a altor produse software (58.29);</w:t>
      </w:r>
    </w:p>
    <w:p w14:paraId="0B94A8FD" w14:textId="1BE37D66" w:rsidR="008D7147" w:rsidRPr="00E36A94" w:rsidRDefault="00475B63" w:rsidP="006C732C">
      <w:pPr>
        <w:tabs>
          <w:tab w:val="left" w:pos="1080"/>
        </w:tabs>
        <w:spacing w:after="0"/>
        <w:ind w:left="7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d)</w:t>
      </w:r>
      <w:r w:rsidRPr="00E36A94">
        <w:rPr>
          <w:rFonts w:ascii="Times New Roman" w:eastAsia="Times New Roman" w:hAnsi="Times New Roman" w:cs="Times New Roman"/>
          <w:sz w:val="14"/>
          <w:szCs w:val="14"/>
        </w:rPr>
        <w:t xml:space="preserve"> </w:t>
      </w:r>
      <w:r w:rsidRPr="00E36A94">
        <w:rPr>
          <w:rFonts w:ascii="Times New Roman" w:eastAsia="Times New Roman" w:hAnsi="Times New Roman" w:cs="Times New Roman"/>
          <w:sz w:val="14"/>
          <w:szCs w:val="14"/>
        </w:rPr>
        <w:tab/>
      </w:r>
      <w:r w:rsidR="005D2D50" w:rsidRPr="00E36A94">
        <w:rPr>
          <w:rFonts w:ascii="Times New Roman" w:eastAsia="Times New Roman" w:hAnsi="Times New Roman" w:cs="Times New Roman"/>
          <w:sz w:val="24"/>
          <w:szCs w:val="24"/>
        </w:rPr>
        <w:t>activități</w:t>
      </w:r>
      <w:r w:rsidRPr="00E36A94">
        <w:rPr>
          <w:rFonts w:ascii="Times New Roman" w:eastAsia="Times New Roman" w:hAnsi="Times New Roman" w:cs="Times New Roman"/>
          <w:sz w:val="24"/>
          <w:szCs w:val="24"/>
        </w:rPr>
        <w:t xml:space="preserve"> de management (gestiune </w:t>
      </w:r>
      <w:r w:rsidR="006C732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exploatare) al mijloacelor de calcul (62.03);</w:t>
      </w:r>
    </w:p>
    <w:p w14:paraId="6123AB61" w14:textId="101C9567" w:rsidR="008D7147" w:rsidRPr="00E36A94" w:rsidRDefault="00475B63" w:rsidP="006C732C">
      <w:pPr>
        <w:tabs>
          <w:tab w:val="left" w:pos="1080"/>
        </w:tabs>
        <w:spacing w:after="0"/>
        <w:ind w:left="7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e)</w:t>
      </w:r>
      <w:r w:rsidRPr="00E36A94">
        <w:rPr>
          <w:rFonts w:ascii="Times New Roman" w:eastAsia="Times New Roman" w:hAnsi="Times New Roman" w:cs="Times New Roman"/>
          <w:sz w:val="14"/>
          <w:szCs w:val="14"/>
        </w:rPr>
        <w:t xml:space="preserve">  </w:t>
      </w:r>
      <w:r w:rsidRPr="00E36A94">
        <w:rPr>
          <w:rFonts w:ascii="Times New Roman" w:eastAsia="Times New Roman" w:hAnsi="Times New Roman" w:cs="Times New Roman"/>
          <w:sz w:val="14"/>
          <w:szCs w:val="14"/>
        </w:rPr>
        <w:tab/>
      </w:r>
      <w:r w:rsidRPr="00E36A94">
        <w:rPr>
          <w:rFonts w:ascii="Times New Roman" w:eastAsia="Times New Roman" w:hAnsi="Times New Roman" w:cs="Times New Roman"/>
          <w:sz w:val="24"/>
          <w:szCs w:val="24"/>
        </w:rPr>
        <w:t xml:space="preserve">prelucrarea de date, administrarea paginilor web </w:t>
      </w:r>
      <w:r w:rsidR="005D2D50"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w:t>
      </w:r>
      <w:r w:rsidR="005D2D50" w:rsidRPr="00E36A94">
        <w:rPr>
          <w:rFonts w:ascii="Times New Roman" w:eastAsia="Times New Roman" w:hAnsi="Times New Roman" w:cs="Times New Roman"/>
          <w:sz w:val="24"/>
          <w:szCs w:val="24"/>
        </w:rPr>
        <w:t>activitățile</w:t>
      </w:r>
      <w:r w:rsidRPr="00E36A94">
        <w:rPr>
          <w:rFonts w:ascii="Times New Roman" w:eastAsia="Times New Roman" w:hAnsi="Times New Roman" w:cs="Times New Roman"/>
          <w:sz w:val="24"/>
          <w:szCs w:val="24"/>
        </w:rPr>
        <w:t xml:space="preserve"> conexe (63.11);</w:t>
      </w:r>
    </w:p>
    <w:p w14:paraId="30728E4B" w14:textId="7DEA2286" w:rsidR="008D7147" w:rsidRPr="00E36A94" w:rsidRDefault="00475B63" w:rsidP="006C732C">
      <w:pPr>
        <w:tabs>
          <w:tab w:val="left" w:pos="1080"/>
        </w:tabs>
        <w:spacing w:after="0"/>
        <w:ind w:left="7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f)</w:t>
      </w:r>
      <w:r w:rsidRPr="00E36A94">
        <w:rPr>
          <w:rFonts w:ascii="Times New Roman" w:eastAsia="Times New Roman" w:hAnsi="Times New Roman" w:cs="Times New Roman"/>
          <w:sz w:val="14"/>
          <w:szCs w:val="14"/>
        </w:rPr>
        <w:t xml:space="preserve">   </w:t>
      </w:r>
      <w:r w:rsidRPr="00E36A94">
        <w:rPr>
          <w:rFonts w:ascii="Times New Roman" w:eastAsia="Times New Roman" w:hAnsi="Times New Roman" w:cs="Times New Roman"/>
          <w:sz w:val="14"/>
          <w:szCs w:val="14"/>
        </w:rPr>
        <w:tab/>
      </w:r>
      <w:r w:rsidR="005D2D50" w:rsidRPr="00E36A94">
        <w:rPr>
          <w:rFonts w:ascii="Times New Roman" w:eastAsia="Times New Roman" w:hAnsi="Times New Roman" w:cs="Times New Roman"/>
          <w:sz w:val="24"/>
          <w:szCs w:val="24"/>
        </w:rPr>
        <w:t>activități</w:t>
      </w:r>
      <w:r w:rsidRPr="00E36A94">
        <w:rPr>
          <w:rFonts w:ascii="Times New Roman" w:eastAsia="Times New Roman" w:hAnsi="Times New Roman" w:cs="Times New Roman"/>
          <w:sz w:val="24"/>
          <w:szCs w:val="24"/>
        </w:rPr>
        <w:t xml:space="preserve"> ale portalurilor web (63.12);</w:t>
      </w:r>
    </w:p>
    <w:p w14:paraId="35C995DC" w14:textId="77921916" w:rsidR="008D7147" w:rsidRPr="00E36A94" w:rsidRDefault="00475B63" w:rsidP="006C732C">
      <w:pPr>
        <w:tabs>
          <w:tab w:val="left" w:pos="1080"/>
        </w:tabs>
        <w:spacing w:after="0"/>
        <w:ind w:left="7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g)</w:t>
      </w:r>
      <w:r w:rsidRPr="00E36A94">
        <w:rPr>
          <w:rFonts w:ascii="Times New Roman" w:eastAsia="Times New Roman" w:hAnsi="Times New Roman" w:cs="Times New Roman"/>
          <w:sz w:val="14"/>
          <w:szCs w:val="14"/>
        </w:rPr>
        <w:t xml:space="preserve">  </w:t>
      </w:r>
      <w:r w:rsidRPr="00E36A94">
        <w:rPr>
          <w:rFonts w:ascii="Times New Roman" w:eastAsia="Times New Roman" w:hAnsi="Times New Roman" w:cs="Times New Roman"/>
          <w:sz w:val="14"/>
          <w:szCs w:val="14"/>
        </w:rPr>
        <w:tab/>
      </w:r>
      <w:r w:rsidR="005D2D50" w:rsidRPr="00E36A94">
        <w:rPr>
          <w:rFonts w:ascii="Times New Roman" w:eastAsia="Times New Roman" w:hAnsi="Times New Roman" w:cs="Times New Roman"/>
          <w:sz w:val="24"/>
          <w:szCs w:val="24"/>
        </w:rPr>
        <w:t>activități</w:t>
      </w:r>
      <w:r w:rsidRPr="00E36A94">
        <w:rPr>
          <w:rFonts w:ascii="Times New Roman" w:eastAsia="Times New Roman" w:hAnsi="Times New Roman" w:cs="Times New Roman"/>
          <w:sz w:val="24"/>
          <w:szCs w:val="24"/>
        </w:rPr>
        <w:t xml:space="preserve"> de </w:t>
      </w:r>
      <w:r w:rsidR="005D2D50" w:rsidRPr="00E36A94">
        <w:rPr>
          <w:rFonts w:ascii="Times New Roman" w:eastAsia="Times New Roman" w:hAnsi="Times New Roman" w:cs="Times New Roman"/>
          <w:sz w:val="24"/>
          <w:szCs w:val="24"/>
        </w:rPr>
        <w:t>consultanță</w:t>
      </w:r>
      <w:r w:rsidRPr="00E36A94">
        <w:rPr>
          <w:rFonts w:ascii="Times New Roman" w:eastAsia="Times New Roman" w:hAnsi="Times New Roman" w:cs="Times New Roman"/>
          <w:sz w:val="24"/>
          <w:szCs w:val="24"/>
        </w:rPr>
        <w:t xml:space="preserve"> în tehnologia </w:t>
      </w:r>
      <w:r w:rsidR="005D2D50" w:rsidRPr="00E36A94">
        <w:rPr>
          <w:rFonts w:ascii="Times New Roman" w:eastAsia="Times New Roman" w:hAnsi="Times New Roman" w:cs="Times New Roman"/>
          <w:sz w:val="24"/>
          <w:szCs w:val="24"/>
        </w:rPr>
        <w:t>informației</w:t>
      </w:r>
      <w:r w:rsidRPr="00E36A94">
        <w:rPr>
          <w:rFonts w:ascii="Times New Roman" w:eastAsia="Times New Roman" w:hAnsi="Times New Roman" w:cs="Times New Roman"/>
          <w:sz w:val="24"/>
          <w:szCs w:val="24"/>
        </w:rPr>
        <w:t xml:space="preserve"> (62.02);</w:t>
      </w:r>
    </w:p>
    <w:p w14:paraId="1186DEC2" w14:textId="0B924D37" w:rsidR="008D7147" w:rsidRPr="00E36A94" w:rsidRDefault="00475B63" w:rsidP="006C732C">
      <w:pPr>
        <w:tabs>
          <w:tab w:val="left" w:pos="1080"/>
        </w:tabs>
        <w:spacing w:after="0"/>
        <w:ind w:left="7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h)</w:t>
      </w:r>
      <w:r w:rsidR="006C732C">
        <w:rPr>
          <w:rFonts w:ascii="Times New Roman" w:eastAsia="Times New Roman" w:hAnsi="Times New Roman" w:cs="Times New Roman"/>
          <w:sz w:val="14"/>
          <w:szCs w:val="14"/>
        </w:rPr>
        <w:t xml:space="preserve">     </w:t>
      </w:r>
      <w:r w:rsidRPr="00E36A94">
        <w:rPr>
          <w:rFonts w:ascii="Times New Roman" w:eastAsia="Times New Roman" w:hAnsi="Times New Roman" w:cs="Times New Roman"/>
          <w:sz w:val="24"/>
          <w:szCs w:val="24"/>
        </w:rPr>
        <w:t xml:space="preserve">alte </w:t>
      </w:r>
      <w:r w:rsidR="005D2D50" w:rsidRPr="00E36A94">
        <w:rPr>
          <w:rFonts w:ascii="Times New Roman" w:eastAsia="Times New Roman" w:hAnsi="Times New Roman" w:cs="Times New Roman"/>
          <w:sz w:val="24"/>
          <w:szCs w:val="24"/>
        </w:rPr>
        <w:t>activități</w:t>
      </w:r>
      <w:r w:rsidRPr="00E36A94">
        <w:rPr>
          <w:rFonts w:ascii="Times New Roman" w:eastAsia="Times New Roman" w:hAnsi="Times New Roman" w:cs="Times New Roman"/>
          <w:sz w:val="24"/>
          <w:szCs w:val="24"/>
        </w:rPr>
        <w:t xml:space="preserve"> de servicii în tehnologia </w:t>
      </w:r>
      <w:r w:rsidR="005D2D50" w:rsidRPr="00E36A94">
        <w:rPr>
          <w:rFonts w:ascii="Times New Roman" w:eastAsia="Times New Roman" w:hAnsi="Times New Roman" w:cs="Times New Roman"/>
          <w:sz w:val="24"/>
          <w:szCs w:val="24"/>
        </w:rPr>
        <w:t>informației</w:t>
      </w:r>
      <w:r w:rsidRPr="00E36A94">
        <w:rPr>
          <w:rFonts w:ascii="Times New Roman" w:eastAsia="Times New Roman" w:hAnsi="Times New Roman" w:cs="Times New Roman"/>
          <w:sz w:val="24"/>
          <w:szCs w:val="24"/>
        </w:rPr>
        <w:t xml:space="preserve"> (62.09).</w:t>
      </w:r>
    </w:p>
    <w:p w14:paraId="1352DF1F" w14:textId="625FB935" w:rsidR="00D75BCA" w:rsidRPr="00E36A94" w:rsidRDefault="00475B63" w:rsidP="00444BBB">
      <w:pPr>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Respectiv, indicatorii măsurabili luați drept reper ca bază pentru 2016 și prognozați în timp au în vedere anume aceste genuri de activitate.</w:t>
      </w:r>
    </w:p>
    <w:p w14:paraId="250FAE2D" w14:textId="3273257A" w:rsidR="008D7147" w:rsidRPr="00E36A94" w:rsidRDefault="00444BBB">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D307AD" w:rsidRPr="00E36A94">
        <w:rPr>
          <w:rFonts w:ascii="Times New Roman" w:eastAsia="Times New Roman" w:hAnsi="Times New Roman" w:cs="Times New Roman"/>
          <w:b/>
          <w:sz w:val="24"/>
          <w:szCs w:val="24"/>
        </w:rPr>
        <w:t>.1.</w:t>
      </w:r>
      <w:r w:rsidR="00D307AD" w:rsidRPr="00E36A94">
        <w:rPr>
          <w:rFonts w:ascii="Times New Roman" w:eastAsia="Times New Roman" w:hAnsi="Times New Roman" w:cs="Times New Roman"/>
          <w:sz w:val="24"/>
          <w:szCs w:val="24"/>
        </w:rPr>
        <w:t xml:space="preserve"> </w:t>
      </w:r>
      <w:r w:rsidR="00475B63" w:rsidRPr="00E36A94">
        <w:rPr>
          <w:rFonts w:ascii="Times New Roman" w:eastAsia="Times New Roman" w:hAnsi="Times New Roman" w:cs="Times New Roman"/>
          <w:sz w:val="24"/>
          <w:szCs w:val="24"/>
        </w:rPr>
        <w:t xml:space="preserve">Prezenta Strategie </w:t>
      </w:r>
      <w:r w:rsidR="005D2D50" w:rsidRPr="00E36A94">
        <w:rPr>
          <w:rFonts w:ascii="Times New Roman" w:eastAsia="Times New Roman" w:hAnsi="Times New Roman" w:cs="Times New Roman"/>
          <w:sz w:val="24"/>
          <w:szCs w:val="24"/>
        </w:rPr>
        <w:t>își</w:t>
      </w:r>
      <w:r w:rsidR="00475B63" w:rsidRPr="00E36A94">
        <w:rPr>
          <w:rFonts w:ascii="Times New Roman" w:eastAsia="Times New Roman" w:hAnsi="Times New Roman" w:cs="Times New Roman"/>
          <w:sz w:val="24"/>
          <w:szCs w:val="24"/>
        </w:rPr>
        <w:t xml:space="preserve"> propune atingerea următoarelor </w:t>
      </w:r>
      <w:r w:rsidR="00475B63" w:rsidRPr="00E36A94">
        <w:rPr>
          <w:rFonts w:ascii="Times New Roman" w:eastAsia="Times New Roman" w:hAnsi="Times New Roman" w:cs="Times New Roman"/>
          <w:b/>
          <w:sz w:val="24"/>
          <w:szCs w:val="24"/>
        </w:rPr>
        <w:t>rezultate măsurabile</w:t>
      </w:r>
      <w:r w:rsidR="00475B63" w:rsidRPr="00E36A94">
        <w:rPr>
          <w:rFonts w:ascii="Times New Roman" w:eastAsia="Times New Roman" w:hAnsi="Times New Roman" w:cs="Times New Roman"/>
          <w:sz w:val="24"/>
          <w:szCs w:val="24"/>
        </w:rPr>
        <w:t>:</w:t>
      </w:r>
    </w:p>
    <w:p w14:paraId="6599AB6B" w14:textId="76D933B3" w:rsidR="008D7147" w:rsidRPr="00E36A94" w:rsidRDefault="0078722F">
      <w:pPr>
        <w:spacing w:after="120"/>
        <w:jc w:val="center"/>
        <w:rPr>
          <w:rFonts w:ascii="Times New Roman" w:hAnsi="Times New Roman" w:cs="Times New Roman"/>
          <w:sz w:val="24"/>
          <w:szCs w:val="24"/>
        </w:rPr>
      </w:pPr>
      <w:r w:rsidRPr="00E36A94">
        <w:rPr>
          <w:rFonts w:ascii="Times New Roman" w:hAnsi="Times New Roman" w:cs="Times New Roman"/>
          <w:b/>
          <w:sz w:val="24"/>
          <w:szCs w:val="24"/>
        </w:rPr>
        <w:t>Tabelul 4</w:t>
      </w:r>
      <w:r w:rsidR="00475B63" w:rsidRPr="00E36A94">
        <w:rPr>
          <w:rFonts w:ascii="Times New Roman" w:hAnsi="Times New Roman" w:cs="Times New Roman"/>
          <w:b/>
          <w:sz w:val="24"/>
          <w:szCs w:val="24"/>
        </w:rPr>
        <w:t>.</w:t>
      </w:r>
      <w:r w:rsidR="00475B63" w:rsidRPr="00E36A94">
        <w:rPr>
          <w:rFonts w:ascii="Times New Roman" w:eastAsia="Times New Roman" w:hAnsi="Times New Roman" w:cs="Times New Roman"/>
          <w:sz w:val="24"/>
          <w:szCs w:val="24"/>
        </w:rPr>
        <w:t xml:space="preserve"> </w:t>
      </w:r>
      <w:r w:rsidR="00475B63" w:rsidRPr="00E36A94">
        <w:rPr>
          <w:rFonts w:ascii="Times New Roman" w:hAnsi="Times New Roman" w:cs="Times New Roman"/>
          <w:sz w:val="24"/>
          <w:szCs w:val="24"/>
        </w:rPr>
        <w:t>Indicatori economici</w:t>
      </w:r>
    </w:p>
    <w:tbl>
      <w:tblPr>
        <w:tblStyle w:val="a2"/>
        <w:tblW w:w="7440" w:type="dxa"/>
        <w:jc w:val="center"/>
        <w:tblBorders>
          <w:top w:val="nil"/>
          <w:left w:val="nil"/>
          <w:bottom w:val="nil"/>
          <w:right w:val="nil"/>
          <w:insideH w:val="nil"/>
          <w:insideV w:val="nil"/>
        </w:tblBorders>
        <w:tblLayout w:type="fixed"/>
        <w:tblLook w:val="0600" w:firstRow="0" w:lastRow="0" w:firstColumn="0" w:lastColumn="0" w:noHBand="1" w:noVBand="1"/>
      </w:tblPr>
      <w:tblGrid>
        <w:gridCol w:w="4755"/>
        <w:gridCol w:w="810"/>
        <w:gridCol w:w="930"/>
        <w:gridCol w:w="945"/>
      </w:tblGrid>
      <w:tr w:rsidR="008D7147" w:rsidRPr="00E36A94" w14:paraId="7B71D2DA" w14:textId="77777777" w:rsidTr="0078722F">
        <w:trPr>
          <w:trHeight w:val="260"/>
          <w:jc w:val="center"/>
        </w:trPr>
        <w:tc>
          <w:tcPr>
            <w:tcW w:w="4755" w:type="dxa"/>
            <w:tcBorders>
              <w:top w:val="single" w:sz="7" w:space="0" w:color="000000"/>
              <w:left w:val="single" w:sz="7" w:space="0" w:color="000000"/>
              <w:bottom w:val="single" w:sz="7" w:space="0" w:color="000000"/>
              <w:right w:val="single" w:sz="7" w:space="0" w:color="000000"/>
            </w:tcBorders>
            <w:tcMar>
              <w:top w:w="20" w:type="dxa"/>
              <w:left w:w="40" w:type="dxa"/>
              <w:bottom w:w="20" w:type="dxa"/>
              <w:right w:w="40" w:type="dxa"/>
            </w:tcMar>
          </w:tcPr>
          <w:p w14:paraId="5352151E" w14:textId="77777777" w:rsidR="008D7147" w:rsidRPr="00E36A94" w:rsidRDefault="00475B63">
            <w:pPr>
              <w:spacing w:after="0"/>
              <w:jc w:val="center"/>
              <w:rPr>
                <w:b/>
                <w:sz w:val="20"/>
                <w:szCs w:val="20"/>
              </w:rPr>
            </w:pPr>
            <w:r w:rsidRPr="00E36A94">
              <w:rPr>
                <w:b/>
                <w:sz w:val="20"/>
                <w:szCs w:val="20"/>
              </w:rPr>
              <w:t>Indicatori</w:t>
            </w:r>
          </w:p>
        </w:tc>
        <w:tc>
          <w:tcPr>
            <w:tcW w:w="810" w:type="dxa"/>
            <w:tcBorders>
              <w:top w:val="single" w:sz="7" w:space="0" w:color="000000"/>
              <w:left w:val="nil"/>
              <w:bottom w:val="single" w:sz="7" w:space="0" w:color="000000"/>
              <w:right w:val="single" w:sz="7" w:space="0" w:color="000000"/>
            </w:tcBorders>
            <w:tcMar>
              <w:top w:w="20" w:type="dxa"/>
              <w:left w:w="40" w:type="dxa"/>
              <w:bottom w:w="20" w:type="dxa"/>
              <w:right w:w="40" w:type="dxa"/>
            </w:tcMar>
          </w:tcPr>
          <w:p w14:paraId="0F00F34C" w14:textId="77777777" w:rsidR="008D7147" w:rsidRPr="00E36A94" w:rsidRDefault="00475B63">
            <w:pPr>
              <w:spacing w:after="0"/>
              <w:jc w:val="center"/>
              <w:rPr>
                <w:b/>
                <w:sz w:val="20"/>
                <w:szCs w:val="20"/>
              </w:rPr>
            </w:pPr>
            <w:r w:rsidRPr="00E36A94">
              <w:rPr>
                <w:b/>
                <w:sz w:val="20"/>
                <w:szCs w:val="20"/>
              </w:rPr>
              <w:t>2016</w:t>
            </w:r>
          </w:p>
        </w:tc>
        <w:tc>
          <w:tcPr>
            <w:tcW w:w="930" w:type="dxa"/>
            <w:tcBorders>
              <w:top w:val="single" w:sz="7" w:space="0" w:color="000000"/>
              <w:left w:val="nil"/>
              <w:bottom w:val="single" w:sz="7" w:space="0" w:color="000000"/>
              <w:right w:val="single" w:sz="7" w:space="0" w:color="000000"/>
            </w:tcBorders>
            <w:tcMar>
              <w:top w:w="20" w:type="dxa"/>
              <w:left w:w="40" w:type="dxa"/>
              <w:bottom w:w="20" w:type="dxa"/>
              <w:right w:w="40" w:type="dxa"/>
            </w:tcMar>
          </w:tcPr>
          <w:p w14:paraId="32826475" w14:textId="77777777" w:rsidR="008D7147" w:rsidRPr="00E36A94" w:rsidRDefault="00475B63">
            <w:pPr>
              <w:spacing w:after="0"/>
              <w:jc w:val="center"/>
              <w:rPr>
                <w:b/>
                <w:sz w:val="20"/>
                <w:szCs w:val="20"/>
              </w:rPr>
            </w:pPr>
            <w:r w:rsidRPr="00E36A94">
              <w:rPr>
                <w:b/>
                <w:sz w:val="20"/>
                <w:szCs w:val="20"/>
              </w:rPr>
              <w:t>2018</w:t>
            </w:r>
          </w:p>
        </w:tc>
        <w:tc>
          <w:tcPr>
            <w:tcW w:w="945" w:type="dxa"/>
            <w:tcBorders>
              <w:top w:val="single" w:sz="7" w:space="0" w:color="000000"/>
              <w:left w:val="nil"/>
              <w:bottom w:val="single" w:sz="7" w:space="0" w:color="000000"/>
              <w:right w:val="single" w:sz="7" w:space="0" w:color="000000"/>
            </w:tcBorders>
            <w:tcMar>
              <w:top w:w="20" w:type="dxa"/>
              <w:left w:w="40" w:type="dxa"/>
              <w:bottom w:w="20" w:type="dxa"/>
              <w:right w:w="40" w:type="dxa"/>
            </w:tcMar>
          </w:tcPr>
          <w:p w14:paraId="4F5498AC" w14:textId="13A736A2" w:rsidR="008D7147" w:rsidRPr="00E36A94" w:rsidRDefault="00475B63" w:rsidP="00D820D2">
            <w:pPr>
              <w:spacing w:after="0"/>
              <w:jc w:val="center"/>
              <w:rPr>
                <w:b/>
                <w:sz w:val="20"/>
                <w:szCs w:val="20"/>
              </w:rPr>
            </w:pPr>
            <w:r w:rsidRPr="00E36A94">
              <w:rPr>
                <w:b/>
                <w:sz w:val="20"/>
                <w:szCs w:val="20"/>
              </w:rPr>
              <w:t>202</w:t>
            </w:r>
            <w:r w:rsidR="00D820D2">
              <w:rPr>
                <w:b/>
                <w:sz w:val="20"/>
                <w:szCs w:val="20"/>
              </w:rPr>
              <w:t>3</w:t>
            </w:r>
          </w:p>
        </w:tc>
      </w:tr>
      <w:tr w:rsidR="008D7147" w:rsidRPr="00E36A94" w14:paraId="3A2B69F4" w14:textId="77777777" w:rsidTr="0078722F">
        <w:trPr>
          <w:trHeight w:val="260"/>
          <w:jc w:val="center"/>
        </w:trPr>
        <w:tc>
          <w:tcPr>
            <w:tcW w:w="4755" w:type="dxa"/>
            <w:tcBorders>
              <w:top w:val="nil"/>
              <w:left w:val="single" w:sz="7" w:space="0" w:color="000000"/>
              <w:bottom w:val="single" w:sz="7" w:space="0" w:color="000000"/>
              <w:right w:val="single" w:sz="7" w:space="0" w:color="000000"/>
            </w:tcBorders>
            <w:shd w:val="clear" w:color="auto" w:fill="8DB3E2"/>
            <w:tcMar>
              <w:top w:w="20" w:type="dxa"/>
              <w:left w:w="40" w:type="dxa"/>
              <w:bottom w:w="20" w:type="dxa"/>
              <w:right w:w="40" w:type="dxa"/>
            </w:tcMar>
          </w:tcPr>
          <w:p w14:paraId="58B2E344" w14:textId="3B414D27" w:rsidR="008D7147" w:rsidRPr="00E36A94" w:rsidRDefault="00475B63">
            <w:pPr>
              <w:spacing w:after="0"/>
              <w:rPr>
                <w:sz w:val="20"/>
                <w:szCs w:val="20"/>
              </w:rPr>
            </w:pPr>
            <w:r w:rsidRPr="00E36A94">
              <w:rPr>
                <w:sz w:val="20"/>
                <w:szCs w:val="20"/>
              </w:rPr>
              <w:t>Numărul companiilor TI active</w:t>
            </w:r>
            <w:r w:rsidR="00F06BC2">
              <w:rPr>
                <w:sz w:val="20"/>
                <w:szCs w:val="20"/>
              </w:rPr>
              <w:t xml:space="preserve"> din sectorul privat</w:t>
            </w:r>
          </w:p>
        </w:tc>
        <w:tc>
          <w:tcPr>
            <w:tcW w:w="810"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61C57B19" w14:textId="664100C4" w:rsidR="008D7147" w:rsidRPr="00E36A94" w:rsidRDefault="00A46BC0">
            <w:pPr>
              <w:spacing w:after="0"/>
              <w:jc w:val="center"/>
              <w:rPr>
                <w:sz w:val="20"/>
                <w:szCs w:val="20"/>
              </w:rPr>
            </w:pPr>
            <w:r>
              <w:rPr>
                <w:sz w:val="20"/>
                <w:szCs w:val="20"/>
              </w:rPr>
              <w:t>750</w:t>
            </w:r>
          </w:p>
        </w:tc>
        <w:tc>
          <w:tcPr>
            <w:tcW w:w="930"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70104E4A" w14:textId="77777777" w:rsidR="008D7147" w:rsidRPr="00E36A94" w:rsidRDefault="00475B63">
            <w:pPr>
              <w:spacing w:after="0"/>
              <w:jc w:val="center"/>
              <w:rPr>
                <w:sz w:val="20"/>
                <w:szCs w:val="20"/>
              </w:rPr>
            </w:pPr>
            <w:r w:rsidRPr="00E36A94">
              <w:rPr>
                <w:sz w:val="20"/>
                <w:szCs w:val="20"/>
              </w:rPr>
              <w:t>800</w:t>
            </w:r>
          </w:p>
        </w:tc>
        <w:tc>
          <w:tcPr>
            <w:tcW w:w="945"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3C984F6A" w14:textId="5DD7AE1F" w:rsidR="008D7147" w:rsidRPr="00E36A94" w:rsidRDefault="00475B63">
            <w:pPr>
              <w:spacing w:after="0"/>
              <w:jc w:val="center"/>
              <w:rPr>
                <w:sz w:val="20"/>
                <w:szCs w:val="20"/>
              </w:rPr>
            </w:pPr>
            <w:r w:rsidRPr="00E36A94">
              <w:rPr>
                <w:sz w:val="20"/>
                <w:szCs w:val="20"/>
              </w:rPr>
              <w:t xml:space="preserve">1 </w:t>
            </w:r>
            <w:r w:rsidR="000A2469">
              <w:rPr>
                <w:sz w:val="20"/>
                <w:szCs w:val="20"/>
              </w:rPr>
              <w:t>0</w:t>
            </w:r>
            <w:r w:rsidRPr="00E36A94">
              <w:rPr>
                <w:sz w:val="20"/>
                <w:szCs w:val="20"/>
              </w:rPr>
              <w:t>00</w:t>
            </w:r>
          </w:p>
        </w:tc>
      </w:tr>
      <w:tr w:rsidR="008D7147" w:rsidRPr="00E36A94" w14:paraId="08129537" w14:textId="77777777" w:rsidTr="0078722F">
        <w:trPr>
          <w:trHeight w:val="500"/>
          <w:jc w:val="center"/>
        </w:trPr>
        <w:tc>
          <w:tcPr>
            <w:tcW w:w="4755" w:type="dxa"/>
            <w:tcBorders>
              <w:top w:val="nil"/>
              <w:left w:val="single" w:sz="7" w:space="0" w:color="000000"/>
              <w:bottom w:val="single" w:sz="7" w:space="0" w:color="000000"/>
              <w:right w:val="single" w:sz="7" w:space="0" w:color="000000"/>
            </w:tcBorders>
            <w:tcMar>
              <w:top w:w="20" w:type="dxa"/>
              <w:left w:w="40" w:type="dxa"/>
              <w:bottom w:w="20" w:type="dxa"/>
              <w:right w:w="40" w:type="dxa"/>
            </w:tcMar>
          </w:tcPr>
          <w:p w14:paraId="2E8C8451" w14:textId="77777777" w:rsidR="008D7147" w:rsidRPr="00E36A94" w:rsidRDefault="00475B63">
            <w:pPr>
              <w:spacing w:after="0"/>
              <w:rPr>
                <w:sz w:val="20"/>
                <w:szCs w:val="20"/>
              </w:rPr>
            </w:pPr>
            <w:r w:rsidRPr="00E36A94">
              <w:rPr>
                <w:sz w:val="20"/>
                <w:szCs w:val="20"/>
              </w:rPr>
              <w:t>Numărul companiilor TI active cu prezența de capital străin (străin, mixt)</w:t>
            </w:r>
          </w:p>
        </w:tc>
        <w:tc>
          <w:tcPr>
            <w:tcW w:w="810" w:type="dxa"/>
            <w:tcBorders>
              <w:top w:val="nil"/>
              <w:left w:val="nil"/>
              <w:bottom w:val="single" w:sz="7" w:space="0" w:color="000000"/>
              <w:right w:val="single" w:sz="7" w:space="0" w:color="000000"/>
            </w:tcBorders>
            <w:tcMar>
              <w:top w:w="20" w:type="dxa"/>
              <w:left w:w="40" w:type="dxa"/>
              <w:bottom w:w="20" w:type="dxa"/>
              <w:right w:w="40" w:type="dxa"/>
            </w:tcMar>
          </w:tcPr>
          <w:p w14:paraId="5FBCE6A0" w14:textId="210B3F5B" w:rsidR="008D7147" w:rsidRPr="00E36A94" w:rsidRDefault="00A46BC0">
            <w:pPr>
              <w:spacing w:after="0"/>
              <w:jc w:val="center"/>
              <w:rPr>
                <w:sz w:val="20"/>
                <w:szCs w:val="20"/>
              </w:rPr>
            </w:pPr>
            <w:r>
              <w:rPr>
                <w:sz w:val="20"/>
                <w:szCs w:val="20"/>
              </w:rPr>
              <w:t>150</w:t>
            </w:r>
          </w:p>
        </w:tc>
        <w:tc>
          <w:tcPr>
            <w:tcW w:w="930" w:type="dxa"/>
            <w:tcBorders>
              <w:top w:val="nil"/>
              <w:left w:val="nil"/>
              <w:bottom w:val="single" w:sz="7" w:space="0" w:color="000000"/>
              <w:right w:val="single" w:sz="7" w:space="0" w:color="000000"/>
            </w:tcBorders>
            <w:tcMar>
              <w:top w:w="20" w:type="dxa"/>
              <w:left w:w="40" w:type="dxa"/>
              <w:bottom w:w="20" w:type="dxa"/>
              <w:right w:w="40" w:type="dxa"/>
            </w:tcMar>
          </w:tcPr>
          <w:p w14:paraId="6CE861BD" w14:textId="77777777" w:rsidR="008D7147" w:rsidRPr="00E36A94" w:rsidRDefault="00475B63">
            <w:pPr>
              <w:spacing w:after="0"/>
              <w:jc w:val="center"/>
              <w:rPr>
                <w:sz w:val="20"/>
                <w:szCs w:val="20"/>
              </w:rPr>
            </w:pPr>
            <w:r w:rsidRPr="00E36A94">
              <w:rPr>
                <w:sz w:val="20"/>
                <w:szCs w:val="20"/>
              </w:rPr>
              <w:t>180</w:t>
            </w:r>
          </w:p>
        </w:tc>
        <w:tc>
          <w:tcPr>
            <w:tcW w:w="945" w:type="dxa"/>
            <w:tcBorders>
              <w:top w:val="nil"/>
              <w:left w:val="nil"/>
              <w:bottom w:val="single" w:sz="7" w:space="0" w:color="000000"/>
              <w:right w:val="single" w:sz="7" w:space="0" w:color="000000"/>
            </w:tcBorders>
            <w:tcMar>
              <w:top w:w="20" w:type="dxa"/>
              <w:left w:w="40" w:type="dxa"/>
              <w:bottom w:w="20" w:type="dxa"/>
              <w:right w:w="40" w:type="dxa"/>
            </w:tcMar>
          </w:tcPr>
          <w:p w14:paraId="29FA72CB" w14:textId="5CB1E495" w:rsidR="008D7147" w:rsidRPr="00E36A94" w:rsidRDefault="00334861">
            <w:pPr>
              <w:spacing w:after="0"/>
              <w:jc w:val="center"/>
              <w:rPr>
                <w:sz w:val="20"/>
                <w:szCs w:val="20"/>
              </w:rPr>
            </w:pPr>
            <w:r>
              <w:rPr>
                <w:sz w:val="20"/>
                <w:szCs w:val="20"/>
              </w:rPr>
              <w:t>250</w:t>
            </w:r>
          </w:p>
        </w:tc>
      </w:tr>
      <w:tr w:rsidR="008D7147" w:rsidRPr="00E36A94" w14:paraId="70F2ABCD" w14:textId="77777777" w:rsidTr="0078722F">
        <w:trPr>
          <w:trHeight w:val="260"/>
          <w:jc w:val="center"/>
        </w:trPr>
        <w:tc>
          <w:tcPr>
            <w:tcW w:w="4755" w:type="dxa"/>
            <w:tcBorders>
              <w:top w:val="nil"/>
              <w:left w:val="single" w:sz="7" w:space="0" w:color="000000"/>
              <w:bottom w:val="single" w:sz="7" w:space="0" w:color="000000"/>
              <w:right w:val="single" w:sz="7" w:space="0" w:color="000000"/>
            </w:tcBorders>
            <w:shd w:val="clear" w:color="auto" w:fill="8DB3E2"/>
            <w:tcMar>
              <w:top w:w="20" w:type="dxa"/>
              <w:left w:w="40" w:type="dxa"/>
              <w:bottom w:w="20" w:type="dxa"/>
              <w:right w:w="40" w:type="dxa"/>
            </w:tcMar>
          </w:tcPr>
          <w:p w14:paraId="4BF30CB0" w14:textId="1D0C2A9E" w:rsidR="008D7147" w:rsidRPr="00E36A94" w:rsidRDefault="005D2D50">
            <w:pPr>
              <w:spacing w:after="0"/>
              <w:rPr>
                <w:sz w:val="20"/>
                <w:szCs w:val="20"/>
              </w:rPr>
            </w:pPr>
            <w:r w:rsidRPr="00E36A94">
              <w:rPr>
                <w:sz w:val="20"/>
                <w:szCs w:val="20"/>
              </w:rPr>
              <w:t>Forța</w:t>
            </w:r>
            <w:r w:rsidR="00475B63" w:rsidRPr="00E36A94">
              <w:rPr>
                <w:sz w:val="20"/>
                <w:szCs w:val="20"/>
              </w:rPr>
              <w:t xml:space="preserve"> de muncă în industria TI (persoane)</w:t>
            </w:r>
          </w:p>
        </w:tc>
        <w:tc>
          <w:tcPr>
            <w:tcW w:w="810"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463A8E22" w14:textId="77777777" w:rsidR="008D7147" w:rsidRPr="00E36A94" w:rsidRDefault="00475B63">
            <w:pPr>
              <w:spacing w:after="0"/>
              <w:jc w:val="center"/>
              <w:rPr>
                <w:sz w:val="20"/>
                <w:szCs w:val="20"/>
              </w:rPr>
            </w:pPr>
            <w:r w:rsidRPr="00E36A94">
              <w:rPr>
                <w:sz w:val="20"/>
                <w:szCs w:val="20"/>
              </w:rPr>
              <w:t>7 900</w:t>
            </w:r>
          </w:p>
        </w:tc>
        <w:tc>
          <w:tcPr>
            <w:tcW w:w="930"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4F6B9228" w14:textId="77777777" w:rsidR="008D7147" w:rsidRPr="00E36A94" w:rsidRDefault="00475B63">
            <w:pPr>
              <w:spacing w:after="0"/>
              <w:jc w:val="center"/>
              <w:rPr>
                <w:sz w:val="20"/>
                <w:szCs w:val="20"/>
              </w:rPr>
            </w:pPr>
            <w:r w:rsidRPr="00E36A94">
              <w:rPr>
                <w:sz w:val="20"/>
                <w:szCs w:val="20"/>
              </w:rPr>
              <w:t>8 400</w:t>
            </w:r>
          </w:p>
        </w:tc>
        <w:tc>
          <w:tcPr>
            <w:tcW w:w="945"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6CD2E045" w14:textId="42A0B430" w:rsidR="008D7147" w:rsidRPr="00E36A94" w:rsidRDefault="00057A3F">
            <w:pPr>
              <w:spacing w:after="0"/>
              <w:jc w:val="center"/>
              <w:rPr>
                <w:sz w:val="20"/>
                <w:szCs w:val="20"/>
              </w:rPr>
            </w:pPr>
            <w:r>
              <w:rPr>
                <w:sz w:val="20"/>
                <w:szCs w:val="20"/>
              </w:rPr>
              <w:t>12</w:t>
            </w:r>
            <w:r w:rsidR="00475B63" w:rsidRPr="00E36A94">
              <w:rPr>
                <w:sz w:val="20"/>
                <w:szCs w:val="20"/>
              </w:rPr>
              <w:t xml:space="preserve"> 000</w:t>
            </w:r>
          </w:p>
        </w:tc>
      </w:tr>
      <w:tr w:rsidR="008D7147" w:rsidRPr="00E36A94" w14:paraId="0DFC4E24" w14:textId="77777777" w:rsidTr="0078722F">
        <w:trPr>
          <w:trHeight w:val="260"/>
          <w:jc w:val="center"/>
        </w:trPr>
        <w:tc>
          <w:tcPr>
            <w:tcW w:w="4755" w:type="dxa"/>
            <w:tcBorders>
              <w:top w:val="nil"/>
              <w:left w:val="single" w:sz="7" w:space="0" w:color="000000"/>
              <w:bottom w:val="single" w:sz="7" w:space="0" w:color="000000"/>
              <w:right w:val="single" w:sz="7" w:space="0" w:color="000000"/>
            </w:tcBorders>
            <w:tcMar>
              <w:top w:w="20" w:type="dxa"/>
              <w:left w:w="40" w:type="dxa"/>
              <w:bottom w:w="20" w:type="dxa"/>
              <w:right w:w="40" w:type="dxa"/>
            </w:tcMar>
          </w:tcPr>
          <w:p w14:paraId="28B5D7AD" w14:textId="77777777" w:rsidR="008D7147" w:rsidRPr="00E36A94" w:rsidRDefault="00475B63">
            <w:pPr>
              <w:spacing w:after="0"/>
              <w:rPr>
                <w:sz w:val="20"/>
                <w:szCs w:val="20"/>
              </w:rPr>
            </w:pPr>
            <w:r w:rsidRPr="00E36A94">
              <w:rPr>
                <w:sz w:val="20"/>
                <w:szCs w:val="20"/>
              </w:rPr>
              <w:t>Venitul în industria TI (milioane dolari SUA)</w:t>
            </w:r>
          </w:p>
        </w:tc>
        <w:tc>
          <w:tcPr>
            <w:tcW w:w="810" w:type="dxa"/>
            <w:tcBorders>
              <w:top w:val="nil"/>
              <w:left w:val="nil"/>
              <w:bottom w:val="single" w:sz="7" w:space="0" w:color="000000"/>
              <w:right w:val="single" w:sz="7" w:space="0" w:color="000000"/>
            </w:tcBorders>
            <w:tcMar>
              <w:top w:w="20" w:type="dxa"/>
              <w:left w:w="40" w:type="dxa"/>
              <w:bottom w:w="20" w:type="dxa"/>
              <w:right w:w="40" w:type="dxa"/>
            </w:tcMar>
          </w:tcPr>
          <w:p w14:paraId="631FD998" w14:textId="77777777" w:rsidR="008D7147" w:rsidRPr="00E36A94" w:rsidRDefault="00475B63">
            <w:pPr>
              <w:spacing w:after="0"/>
              <w:jc w:val="center"/>
              <w:rPr>
                <w:sz w:val="20"/>
                <w:szCs w:val="20"/>
              </w:rPr>
            </w:pPr>
            <w:r w:rsidRPr="00E36A94">
              <w:rPr>
                <w:sz w:val="20"/>
                <w:szCs w:val="20"/>
              </w:rPr>
              <w:t>144</w:t>
            </w:r>
          </w:p>
        </w:tc>
        <w:tc>
          <w:tcPr>
            <w:tcW w:w="930" w:type="dxa"/>
            <w:tcBorders>
              <w:top w:val="nil"/>
              <w:left w:val="nil"/>
              <w:bottom w:val="single" w:sz="7" w:space="0" w:color="000000"/>
              <w:right w:val="single" w:sz="7" w:space="0" w:color="000000"/>
            </w:tcBorders>
            <w:tcMar>
              <w:top w:w="20" w:type="dxa"/>
              <w:left w:w="40" w:type="dxa"/>
              <w:bottom w:w="20" w:type="dxa"/>
              <w:right w:w="40" w:type="dxa"/>
            </w:tcMar>
          </w:tcPr>
          <w:p w14:paraId="57EB7C93" w14:textId="77777777" w:rsidR="008D7147" w:rsidRPr="00E36A94" w:rsidRDefault="00475B63">
            <w:pPr>
              <w:spacing w:after="0"/>
              <w:jc w:val="center"/>
              <w:rPr>
                <w:sz w:val="20"/>
                <w:szCs w:val="20"/>
              </w:rPr>
            </w:pPr>
            <w:r w:rsidRPr="00E36A94">
              <w:rPr>
                <w:sz w:val="20"/>
                <w:szCs w:val="20"/>
              </w:rPr>
              <w:t>180</w:t>
            </w:r>
          </w:p>
        </w:tc>
        <w:tc>
          <w:tcPr>
            <w:tcW w:w="945" w:type="dxa"/>
            <w:tcBorders>
              <w:top w:val="nil"/>
              <w:left w:val="nil"/>
              <w:bottom w:val="single" w:sz="7" w:space="0" w:color="000000"/>
              <w:right w:val="single" w:sz="7" w:space="0" w:color="000000"/>
            </w:tcBorders>
            <w:tcMar>
              <w:top w:w="20" w:type="dxa"/>
              <w:left w:w="40" w:type="dxa"/>
              <w:bottom w:w="20" w:type="dxa"/>
              <w:right w:w="40" w:type="dxa"/>
            </w:tcMar>
          </w:tcPr>
          <w:p w14:paraId="001703E0" w14:textId="77777777" w:rsidR="008D7147" w:rsidRPr="00E36A94" w:rsidRDefault="00475B63">
            <w:pPr>
              <w:spacing w:after="0"/>
              <w:jc w:val="center"/>
              <w:rPr>
                <w:sz w:val="20"/>
                <w:szCs w:val="20"/>
              </w:rPr>
            </w:pPr>
            <w:r w:rsidRPr="00E36A94">
              <w:rPr>
                <w:sz w:val="20"/>
                <w:szCs w:val="20"/>
              </w:rPr>
              <w:t>270</w:t>
            </w:r>
          </w:p>
        </w:tc>
      </w:tr>
      <w:tr w:rsidR="008D7147" w:rsidRPr="00E36A94" w14:paraId="0805C06E" w14:textId="77777777" w:rsidTr="0078722F">
        <w:trPr>
          <w:trHeight w:val="260"/>
          <w:jc w:val="center"/>
        </w:trPr>
        <w:tc>
          <w:tcPr>
            <w:tcW w:w="4755" w:type="dxa"/>
            <w:tcBorders>
              <w:top w:val="nil"/>
              <w:left w:val="single" w:sz="7" w:space="0" w:color="000000"/>
              <w:bottom w:val="single" w:sz="7" w:space="0" w:color="000000"/>
              <w:right w:val="single" w:sz="7" w:space="0" w:color="000000"/>
            </w:tcBorders>
            <w:shd w:val="clear" w:color="auto" w:fill="8DB3E2"/>
            <w:tcMar>
              <w:top w:w="20" w:type="dxa"/>
              <w:left w:w="40" w:type="dxa"/>
              <w:bottom w:w="20" w:type="dxa"/>
              <w:right w:w="40" w:type="dxa"/>
            </w:tcMar>
          </w:tcPr>
          <w:p w14:paraId="234E838A" w14:textId="77777777" w:rsidR="008D7147" w:rsidRPr="00E36A94" w:rsidRDefault="00475B63">
            <w:pPr>
              <w:spacing w:after="0"/>
              <w:rPr>
                <w:sz w:val="20"/>
                <w:szCs w:val="20"/>
              </w:rPr>
            </w:pPr>
            <w:r w:rsidRPr="00E36A94">
              <w:rPr>
                <w:sz w:val="20"/>
                <w:szCs w:val="20"/>
              </w:rPr>
              <w:t>Volumul exportului TI (milioane dolari SUA)</w:t>
            </w:r>
          </w:p>
        </w:tc>
        <w:tc>
          <w:tcPr>
            <w:tcW w:w="810"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1618F8B5" w14:textId="77777777" w:rsidR="008D7147" w:rsidRPr="00E36A94" w:rsidRDefault="00475B63">
            <w:pPr>
              <w:spacing w:after="0"/>
              <w:jc w:val="center"/>
              <w:rPr>
                <w:sz w:val="20"/>
                <w:szCs w:val="20"/>
              </w:rPr>
            </w:pPr>
            <w:r w:rsidRPr="00E36A94">
              <w:rPr>
                <w:sz w:val="20"/>
                <w:szCs w:val="20"/>
              </w:rPr>
              <w:t>79,2</w:t>
            </w:r>
          </w:p>
        </w:tc>
        <w:tc>
          <w:tcPr>
            <w:tcW w:w="930"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5709E22A" w14:textId="77777777" w:rsidR="008D7147" w:rsidRPr="00E36A94" w:rsidRDefault="00475B63">
            <w:pPr>
              <w:spacing w:after="0"/>
              <w:jc w:val="center"/>
              <w:rPr>
                <w:sz w:val="20"/>
                <w:szCs w:val="20"/>
              </w:rPr>
            </w:pPr>
            <w:r w:rsidRPr="00E36A94">
              <w:rPr>
                <w:sz w:val="20"/>
                <w:szCs w:val="20"/>
              </w:rPr>
              <w:t>110</w:t>
            </w:r>
          </w:p>
        </w:tc>
        <w:tc>
          <w:tcPr>
            <w:tcW w:w="945"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313637C1" w14:textId="77777777" w:rsidR="008D7147" w:rsidRPr="00E36A94" w:rsidRDefault="00475B63">
            <w:pPr>
              <w:spacing w:after="0"/>
              <w:jc w:val="center"/>
              <w:rPr>
                <w:sz w:val="20"/>
                <w:szCs w:val="20"/>
              </w:rPr>
            </w:pPr>
            <w:r w:rsidRPr="00E36A94">
              <w:rPr>
                <w:sz w:val="20"/>
                <w:szCs w:val="20"/>
              </w:rPr>
              <w:t>200</w:t>
            </w:r>
          </w:p>
        </w:tc>
      </w:tr>
      <w:tr w:rsidR="008D7147" w:rsidRPr="00E36A94" w14:paraId="236EF28D" w14:textId="77777777" w:rsidTr="0078722F">
        <w:trPr>
          <w:trHeight w:val="260"/>
          <w:jc w:val="center"/>
        </w:trPr>
        <w:tc>
          <w:tcPr>
            <w:tcW w:w="4755" w:type="dxa"/>
            <w:tcBorders>
              <w:top w:val="nil"/>
              <w:left w:val="single" w:sz="7" w:space="0" w:color="000000"/>
              <w:bottom w:val="single" w:sz="7" w:space="0" w:color="000000"/>
              <w:right w:val="single" w:sz="7" w:space="0" w:color="000000"/>
            </w:tcBorders>
            <w:tcMar>
              <w:top w:w="20" w:type="dxa"/>
              <w:left w:w="40" w:type="dxa"/>
              <w:bottom w:w="20" w:type="dxa"/>
              <w:right w:w="40" w:type="dxa"/>
            </w:tcMar>
          </w:tcPr>
          <w:p w14:paraId="5FB40337" w14:textId="77777777" w:rsidR="008D7147" w:rsidRPr="00E36A94" w:rsidRDefault="00475B63">
            <w:pPr>
              <w:spacing w:after="0"/>
              <w:rPr>
                <w:sz w:val="20"/>
                <w:szCs w:val="20"/>
              </w:rPr>
            </w:pPr>
            <w:r w:rsidRPr="00E36A94">
              <w:rPr>
                <w:sz w:val="20"/>
                <w:szCs w:val="20"/>
              </w:rPr>
              <w:lastRenderedPageBreak/>
              <w:t>Companii de cercetare/dezvoltare TI</w:t>
            </w:r>
          </w:p>
        </w:tc>
        <w:tc>
          <w:tcPr>
            <w:tcW w:w="810" w:type="dxa"/>
            <w:tcBorders>
              <w:top w:val="nil"/>
              <w:left w:val="nil"/>
              <w:bottom w:val="single" w:sz="7" w:space="0" w:color="000000"/>
              <w:right w:val="single" w:sz="7" w:space="0" w:color="000000"/>
            </w:tcBorders>
            <w:tcMar>
              <w:top w:w="20" w:type="dxa"/>
              <w:left w:w="40" w:type="dxa"/>
              <w:bottom w:w="20" w:type="dxa"/>
              <w:right w:w="40" w:type="dxa"/>
            </w:tcMar>
          </w:tcPr>
          <w:p w14:paraId="17EC4B38" w14:textId="77777777" w:rsidR="008D7147" w:rsidRPr="00E36A94" w:rsidRDefault="00475B63">
            <w:pPr>
              <w:spacing w:after="0"/>
              <w:jc w:val="center"/>
              <w:rPr>
                <w:sz w:val="20"/>
                <w:szCs w:val="20"/>
              </w:rPr>
            </w:pPr>
            <w:r w:rsidRPr="00E36A94">
              <w:rPr>
                <w:sz w:val="20"/>
                <w:szCs w:val="20"/>
              </w:rPr>
              <w:t xml:space="preserve"> </w:t>
            </w:r>
          </w:p>
        </w:tc>
        <w:tc>
          <w:tcPr>
            <w:tcW w:w="930" w:type="dxa"/>
            <w:tcBorders>
              <w:top w:val="nil"/>
              <w:left w:val="nil"/>
              <w:bottom w:val="single" w:sz="7" w:space="0" w:color="000000"/>
              <w:right w:val="single" w:sz="7" w:space="0" w:color="000000"/>
            </w:tcBorders>
            <w:tcMar>
              <w:top w:w="20" w:type="dxa"/>
              <w:left w:w="40" w:type="dxa"/>
              <w:bottom w:w="20" w:type="dxa"/>
              <w:right w:w="40" w:type="dxa"/>
            </w:tcMar>
          </w:tcPr>
          <w:p w14:paraId="5F0E6EF2" w14:textId="77777777" w:rsidR="008D7147" w:rsidRPr="00E36A94" w:rsidRDefault="00475B63">
            <w:pPr>
              <w:spacing w:after="0"/>
              <w:jc w:val="center"/>
              <w:rPr>
                <w:sz w:val="20"/>
                <w:szCs w:val="20"/>
              </w:rPr>
            </w:pPr>
            <w:r w:rsidRPr="00E36A94">
              <w:rPr>
                <w:sz w:val="20"/>
                <w:szCs w:val="20"/>
              </w:rPr>
              <w:t>25</w:t>
            </w:r>
          </w:p>
        </w:tc>
        <w:tc>
          <w:tcPr>
            <w:tcW w:w="945" w:type="dxa"/>
            <w:tcBorders>
              <w:top w:val="nil"/>
              <w:left w:val="nil"/>
              <w:bottom w:val="single" w:sz="7" w:space="0" w:color="000000"/>
              <w:right w:val="single" w:sz="7" w:space="0" w:color="000000"/>
            </w:tcBorders>
            <w:tcMar>
              <w:top w:w="20" w:type="dxa"/>
              <w:left w:w="40" w:type="dxa"/>
              <w:bottom w:w="20" w:type="dxa"/>
              <w:right w:w="40" w:type="dxa"/>
            </w:tcMar>
          </w:tcPr>
          <w:p w14:paraId="47C31E51" w14:textId="77777777" w:rsidR="008D7147" w:rsidRPr="00E36A94" w:rsidRDefault="00475B63">
            <w:pPr>
              <w:spacing w:after="0"/>
              <w:jc w:val="center"/>
              <w:rPr>
                <w:sz w:val="20"/>
                <w:szCs w:val="20"/>
              </w:rPr>
            </w:pPr>
            <w:r w:rsidRPr="00E36A94">
              <w:rPr>
                <w:sz w:val="20"/>
                <w:szCs w:val="20"/>
              </w:rPr>
              <w:t>50</w:t>
            </w:r>
          </w:p>
        </w:tc>
      </w:tr>
      <w:tr w:rsidR="008D7147" w:rsidRPr="00E36A94" w14:paraId="75E605C2" w14:textId="77777777" w:rsidTr="0078722F">
        <w:trPr>
          <w:trHeight w:val="260"/>
          <w:jc w:val="center"/>
        </w:trPr>
        <w:tc>
          <w:tcPr>
            <w:tcW w:w="4755" w:type="dxa"/>
            <w:tcBorders>
              <w:top w:val="nil"/>
              <w:left w:val="single" w:sz="7" w:space="0" w:color="000000"/>
              <w:bottom w:val="single" w:sz="7" w:space="0" w:color="000000"/>
              <w:right w:val="single" w:sz="7" w:space="0" w:color="000000"/>
            </w:tcBorders>
            <w:shd w:val="clear" w:color="auto" w:fill="8DB3E2"/>
            <w:tcMar>
              <w:top w:w="20" w:type="dxa"/>
              <w:left w:w="40" w:type="dxa"/>
              <w:bottom w:w="20" w:type="dxa"/>
              <w:right w:w="40" w:type="dxa"/>
            </w:tcMar>
          </w:tcPr>
          <w:p w14:paraId="725BDEFD" w14:textId="77777777" w:rsidR="008D7147" w:rsidRPr="00E36A94" w:rsidRDefault="00475B63">
            <w:pPr>
              <w:spacing w:after="0"/>
              <w:rPr>
                <w:sz w:val="20"/>
                <w:szCs w:val="20"/>
              </w:rPr>
            </w:pPr>
            <w:r w:rsidRPr="00E36A94">
              <w:rPr>
                <w:sz w:val="20"/>
                <w:szCs w:val="20"/>
              </w:rPr>
              <w:t>Cota industriei TI în PIB</w:t>
            </w:r>
          </w:p>
        </w:tc>
        <w:tc>
          <w:tcPr>
            <w:tcW w:w="810"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498692F6" w14:textId="77777777" w:rsidR="008D7147" w:rsidRPr="00E36A94" w:rsidRDefault="00475B63">
            <w:pPr>
              <w:spacing w:after="0"/>
              <w:jc w:val="center"/>
              <w:rPr>
                <w:sz w:val="20"/>
                <w:szCs w:val="20"/>
              </w:rPr>
            </w:pPr>
            <w:r w:rsidRPr="00E36A94">
              <w:rPr>
                <w:sz w:val="20"/>
                <w:szCs w:val="20"/>
              </w:rPr>
              <w:t xml:space="preserve"> </w:t>
            </w:r>
          </w:p>
        </w:tc>
        <w:tc>
          <w:tcPr>
            <w:tcW w:w="930"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4AC0B55E" w14:textId="77777777" w:rsidR="008D7147" w:rsidRPr="00E36A94" w:rsidRDefault="00475B63">
            <w:pPr>
              <w:spacing w:after="0"/>
              <w:jc w:val="center"/>
              <w:rPr>
                <w:sz w:val="20"/>
                <w:szCs w:val="20"/>
              </w:rPr>
            </w:pPr>
            <w:r w:rsidRPr="00E36A94">
              <w:rPr>
                <w:sz w:val="20"/>
                <w:szCs w:val="20"/>
              </w:rPr>
              <w:t>&gt;2%</w:t>
            </w:r>
          </w:p>
        </w:tc>
        <w:tc>
          <w:tcPr>
            <w:tcW w:w="945"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5DFAB45C" w14:textId="77777777" w:rsidR="008D7147" w:rsidRPr="00E36A94" w:rsidRDefault="00475B63">
            <w:pPr>
              <w:spacing w:after="0"/>
              <w:jc w:val="center"/>
              <w:rPr>
                <w:sz w:val="20"/>
                <w:szCs w:val="20"/>
              </w:rPr>
            </w:pPr>
            <w:r w:rsidRPr="00E36A94">
              <w:rPr>
                <w:sz w:val="20"/>
                <w:szCs w:val="20"/>
              </w:rPr>
              <w:t>&gt;3%</w:t>
            </w:r>
          </w:p>
        </w:tc>
      </w:tr>
      <w:tr w:rsidR="008D7147" w:rsidRPr="00E36A94" w14:paraId="41CB484F" w14:textId="77777777" w:rsidTr="0078722F">
        <w:trPr>
          <w:trHeight w:val="260"/>
          <w:jc w:val="center"/>
        </w:trPr>
        <w:tc>
          <w:tcPr>
            <w:tcW w:w="4755" w:type="dxa"/>
            <w:tcBorders>
              <w:top w:val="nil"/>
              <w:left w:val="single" w:sz="7" w:space="0" w:color="000000"/>
              <w:bottom w:val="single" w:sz="7" w:space="0" w:color="000000"/>
              <w:right w:val="single" w:sz="7" w:space="0" w:color="000000"/>
            </w:tcBorders>
            <w:tcMar>
              <w:top w:w="20" w:type="dxa"/>
              <w:left w:w="40" w:type="dxa"/>
              <w:bottom w:w="20" w:type="dxa"/>
              <w:right w:w="40" w:type="dxa"/>
            </w:tcMar>
          </w:tcPr>
          <w:p w14:paraId="1477E99A" w14:textId="052895CE" w:rsidR="008D7147" w:rsidRPr="00E36A94" w:rsidRDefault="0078722F">
            <w:pPr>
              <w:spacing w:after="0"/>
              <w:rPr>
                <w:sz w:val="20"/>
                <w:szCs w:val="20"/>
              </w:rPr>
            </w:pPr>
            <w:r w:rsidRPr="00E36A94">
              <w:rPr>
                <w:sz w:val="20"/>
                <w:szCs w:val="20"/>
              </w:rPr>
              <w:t xml:space="preserve">Numărul rezidenților Parcurilor </w:t>
            </w:r>
            <w:r w:rsidR="00475B63" w:rsidRPr="00E36A94">
              <w:rPr>
                <w:sz w:val="20"/>
                <w:szCs w:val="20"/>
              </w:rPr>
              <w:t>TI</w:t>
            </w:r>
          </w:p>
        </w:tc>
        <w:tc>
          <w:tcPr>
            <w:tcW w:w="810" w:type="dxa"/>
            <w:tcBorders>
              <w:top w:val="nil"/>
              <w:left w:val="nil"/>
              <w:bottom w:val="single" w:sz="7" w:space="0" w:color="000000"/>
              <w:right w:val="single" w:sz="7" w:space="0" w:color="000000"/>
            </w:tcBorders>
            <w:tcMar>
              <w:top w:w="20" w:type="dxa"/>
              <w:left w:w="40" w:type="dxa"/>
              <w:bottom w:w="20" w:type="dxa"/>
              <w:right w:w="40" w:type="dxa"/>
            </w:tcMar>
          </w:tcPr>
          <w:p w14:paraId="574971D1" w14:textId="77777777" w:rsidR="008D7147" w:rsidRPr="00E36A94" w:rsidRDefault="00475B63">
            <w:pPr>
              <w:spacing w:after="0"/>
              <w:jc w:val="center"/>
              <w:rPr>
                <w:sz w:val="20"/>
                <w:szCs w:val="20"/>
              </w:rPr>
            </w:pPr>
            <w:r w:rsidRPr="00E36A94">
              <w:rPr>
                <w:sz w:val="20"/>
                <w:szCs w:val="20"/>
              </w:rPr>
              <w:t xml:space="preserve"> </w:t>
            </w:r>
          </w:p>
        </w:tc>
        <w:tc>
          <w:tcPr>
            <w:tcW w:w="930" w:type="dxa"/>
            <w:tcBorders>
              <w:top w:val="nil"/>
              <w:left w:val="nil"/>
              <w:bottom w:val="single" w:sz="7" w:space="0" w:color="000000"/>
              <w:right w:val="single" w:sz="7" w:space="0" w:color="000000"/>
            </w:tcBorders>
            <w:tcMar>
              <w:top w:w="20" w:type="dxa"/>
              <w:left w:w="40" w:type="dxa"/>
              <w:bottom w:w="20" w:type="dxa"/>
              <w:right w:w="40" w:type="dxa"/>
            </w:tcMar>
          </w:tcPr>
          <w:p w14:paraId="37A03398" w14:textId="098041D5" w:rsidR="008D7147" w:rsidRPr="00E36A94" w:rsidRDefault="00A64818">
            <w:pPr>
              <w:spacing w:after="0"/>
              <w:jc w:val="center"/>
              <w:rPr>
                <w:sz w:val="20"/>
                <w:szCs w:val="20"/>
              </w:rPr>
            </w:pPr>
            <w:r>
              <w:rPr>
                <w:sz w:val="20"/>
                <w:szCs w:val="20"/>
              </w:rPr>
              <w:t>70</w:t>
            </w:r>
          </w:p>
        </w:tc>
        <w:tc>
          <w:tcPr>
            <w:tcW w:w="945" w:type="dxa"/>
            <w:tcBorders>
              <w:top w:val="nil"/>
              <w:left w:val="nil"/>
              <w:bottom w:val="single" w:sz="7" w:space="0" w:color="000000"/>
              <w:right w:val="single" w:sz="7" w:space="0" w:color="000000"/>
            </w:tcBorders>
            <w:tcMar>
              <w:top w:w="20" w:type="dxa"/>
              <w:left w:w="40" w:type="dxa"/>
              <w:bottom w:w="20" w:type="dxa"/>
              <w:right w:w="40" w:type="dxa"/>
            </w:tcMar>
          </w:tcPr>
          <w:p w14:paraId="17E831CD" w14:textId="04F5A64F" w:rsidR="008D7147" w:rsidRPr="00E36A94" w:rsidRDefault="00D75BCA" w:rsidP="00D75BCA">
            <w:pPr>
              <w:spacing w:after="0" w:line="240" w:lineRule="auto"/>
              <w:jc w:val="center"/>
              <w:rPr>
                <w:sz w:val="20"/>
                <w:szCs w:val="20"/>
              </w:rPr>
            </w:pPr>
            <w:r>
              <w:rPr>
                <w:sz w:val="20"/>
                <w:szCs w:val="20"/>
              </w:rPr>
              <w:t>până la 400</w:t>
            </w:r>
          </w:p>
        </w:tc>
      </w:tr>
      <w:tr w:rsidR="008D7147" w:rsidRPr="00E36A94" w14:paraId="665FB5CA" w14:textId="77777777" w:rsidTr="0078722F">
        <w:trPr>
          <w:trHeight w:val="260"/>
          <w:jc w:val="center"/>
        </w:trPr>
        <w:tc>
          <w:tcPr>
            <w:tcW w:w="4755" w:type="dxa"/>
            <w:tcBorders>
              <w:top w:val="nil"/>
              <w:left w:val="single" w:sz="7" w:space="0" w:color="000000"/>
              <w:bottom w:val="single" w:sz="7" w:space="0" w:color="000000"/>
              <w:right w:val="single" w:sz="7" w:space="0" w:color="000000"/>
            </w:tcBorders>
            <w:shd w:val="clear" w:color="auto" w:fill="8DB3E2"/>
            <w:tcMar>
              <w:top w:w="20" w:type="dxa"/>
              <w:left w:w="40" w:type="dxa"/>
              <w:bottom w:w="20" w:type="dxa"/>
              <w:right w:w="40" w:type="dxa"/>
            </w:tcMar>
          </w:tcPr>
          <w:p w14:paraId="2EA1D970" w14:textId="2B0F534D" w:rsidR="008D7147" w:rsidRPr="00E36A94" w:rsidRDefault="00475B63">
            <w:pPr>
              <w:spacing w:after="0"/>
              <w:rPr>
                <w:sz w:val="20"/>
                <w:szCs w:val="20"/>
              </w:rPr>
            </w:pPr>
            <w:r w:rsidRPr="00E36A94">
              <w:rPr>
                <w:sz w:val="20"/>
                <w:szCs w:val="20"/>
              </w:rPr>
              <w:t xml:space="preserve">Centre de </w:t>
            </w:r>
            <w:r w:rsidR="005D2D50" w:rsidRPr="00E36A94">
              <w:rPr>
                <w:sz w:val="20"/>
                <w:szCs w:val="20"/>
              </w:rPr>
              <w:t>inovații</w:t>
            </w:r>
            <w:r w:rsidRPr="00E36A94">
              <w:rPr>
                <w:sz w:val="20"/>
                <w:szCs w:val="20"/>
              </w:rPr>
              <w:t xml:space="preserve"> TI</w:t>
            </w:r>
          </w:p>
        </w:tc>
        <w:tc>
          <w:tcPr>
            <w:tcW w:w="810"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121F7642" w14:textId="77777777" w:rsidR="008D7147" w:rsidRPr="00E36A94" w:rsidRDefault="00475B63">
            <w:pPr>
              <w:spacing w:after="0"/>
              <w:jc w:val="center"/>
              <w:rPr>
                <w:sz w:val="20"/>
                <w:szCs w:val="20"/>
              </w:rPr>
            </w:pPr>
            <w:r w:rsidRPr="00E36A94">
              <w:rPr>
                <w:sz w:val="20"/>
                <w:szCs w:val="20"/>
              </w:rPr>
              <w:t xml:space="preserve"> </w:t>
            </w:r>
          </w:p>
        </w:tc>
        <w:tc>
          <w:tcPr>
            <w:tcW w:w="930"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5C0869E9" w14:textId="77777777" w:rsidR="008D7147" w:rsidRPr="00E36A94" w:rsidRDefault="00475B63">
            <w:pPr>
              <w:spacing w:after="0"/>
              <w:jc w:val="center"/>
              <w:rPr>
                <w:sz w:val="20"/>
                <w:szCs w:val="20"/>
              </w:rPr>
            </w:pPr>
            <w:r w:rsidRPr="00E36A94">
              <w:rPr>
                <w:sz w:val="20"/>
                <w:szCs w:val="20"/>
              </w:rPr>
              <w:t>1</w:t>
            </w:r>
          </w:p>
        </w:tc>
        <w:tc>
          <w:tcPr>
            <w:tcW w:w="945" w:type="dxa"/>
            <w:tcBorders>
              <w:top w:val="nil"/>
              <w:left w:val="nil"/>
              <w:bottom w:val="single" w:sz="7" w:space="0" w:color="000000"/>
              <w:right w:val="single" w:sz="7" w:space="0" w:color="000000"/>
            </w:tcBorders>
            <w:shd w:val="clear" w:color="auto" w:fill="8DB3E2"/>
            <w:tcMar>
              <w:top w:w="20" w:type="dxa"/>
              <w:left w:w="40" w:type="dxa"/>
              <w:bottom w:w="20" w:type="dxa"/>
              <w:right w:w="40" w:type="dxa"/>
            </w:tcMar>
          </w:tcPr>
          <w:p w14:paraId="49D408BA" w14:textId="676537E0" w:rsidR="008D7147" w:rsidRPr="00E36A94" w:rsidRDefault="005D2D50">
            <w:pPr>
              <w:spacing w:after="0"/>
              <w:jc w:val="center"/>
              <w:rPr>
                <w:sz w:val="20"/>
                <w:szCs w:val="20"/>
              </w:rPr>
            </w:pPr>
            <w:r>
              <w:rPr>
                <w:sz w:val="20"/>
                <w:szCs w:val="20"/>
              </w:rPr>
              <w:t>4</w:t>
            </w:r>
          </w:p>
        </w:tc>
      </w:tr>
      <w:tr w:rsidR="008D7147" w:rsidRPr="00E36A94" w14:paraId="2B2D41DA" w14:textId="77777777" w:rsidTr="0078722F">
        <w:trPr>
          <w:trHeight w:val="260"/>
          <w:jc w:val="center"/>
        </w:trPr>
        <w:tc>
          <w:tcPr>
            <w:tcW w:w="4755" w:type="dxa"/>
            <w:tcBorders>
              <w:top w:val="nil"/>
              <w:left w:val="single" w:sz="7" w:space="0" w:color="000000"/>
              <w:bottom w:val="single" w:sz="7" w:space="0" w:color="000000"/>
              <w:right w:val="single" w:sz="7" w:space="0" w:color="000000"/>
            </w:tcBorders>
            <w:tcMar>
              <w:top w:w="20" w:type="dxa"/>
              <w:left w:w="40" w:type="dxa"/>
              <w:bottom w:w="20" w:type="dxa"/>
              <w:right w:w="40" w:type="dxa"/>
            </w:tcMar>
          </w:tcPr>
          <w:p w14:paraId="00CDE7A5" w14:textId="186A5110" w:rsidR="008D7147" w:rsidRPr="00E36A94" w:rsidRDefault="00475B63">
            <w:pPr>
              <w:spacing w:after="0"/>
              <w:rPr>
                <w:sz w:val="20"/>
                <w:szCs w:val="20"/>
              </w:rPr>
            </w:pPr>
            <w:r w:rsidRPr="00E36A94">
              <w:rPr>
                <w:sz w:val="20"/>
                <w:szCs w:val="20"/>
              </w:rPr>
              <w:t xml:space="preserve">Numărul </w:t>
            </w:r>
            <w:proofErr w:type="spellStart"/>
            <w:r w:rsidRPr="00E36A94">
              <w:rPr>
                <w:sz w:val="20"/>
                <w:szCs w:val="20"/>
              </w:rPr>
              <w:t>startup</w:t>
            </w:r>
            <w:proofErr w:type="spellEnd"/>
            <w:r w:rsidRPr="00E36A94">
              <w:rPr>
                <w:sz w:val="20"/>
                <w:szCs w:val="20"/>
              </w:rPr>
              <w:t xml:space="preserve">-urilor </w:t>
            </w:r>
            <w:r w:rsidR="00A64818">
              <w:rPr>
                <w:sz w:val="20"/>
                <w:szCs w:val="20"/>
              </w:rPr>
              <w:t xml:space="preserve">TI </w:t>
            </w:r>
            <w:r w:rsidRPr="00E36A94">
              <w:rPr>
                <w:sz w:val="20"/>
                <w:szCs w:val="20"/>
              </w:rPr>
              <w:t>lansate</w:t>
            </w:r>
          </w:p>
        </w:tc>
        <w:tc>
          <w:tcPr>
            <w:tcW w:w="810" w:type="dxa"/>
            <w:tcBorders>
              <w:top w:val="nil"/>
              <w:left w:val="nil"/>
              <w:bottom w:val="single" w:sz="7" w:space="0" w:color="000000"/>
              <w:right w:val="single" w:sz="7" w:space="0" w:color="000000"/>
            </w:tcBorders>
            <w:tcMar>
              <w:top w:w="20" w:type="dxa"/>
              <w:left w:w="40" w:type="dxa"/>
              <w:bottom w:w="20" w:type="dxa"/>
              <w:right w:w="40" w:type="dxa"/>
            </w:tcMar>
          </w:tcPr>
          <w:p w14:paraId="763C4F93" w14:textId="77777777" w:rsidR="008D7147" w:rsidRPr="00E36A94" w:rsidRDefault="00475B63">
            <w:pPr>
              <w:spacing w:after="0"/>
              <w:jc w:val="center"/>
              <w:rPr>
                <w:sz w:val="20"/>
                <w:szCs w:val="20"/>
              </w:rPr>
            </w:pPr>
            <w:r w:rsidRPr="00E36A94">
              <w:rPr>
                <w:sz w:val="20"/>
                <w:szCs w:val="20"/>
              </w:rPr>
              <w:t xml:space="preserve"> </w:t>
            </w:r>
          </w:p>
        </w:tc>
        <w:tc>
          <w:tcPr>
            <w:tcW w:w="930" w:type="dxa"/>
            <w:tcBorders>
              <w:top w:val="nil"/>
              <w:left w:val="nil"/>
              <w:bottom w:val="single" w:sz="7" w:space="0" w:color="000000"/>
              <w:right w:val="single" w:sz="7" w:space="0" w:color="000000"/>
            </w:tcBorders>
            <w:tcMar>
              <w:top w:w="20" w:type="dxa"/>
              <w:left w:w="40" w:type="dxa"/>
              <w:bottom w:w="20" w:type="dxa"/>
              <w:right w:w="40" w:type="dxa"/>
            </w:tcMar>
          </w:tcPr>
          <w:p w14:paraId="02C5A1CF" w14:textId="46AA49E1" w:rsidR="008D7147" w:rsidRPr="00E36A94" w:rsidRDefault="00A64818">
            <w:pPr>
              <w:spacing w:after="0"/>
              <w:jc w:val="center"/>
              <w:rPr>
                <w:sz w:val="20"/>
                <w:szCs w:val="20"/>
              </w:rPr>
            </w:pPr>
            <w:r>
              <w:rPr>
                <w:sz w:val="20"/>
                <w:szCs w:val="20"/>
              </w:rPr>
              <w:t>30</w:t>
            </w:r>
          </w:p>
        </w:tc>
        <w:tc>
          <w:tcPr>
            <w:tcW w:w="945" w:type="dxa"/>
            <w:tcBorders>
              <w:top w:val="nil"/>
              <w:left w:val="nil"/>
              <w:bottom w:val="single" w:sz="7" w:space="0" w:color="000000"/>
              <w:right w:val="single" w:sz="7" w:space="0" w:color="000000"/>
            </w:tcBorders>
            <w:tcMar>
              <w:top w:w="20" w:type="dxa"/>
              <w:left w:w="40" w:type="dxa"/>
              <w:bottom w:w="20" w:type="dxa"/>
              <w:right w:w="40" w:type="dxa"/>
            </w:tcMar>
          </w:tcPr>
          <w:p w14:paraId="72DD3453" w14:textId="11D25EEB" w:rsidR="008D7147" w:rsidRPr="00E36A94" w:rsidRDefault="00A64818">
            <w:pPr>
              <w:spacing w:after="0"/>
              <w:jc w:val="center"/>
              <w:rPr>
                <w:sz w:val="20"/>
                <w:szCs w:val="20"/>
              </w:rPr>
            </w:pPr>
            <w:r>
              <w:rPr>
                <w:sz w:val="20"/>
                <w:szCs w:val="20"/>
              </w:rPr>
              <w:t>50</w:t>
            </w:r>
          </w:p>
        </w:tc>
      </w:tr>
    </w:tbl>
    <w:p w14:paraId="081D2480" w14:textId="19B42DB4" w:rsidR="008D7147" w:rsidRPr="00E36A94" w:rsidRDefault="000516AC" w:rsidP="00E734AB">
      <w:pPr>
        <w:spacing w:before="240" w:after="0"/>
        <w:jc w:val="both"/>
        <w:rPr>
          <w:rFonts w:ascii="Times New Roman" w:eastAsia="Times New Roman" w:hAnsi="Times New Roman" w:cs="Times New Roman"/>
          <w:sz w:val="24"/>
          <w:szCs w:val="24"/>
        </w:rPr>
      </w:pPr>
      <w:r w:rsidRPr="00E36A94">
        <w:rPr>
          <w:rFonts w:ascii="Times New Roman" w:eastAsia="Times New Roman" w:hAnsi="Times New Roman" w:cs="Times New Roman"/>
          <w:b/>
          <w:sz w:val="24"/>
          <w:szCs w:val="24"/>
        </w:rPr>
        <w:t xml:space="preserve">4.2. </w:t>
      </w:r>
      <w:r w:rsidR="00475B63" w:rsidRPr="00E36A94">
        <w:rPr>
          <w:rFonts w:ascii="Times New Roman" w:eastAsia="Times New Roman" w:hAnsi="Times New Roman" w:cs="Times New Roman"/>
          <w:b/>
          <w:sz w:val="24"/>
          <w:szCs w:val="24"/>
        </w:rPr>
        <w:t>Rezultatele scontate</w:t>
      </w:r>
      <w:r w:rsidR="00475B63" w:rsidRPr="00E36A94">
        <w:rPr>
          <w:rFonts w:ascii="Times New Roman" w:eastAsia="Times New Roman" w:hAnsi="Times New Roman" w:cs="Times New Roman"/>
          <w:i/>
          <w:sz w:val="24"/>
          <w:szCs w:val="24"/>
        </w:rPr>
        <w:t xml:space="preserve"> </w:t>
      </w:r>
      <w:r w:rsidR="00475B63" w:rsidRPr="00E36A94">
        <w:rPr>
          <w:rFonts w:ascii="Times New Roman" w:eastAsia="Times New Roman" w:hAnsi="Times New Roman" w:cs="Times New Roman"/>
          <w:sz w:val="24"/>
          <w:szCs w:val="24"/>
        </w:rPr>
        <w:t>în urma implementării prezent</w:t>
      </w:r>
      <w:r w:rsidR="00E734AB">
        <w:rPr>
          <w:rFonts w:ascii="Times New Roman" w:eastAsia="Times New Roman" w:hAnsi="Times New Roman" w:cs="Times New Roman"/>
          <w:sz w:val="24"/>
          <w:szCs w:val="24"/>
        </w:rPr>
        <w:t xml:space="preserve">ei Strategii vor fi estimate în </w:t>
      </w:r>
      <w:r w:rsidR="00475B63" w:rsidRPr="00E36A94">
        <w:rPr>
          <w:rFonts w:ascii="Times New Roman" w:eastAsia="Times New Roman" w:hAnsi="Times New Roman" w:cs="Times New Roman"/>
          <w:sz w:val="24"/>
          <w:szCs w:val="24"/>
        </w:rPr>
        <w:t>conformitate cu principalii indicatori de progres privind realizarea obiectivelor stabilite:</w:t>
      </w:r>
    </w:p>
    <w:p w14:paraId="610DFD9E" w14:textId="437777AE" w:rsidR="008D7147" w:rsidRPr="00E36A94" w:rsidRDefault="00475B63">
      <w:pPr>
        <w:spacing w:after="0"/>
        <w:ind w:firstLine="567"/>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1) numărul </w:t>
      </w:r>
      <w:r w:rsidR="00875B0C" w:rsidRPr="00E36A94">
        <w:rPr>
          <w:rFonts w:ascii="Times New Roman" w:eastAsia="Times New Roman" w:hAnsi="Times New Roman" w:cs="Times New Roman"/>
          <w:sz w:val="24"/>
          <w:szCs w:val="24"/>
        </w:rPr>
        <w:t>absolvenților</w:t>
      </w:r>
      <w:r w:rsidRPr="00E36A94">
        <w:rPr>
          <w:rFonts w:ascii="Times New Roman" w:eastAsia="Times New Roman" w:hAnsi="Times New Roman" w:cs="Times New Roman"/>
          <w:sz w:val="24"/>
          <w:szCs w:val="24"/>
        </w:rPr>
        <w:t xml:space="preserve"> TI;</w:t>
      </w:r>
    </w:p>
    <w:p w14:paraId="70C7934B" w14:textId="5B161EE4" w:rsidR="008D7147" w:rsidRPr="00E36A94" w:rsidRDefault="00475B63">
      <w:pPr>
        <w:spacing w:after="0"/>
        <w:ind w:firstLine="567"/>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2) numărul proiectelor </w:t>
      </w:r>
      <w:r w:rsidR="00875B0C" w:rsidRPr="00E36A94">
        <w:rPr>
          <w:rFonts w:ascii="Times New Roman" w:eastAsia="Times New Roman" w:hAnsi="Times New Roman" w:cs="Times New Roman"/>
          <w:sz w:val="24"/>
          <w:szCs w:val="24"/>
        </w:rPr>
        <w:t>finanțate</w:t>
      </w:r>
      <w:r w:rsidRPr="00E36A94">
        <w:rPr>
          <w:rFonts w:ascii="Times New Roman" w:eastAsia="Times New Roman" w:hAnsi="Times New Roman" w:cs="Times New Roman"/>
          <w:sz w:val="24"/>
          <w:szCs w:val="24"/>
        </w:rPr>
        <w:t xml:space="preserve"> din bugetul public </w:t>
      </w:r>
      <w:proofErr w:type="spellStart"/>
      <w:r w:rsidRPr="00E36A94">
        <w:rPr>
          <w:rFonts w:ascii="Times New Roman" w:eastAsia="Times New Roman" w:hAnsi="Times New Roman" w:cs="Times New Roman"/>
          <w:sz w:val="24"/>
          <w:szCs w:val="24"/>
        </w:rPr>
        <w:t>şi</w:t>
      </w:r>
      <w:proofErr w:type="spellEnd"/>
      <w:r w:rsidRPr="00E36A94">
        <w:rPr>
          <w:rFonts w:ascii="Times New Roman" w:eastAsia="Times New Roman" w:hAnsi="Times New Roman" w:cs="Times New Roman"/>
          <w:sz w:val="24"/>
          <w:szCs w:val="24"/>
        </w:rPr>
        <w:t xml:space="preserve"> cel privat pentru promovarea </w:t>
      </w:r>
      <w:r w:rsidR="00875B0C" w:rsidRPr="00E36A94">
        <w:rPr>
          <w:rFonts w:ascii="Times New Roman" w:eastAsia="Times New Roman" w:hAnsi="Times New Roman" w:cs="Times New Roman"/>
          <w:sz w:val="24"/>
          <w:szCs w:val="24"/>
        </w:rPr>
        <w:t>inovației</w:t>
      </w:r>
      <w:r w:rsidRPr="00E36A94">
        <w:rPr>
          <w:rFonts w:ascii="Times New Roman" w:eastAsia="Times New Roman" w:hAnsi="Times New Roman" w:cs="Times New Roman"/>
          <w:sz w:val="24"/>
          <w:szCs w:val="24"/>
        </w:rPr>
        <w:t xml:space="preserve">, cercetării/dezvoltării </w:t>
      </w:r>
      <w:proofErr w:type="spellStart"/>
      <w:r w:rsidRPr="00E36A94">
        <w:rPr>
          <w:rFonts w:ascii="Times New Roman" w:eastAsia="Times New Roman" w:hAnsi="Times New Roman" w:cs="Times New Roman"/>
          <w:sz w:val="24"/>
          <w:szCs w:val="24"/>
        </w:rPr>
        <w:t>şi</w:t>
      </w:r>
      <w:proofErr w:type="spellEnd"/>
      <w:r w:rsidRPr="00E36A94">
        <w:rPr>
          <w:rFonts w:ascii="Times New Roman" w:eastAsia="Times New Roman" w:hAnsi="Times New Roman" w:cs="Times New Roman"/>
          <w:sz w:val="24"/>
          <w:szCs w:val="24"/>
        </w:rPr>
        <w:t xml:space="preserve"> </w:t>
      </w:r>
      <w:r w:rsidR="00875B0C" w:rsidRPr="00E36A94">
        <w:rPr>
          <w:rFonts w:ascii="Times New Roman" w:eastAsia="Times New Roman" w:hAnsi="Times New Roman" w:cs="Times New Roman"/>
          <w:sz w:val="24"/>
          <w:szCs w:val="24"/>
        </w:rPr>
        <w:t>educației</w:t>
      </w:r>
      <w:r w:rsidRPr="00E36A94">
        <w:rPr>
          <w:rFonts w:ascii="Times New Roman" w:eastAsia="Times New Roman" w:hAnsi="Times New Roman" w:cs="Times New Roman"/>
          <w:sz w:val="24"/>
          <w:szCs w:val="24"/>
        </w:rPr>
        <w:t xml:space="preserve"> în domeniul TI;</w:t>
      </w:r>
    </w:p>
    <w:p w14:paraId="336A8D4C" w14:textId="77777777" w:rsidR="008D7147" w:rsidRPr="00E36A94" w:rsidRDefault="00475B63">
      <w:pPr>
        <w:spacing w:after="0"/>
        <w:ind w:firstLine="567"/>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3) numărul companiilor TI;</w:t>
      </w:r>
    </w:p>
    <w:p w14:paraId="19BB6990" w14:textId="77777777" w:rsidR="008D7147" w:rsidRPr="00E36A94" w:rsidRDefault="00475B63">
      <w:pPr>
        <w:spacing w:after="0"/>
        <w:ind w:firstLine="567"/>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4) numărul companiilor TI cu capital străin; </w:t>
      </w:r>
    </w:p>
    <w:p w14:paraId="45CD81B1" w14:textId="330E147F" w:rsidR="008D7147" w:rsidRPr="00E36A94" w:rsidRDefault="00475B63">
      <w:pPr>
        <w:spacing w:after="0"/>
        <w:ind w:firstLine="567"/>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5) numărul </w:t>
      </w:r>
      <w:r w:rsidR="00875B0C" w:rsidRPr="00E36A94">
        <w:rPr>
          <w:rFonts w:ascii="Times New Roman" w:eastAsia="Times New Roman" w:hAnsi="Times New Roman" w:cs="Times New Roman"/>
          <w:sz w:val="24"/>
          <w:szCs w:val="24"/>
        </w:rPr>
        <w:t>angajaților</w:t>
      </w:r>
      <w:r w:rsidRPr="00E36A94">
        <w:rPr>
          <w:rFonts w:ascii="Times New Roman" w:eastAsia="Times New Roman" w:hAnsi="Times New Roman" w:cs="Times New Roman"/>
          <w:sz w:val="24"/>
          <w:szCs w:val="24"/>
        </w:rPr>
        <w:t xml:space="preserve"> în industria TI; </w:t>
      </w:r>
    </w:p>
    <w:p w14:paraId="77F54EF8" w14:textId="17F33A03" w:rsidR="008D7147" w:rsidRPr="00E36A94" w:rsidRDefault="00475B63">
      <w:pPr>
        <w:spacing w:after="0"/>
        <w:ind w:firstLine="567"/>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6) suma </w:t>
      </w:r>
      <w:r w:rsidR="00875B0C" w:rsidRPr="00E36A94">
        <w:rPr>
          <w:rFonts w:ascii="Times New Roman" w:eastAsia="Times New Roman" w:hAnsi="Times New Roman" w:cs="Times New Roman"/>
          <w:sz w:val="24"/>
          <w:szCs w:val="24"/>
        </w:rPr>
        <w:t>investițiilor</w:t>
      </w:r>
      <w:r w:rsidRPr="00E36A94">
        <w:rPr>
          <w:rFonts w:ascii="Times New Roman" w:eastAsia="Times New Roman" w:hAnsi="Times New Roman" w:cs="Times New Roman"/>
          <w:sz w:val="24"/>
          <w:szCs w:val="24"/>
        </w:rPr>
        <w:t xml:space="preserve"> străine directe în industria TI; </w:t>
      </w:r>
    </w:p>
    <w:p w14:paraId="18E380F9" w14:textId="77777777" w:rsidR="008D7147" w:rsidRPr="00E36A94" w:rsidRDefault="00475B63">
      <w:pPr>
        <w:spacing w:after="0"/>
        <w:ind w:firstLine="567"/>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7) cifra de afaceri în industria TI;</w:t>
      </w:r>
    </w:p>
    <w:p w14:paraId="6AD7941D" w14:textId="77777777" w:rsidR="008D7147" w:rsidRPr="00E36A94" w:rsidRDefault="00475B63">
      <w:pPr>
        <w:spacing w:after="0"/>
        <w:ind w:firstLine="567"/>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8) volumul exportului produselor </w:t>
      </w:r>
      <w:proofErr w:type="spellStart"/>
      <w:r w:rsidRPr="00E36A94">
        <w:rPr>
          <w:rFonts w:ascii="Times New Roman" w:eastAsia="Times New Roman" w:hAnsi="Times New Roman" w:cs="Times New Roman"/>
          <w:sz w:val="24"/>
          <w:szCs w:val="24"/>
        </w:rPr>
        <w:t>şi</w:t>
      </w:r>
      <w:proofErr w:type="spellEnd"/>
      <w:r w:rsidRPr="00E36A94">
        <w:rPr>
          <w:rFonts w:ascii="Times New Roman" w:eastAsia="Times New Roman" w:hAnsi="Times New Roman" w:cs="Times New Roman"/>
          <w:sz w:val="24"/>
          <w:szCs w:val="24"/>
        </w:rPr>
        <w:t xml:space="preserve"> serviciilor TI; </w:t>
      </w:r>
    </w:p>
    <w:p w14:paraId="6B5A1D8F" w14:textId="1212A07D" w:rsidR="008D7147" w:rsidRPr="00E36A94" w:rsidRDefault="00475B63">
      <w:pPr>
        <w:spacing w:after="120"/>
        <w:ind w:firstLine="567"/>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9) cota industriei TI în </w:t>
      </w:r>
      <w:r w:rsidR="00B12E6C">
        <w:rPr>
          <w:rFonts w:ascii="Times New Roman" w:eastAsia="Times New Roman" w:hAnsi="Times New Roman" w:cs="Times New Roman"/>
          <w:sz w:val="24"/>
          <w:szCs w:val="24"/>
        </w:rPr>
        <w:t>PIB</w:t>
      </w:r>
      <w:r w:rsidRPr="00E36A94">
        <w:rPr>
          <w:rFonts w:ascii="Times New Roman" w:eastAsia="Times New Roman" w:hAnsi="Times New Roman" w:cs="Times New Roman"/>
          <w:sz w:val="24"/>
          <w:szCs w:val="24"/>
        </w:rPr>
        <w:t>.</w:t>
      </w:r>
    </w:p>
    <w:p w14:paraId="7B2CEF0E" w14:textId="62E24296" w:rsidR="008D7147" w:rsidRPr="00E36A94" w:rsidRDefault="000516AC">
      <w:pPr>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b/>
          <w:sz w:val="24"/>
          <w:szCs w:val="24"/>
        </w:rPr>
        <w:t xml:space="preserve">4.3. </w:t>
      </w:r>
      <w:r w:rsidR="00475B63" w:rsidRPr="00E36A94">
        <w:rPr>
          <w:rFonts w:ascii="Times New Roman" w:eastAsia="Times New Roman" w:hAnsi="Times New Roman" w:cs="Times New Roman"/>
          <w:b/>
          <w:sz w:val="24"/>
          <w:szCs w:val="24"/>
        </w:rPr>
        <w:t xml:space="preserve">Impactul economic </w:t>
      </w:r>
      <w:proofErr w:type="spellStart"/>
      <w:r w:rsidR="00475B63" w:rsidRPr="00E36A94">
        <w:rPr>
          <w:rFonts w:ascii="Times New Roman" w:eastAsia="Times New Roman" w:hAnsi="Times New Roman" w:cs="Times New Roman"/>
          <w:b/>
          <w:sz w:val="24"/>
          <w:szCs w:val="24"/>
        </w:rPr>
        <w:t>şi</w:t>
      </w:r>
      <w:proofErr w:type="spellEnd"/>
      <w:r w:rsidR="00475B63" w:rsidRPr="00E36A94">
        <w:rPr>
          <w:rFonts w:ascii="Times New Roman" w:eastAsia="Times New Roman" w:hAnsi="Times New Roman" w:cs="Times New Roman"/>
          <w:b/>
          <w:sz w:val="24"/>
          <w:szCs w:val="24"/>
        </w:rPr>
        <w:t xml:space="preserve"> social</w:t>
      </w:r>
      <w:r w:rsidR="00475B63" w:rsidRPr="00E36A94">
        <w:rPr>
          <w:rFonts w:ascii="Times New Roman" w:eastAsia="Times New Roman" w:hAnsi="Times New Roman" w:cs="Times New Roman"/>
          <w:sz w:val="24"/>
          <w:szCs w:val="24"/>
        </w:rPr>
        <w:t xml:space="preserve"> indirect în urma implementării Strategiei se va manifesta prin: </w:t>
      </w:r>
    </w:p>
    <w:p w14:paraId="05DBF2E3" w14:textId="24C6A9D3" w:rsidR="008D7147" w:rsidRPr="00E36A94" w:rsidRDefault="00475B63">
      <w:pPr>
        <w:numPr>
          <w:ilvl w:val="0"/>
          <w:numId w:val="11"/>
        </w:numPr>
        <w:spacing w:after="0"/>
        <w:contextualSpacing/>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sporirea </w:t>
      </w:r>
      <w:r w:rsidR="00875B0C" w:rsidRPr="00E36A94">
        <w:rPr>
          <w:rFonts w:ascii="Times New Roman" w:eastAsia="Times New Roman" w:hAnsi="Times New Roman" w:cs="Times New Roman"/>
          <w:sz w:val="24"/>
          <w:szCs w:val="24"/>
        </w:rPr>
        <w:t>competitivității</w:t>
      </w:r>
      <w:r w:rsidRPr="00E36A94">
        <w:rPr>
          <w:rFonts w:ascii="Times New Roman" w:eastAsia="Times New Roman" w:hAnsi="Times New Roman" w:cs="Times New Roman"/>
          <w:sz w:val="24"/>
          <w:szCs w:val="24"/>
        </w:rPr>
        <w:t xml:space="preserve"> </w:t>
      </w:r>
      <w:proofErr w:type="spellStart"/>
      <w:r w:rsidRPr="00E36A94">
        <w:rPr>
          <w:rFonts w:ascii="Times New Roman" w:eastAsia="Times New Roman" w:hAnsi="Times New Roman" w:cs="Times New Roman"/>
          <w:sz w:val="24"/>
          <w:szCs w:val="24"/>
        </w:rPr>
        <w:t>şi</w:t>
      </w:r>
      <w:proofErr w:type="spellEnd"/>
      <w:r w:rsidRPr="00E36A94">
        <w:rPr>
          <w:rFonts w:ascii="Times New Roman" w:eastAsia="Times New Roman" w:hAnsi="Times New Roman" w:cs="Times New Roman"/>
          <w:sz w:val="24"/>
          <w:szCs w:val="24"/>
        </w:rPr>
        <w:t xml:space="preserve"> a </w:t>
      </w:r>
      <w:r w:rsidR="00875B0C" w:rsidRPr="00E36A94">
        <w:rPr>
          <w:rFonts w:ascii="Times New Roman" w:eastAsia="Times New Roman" w:hAnsi="Times New Roman" w:cs="Times New Roman"/>
          <w:sz w:val="24"/>
          <w:szCs w:val="24"/>
        </w:rPr>
        <w:t>productivității</w:t>
      </w:r>
      <w:r w:rsidRPr="00E36A94">
        <w:rPr>
          <w:rFonts w:ascii="Times New Roman" w:eastAsia="Times New Roman" w:hAnsi="Times New Roman" w:cs="Times New Roman"/>
          <w:sz w:val="24"/>
          <w:szCs w:val="24"/>
        </w:rPr>
        <w:t xml:space="preserve"> economiei; </w:t>
      </w:r>
    </w:p>
    <w:p w14:paraId="6201993F" w14:textId="2AE1FD43" w:rsidR="008D7147" w:rsidRPr="00E36A94" w:rsidRDefault="00475B63">
      <w:pPr>
        <w:numPr>
          <w:ilvl w:val="0"/>
          <w:numId w:val="11"/>
        </w:numPr>
        <w:spacing w:after="0"/>
        <w:contextualSpacing/>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dezvoltarea capitalului uman prin promovarea </w:t>
      </w:r>
      <w:r w:rsidR="00875B0C" w:rsidRPr="00E36A94">
        <w:rPr>
          <w:rFonts w:ascii="Times New Roman" w:eastAsia="Times New Roman" w:hAnsi="Times New Roman" w:cs="Times New Roman"/>
          <w:sz w:val="24"/>
          <w:szCs w:val="24"/>
        </w:rPr>
        <w:t>competențelor</w:t>
      </w:r>
      <w:r w:rsidRPr="00E36A94">
        <w:rPr>
          <w:rFonts w:ascii="Times New Roman" w:eastAsia="Times New Roman" w:hAnsi="Times New Roman" w:cs="Times New Roman"/>
          <w:sz w:val="24"/>
          <w:szCs w:val="24"/>
        </w:rPr>
        <w:t xml:space="preserve"> </w:t>
      </w:r>
      <w:r w:rsidR="00875B0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culturii antreprenoriale;</w:t>
      </w:r>
    </w:p>
    <w:p w14:paraId="7260FB39" w14:textId="346EA6A4" w:rsidR="008D7147" w:rsidRPr="00E36A94" w:rsidRDefault="00475B63">
      <w:pPr>
        <w:spacing w:after="0"/>
        <w:ind w:firstLine="567"/>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2) </w:t>
      </w:r>
      <w:r w:rsidR="00875B0C" w:rsidRPr="00E36A94">
        <w:rPr>
          <w:rFonts w:ascii="Times New Roman" w:eastAsia="Times New Roman" w:hAnsi="Times New Roman" w:cs="Times New Roman"/>
          <w:sz w:val="24"/>
          <w:szCs w:val="24"/>
        </w:rPr>
        <w:t>creșterea</w:t>
      </w:r>
      <w:r w:rsidRPr="00E36A94">
        <w:rPr>
          <w:rFonts w:ascii="Times New Roman" w:eastAsia="Times New Roman" w:hAnsi="Times New Roman" w:cs="Times New Roman"/>
          <w:sz w:val="24"/>
          <w:szCs w:val="24"/>
        </w:rPr>
        <w:t xml:space="preserve"> nivelului de </w:t>
      </w:r>
      <w:r w:rsidR="00875B0C" w:rsidRPr="00E36A94">
        <w:rPr>
          <w:rFonts w:ascii="Times New Roman" w:eastAsia="Times New Roman" w:hAnsi="Times New Roman" w:cs="Times New Roman"/>
          <w:sz w:val="24"/>
          <w:szCs w:val="24"/>
        </w:rPr>
        <w:t>viață</w:t>
      </w:r>
      <w:r w:rsidRPr="00E36A94">
        <w:rPr>
          <w:rFonts w:ascii="Times New Roman" w:eastAsia="Times New Roman" w:hAnsi="Times New Roman" w:cs="Times New Roman"/>
          <w:sz w:val="24"/>
          <w:szCs w:val="24"/>
        </w:rPr>
        <w:t xml:space="preserve"> al </w:t>
      </w:r>
      <w:r w:rsidR="00875B0C" w:rsidRPr="00E36A94">
        <w:rPr>
          <w:rFonts w:ascii="Times New Roman" w:eastAsia="Times New Roman" w:hAnsi="Times New Roman" w:cs="Times New Roman"/>
          <w:sz w:val="24"/>
          <w:szCs w:val="24"/>
        </w:rPr>
        <w:t>populației</w:t>
      </w:r>
      <w:r w:rsidRPr="00E36A94">
        <w:rPr>
          <w:rFonts w:ascii="Times New Roman" w:eastAsia="Times New Roman" w:hAnsi="Times New Roman" w:cs="Times New Roman"/>
          <w:sz w:val="24"/>
          <w:szCs w:val="24"/>
        </w:rPr>
        <w:t xml:space="preserve">; </w:t>
      </w:r>
    </w:p>
    <w:p w14:paraId="0D92A4C8" w14:textId="1E67CB3E" w:rsidR="008D7147" w:rsidRPr="00E36A94" w:rsidRDefault="00475B63">
      <w:pPr>
        <w:spacing w:after="0"/>
        <w:ind w:firstLine="567"/>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3) </w:t>
      </w:r>
      <w:r w:rsidR="00875B0C" w:rsidRPr="00E36A94">
        <w:rPr>
          <w:rFonts w:ascii="Times New Roman" w:eastAsia="Times New Roman" w:hAnsi="Times New Roman" w:cs="Times New Roman"/>
          <w:sz w:val="24"/>
          <w:szCs w:val="24"/>
        </w:rPr>
        <w:t>creșterea</w:t>
      </w:r>
      <w:r w:rsidRPr="00E36A94">
        <w:rPr>
          <w:rFonts w:ascii="Times New Roman" w:eastAsia="Times New Roman" w:hAnsi="Times New Roman" w:cs="Times New Roman"/>
          <w:sz w:val="24"/>
          <w:szCs w:val="24"/>
        </w:rPr>
        <w:t xml:space="preserve"> volumului </w:t>
      </w:r>
      <w:r w:rsidR="00875B0C" w:rsidRPr="00E36A94">
        <w:rPr>
          <w:rFonts w:ascii="Times New Roman" w:eastAsia="Times New Roman" w:hAnsi="Times New Roman" w:cs="Times New Roman"/>
          <w:sz w:val="24"/>
          <w:szCs w:val="24"/>
        </w:rPr>
        <w:t>activităților</w:t>
      </w:r>
      <w:r w:rsidRPr="00E36A94">
        <w:rPr>
          <w:rFonts w:ascii="Times New Roman" w:eastAsia="Times New Roman" w:hAnsi="Times New Roman" w:cs="Times New Roman"/>
          <w:sz w:val="24"/>
          <w:szCs w:val="24"/>
        </w:rPr>
        <w:t xml:space="preserve"> de cercetare, dezvoltare </w:t>
      </w:r>
      <w:r w:rsidR="00875B0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w:t>
      </w:r>
      <w:r w:rsidR="00875B0C" w:rsidRPr="00E36A94">
        <w:rPr>
          <w:rFonts w:ascii="Times New Roman" w:eastAsia="Times New Roman" w:hAnsi="Times New Roman" w:cs="Times New Roman"/>
          <w:sz w:val="24"/>
          <w:szCs w:val="24"/>
        </w:rPr>
        <w:t>inovații</w:t>
      </w:r>
      <w:r w:rsidRPr="00E36A94">
        <w:rPr>
          <w:rFonts w:ascii="Times New Roman" w:eastAsia="Times New Roman" w:hAnsi="Times New Roman" w:cs="Times New Roman"/>
          <w:sz w:val="24"/>
          <w:szCs w:val="24"/>
        </w:rPr>
        <w:t xml:space="preserve">; </w:t>
      </w:r>
    </w:p>
    <w:p w14:paraId="4DC855DC" w14:textId="77777777" w:rsidR="008D7147" w:rsidRPr="00E36A94" w:rsidRDefault="00475B63">
      <w:pPr>
        <w:spacing w:after="0"/>
        <w:ind w:firstLine="567"/>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4) crearea locurilor de muncă în industria TI bine remunerate;</w:t>
      </w:r>
    </w:p>
    <w:p w14:paraId="1992C486" w14:textId="5755B3E0" w:rsidR="008D7147" w:rsidRPr="00E36A94" w:rsidRDefault="00475B63">
      <w:pPr>
        <w:spacing w:after="120"/>
        <w:ind w:firstLine="567"/>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5) sporirea </w:t>
      </w:r>
      <w:r w:rsidR="00875B0C" w:rsidRPr="00E36A94">
        <w:rPr>
          <w:rFonts w:ascii="Times New Roman" w:eastAsia="Times New Roman" w:hAnsi="Times New Roman" w:cs="Times New Roman"/>
          <w:sz w:val="24"/>
          <w:szCs w:val="24"/>
        </w:rPr>
        <w:t>calității</w:t>
      </w:r>
      <w:r w:rsidRPr="00E36A94">
        <w:rPr>
          <w:rFonts w:ascii="Times New Roman" w:eastAsia="Times New Roman" w:hAnsi="Times New Roman" w:cs="Times New Roman"/>
          <w:sz w:val="24"/>
          <w:szCs w:val="24"/>
        </w:rPr>
        <w:t xml:space="preserve"> </w:t>
      </w:r>
      <w:r w:rsidR="00875B0C" w:rsidRPr="00E36A94">
        <w:rPr>
          <w:rFonts w:ascii="Times New Roman" w:eastAsia="Times New Roman" w:hAnsi="Times New Roman" w:cs="Times New Roman"/>
          <w:sz w:val="24"/>
          <w:szCs w:val="24"/>
        </w:rPr>
        <w:t>educației</w:t>
      </w:r>
      <w:r w:rsidRPr="00E36A94">
        <w:rPr>
          <w:rFonts w:ascii="Times New Roman" w:eastAsia="Times New Roman" w:hAnsi="Times New Roman" w:cs="Times New Roman"/>
          <w:sz w:val="24"/>
          <w:szCs w:val="24"/>
        </w:rPr>
        <w:t xml:space="preserve"> </w:t>
      </w:r>
      <w:proofErr w:type="spellStart"/>
      <w:r w:rsidRPr="00E36A94">
        <w:rPr>
          <w:rFonts w:ascii="Times New Roman" w:eastAsia="Times New Roman" w:hAnsi="Times New Roman" w:cs="Times New Roman"/>
          <w:sz w:val="24"/>
          <w:szCs w:val="24"/>
        </w:rPr>
        <w:t>şi</w:t>
      </w:r>
      <w:proofErr w:type="spellEnd"/>
      <w:r w:rsidRPr="00E36A94">
        <w:rPr>
          <w:rFonts w:ascii="Times New Roman" w:eastAsia="Times New Roman" w:hAnsi="Times New Roman" w:cs="Times New Roman"/>
          <w:sz w:val="24"/>
          <w:szCs w:val="24"/>
        </w:rPr>
        <w:t xml:space="preserve"> cercetării în domeniul TI.</w:t>
      </w:r>
    </w:p>
    <w:p w14:paraId="2F785079" w14:textId="06FDC4DD" w:rsidR="001C74A2" w:rsidRPr="0006486E" w:rsidRDefault="00523192" w:rsidP="0006486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r w:rsidR="000516AC" w:rsidRPr="00E36A94">
        <w:rPr>
          <w:rFonts w:ascii="Times New Roman" w:eastAsia="Times New Roman" w:hAnsi="Times New Roman" w:cs="Times New Roman"/>
          <w:b/>
          <w:sz w:val="24"/>
          <w:szCs w:val="24"/>
        </w:rPr>
        <w:t xml:space="preserve">. </w:t>
      </w:r>
      <w:r w:rsidR="00475B63" w:rsidRPr="00E36A94">
        <w:rPr>
          <w:rFonts w:ascii="Times New Roman" w:eastAsia="Times New Roman" w:hAnsi="Times New Roman" w:cs="Times New Roman"/>
          <w:b/>
          <w:sz w:val="24"/>
          <w:szCs w:val="24"/>
        </w:rPr>
        <w:t>Costurile</w:t>
      </w:r>
    </w:p>
    <w:p w14:paraId="0F9312C0" w14:textId="067189DF" w:rsidR="0006486E" w:rsidRPr="001C74A2" w:rsidRDefault="001C74A2" w:rsidP="001C74A2">
      <w:pPr>
        <w:pStyle w:val="BodyText"/>
        <w:spacing w:line="276" w:lineRule="auto"/>
        <w:jc w:val="both"/>
        <w:rPr>
          <w:color w:val="000000"/>
          <w:lang w:val="ro-RO" w:eastAsia="en-US"/>
        </w:rPr>
      </w:pPr>
      <w:r w:rsidRPr="001C74A2">
        <w:rPr>
          <w:color w:val="000000"/>
          <w:lang w:val="ro-RO" w:eastAsia="en-US"/>
        </w:rPr>
        <w:t>Strategia presupune atragerea unui volum important de finanțare pentru întreaga perioadă de implementare (2018-2023). Costul estimativ pentru implementarea Strategiei constituie circa 340 mil</w:t>
      </w:r>
      <w:r>
        <w:rPr>
          <w:color w:val="000000"/>
          <w:lang w:val="ro-RO" w:eastAsia="en-US"/>
        </w:rPr>
        <w:t>.</w:t>
      </w:r>
      <w:r w:rsidRPr="001C74A2">
        <w:rPr>
          <w:color w:val="000000"/>
          <w:lang w:val="ro-RO" w:eastAsia="en-US"/>
        </w:rPr>
        <w:t xml:space="preserve"> lei sau circa 7 mil. dolari SUA, care vor fi alocate în mare parte de către parteneri de dezvoltare și includ costurile pentru implementarea acțiunilor, cele atrase din partea partenerilor de dezvoltare și mediul de afaceri, precum și cele în formă de parteneriate, programe și proiecte de investiții sau de asistență tehnică. </w:t>
      </w:r>
    </w:p>
    <w:p w14:paraId="68B9BCB4" w14:textId="6F3593E6" w:rsidR="00D307AD" w:rsidRPr="005000D2" w:rsidRDefault="00475B63" w:rsidP="00444BBB">
      <w:pPr>
        <w:pStyle w:val="ListParagraph"/>
        <w:numPr>
          <w:ilvl w:val="0"/>
          <w:numId w:val="29"/>
        </w:numPr>
        <w:spacing w:before="120" w:after="120" w:line="240" w:lineRule="auto"/>
        <w:jc w:val="center"/>
        <w:rPr>
          <w:rFonts w:ascii="Times New Roman" w:eastAsia="Times New Roman" w:hAnsi="Times New Roman" w:cs="Times New Roman"/>
          <w:b/>
          <w:sz w:val="24"/>
          <w:szCs w:val="24"/>
        </w:rPr>
      </w:pPr>
      <w:r w:rsidRPr="00E36A94">
        <w:rPr>
          <w:rFonts w:ascii="Times New Roman" w:eastAsia="Times New Roman" w:hAnsi="Times New Roman" w:cs="Times New Roman"/>
          <w:b/>
          <w:color w:val="auto"/>
          <w:sz w:val="24"/>
          <w:szCs w:val="24"/>
        </w:rPr>
        <w:t>IMPLEMENTAREA, MONITORIZAREA ŞI RAPORTAREA</w:t>
      </w:r>
    </w:p>
    <w:p w14:paraId="7577CE45" w14:textId="77777777" w:rsidR="005000D2" w:rsidRPr="005000D2" w:rsidRDefault="005000D2" w:rsidP="005000D2">
      <w:pPr>
        <w:pStyle w:val="ListParagraph"/>
        <w:spacing w:before="120" w:after="120" w:line="240" w:lineRule="auto"/>
        <w:ind w:left="1080"/>
        <w:rPr>
          <w:rFonts w:ascii="Times New Roman" w:eastAsia="Times New Roman" w:hAnsi="Times New Roman" w:cs="Times New Roman"/>
          <w:b/>
          <w:sz w:val="12"/>
          <w:szCs w:val="12"/>
        </w:rPr>
      </w:pPr>
    </w:p>
    <w:p w14:paraId="4FAB784E" w14:textId="5075FDAB" w:rsidR="008D7147" w:rsidRPr="00E36A94" w:rsidRDefault="00523192" w:rsidP="000516AC">
      <w:pPr>
        <w:pStyle w:val="ListParagraph"/>
        <w:numPr>
          <w:ilvl w:val="1"/>
          <w:numId w:val="27"/>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475B63" w:rsidRPr="00E36A94">
        <w:rPr>
          <w:rFonts w:ascii="Times New Roman" w:eastAsia="Times New Roman" w:hAnsi="Times New Roman" w:cs="Times New Roman"/>
          <w:b/>
          <w:sz w:val="24"/>
          <w:szCs w:val="24"/>
        </w:rPr>
        <w:t xml:space="preserve">Procedura de implementare </w:t>
      </w:r>
      <w:proofErr w:type="spellStart"/>
      <w:r w:rsidR="00475B63" w:rsidRPr="00E36A94">
        <w:rPr>
          <w:rFonts w:ascii="Times New Roman" w:eastAsia="Times New Roman" w:hAnsi="Times New Roman" w:cs="Times New Roman"/>
          <w:b/>
          <w:sz w:val="24"/>
          <w:szCs w:val="24"/>
        </w:rPr>
        <w:t>şi</w:t>
      </w:r>
      <w:proofErr w:type="spellEnd"/>
      <w:r w:rsidR="00475B63" w:rsidRPr="00E36A94">
        <w:rPr>
          <w:rFonts w:ascii="Times New Roman" w:eastAsia="Times New Roman" w:hAnsi="Times New Roman" w:cs="Times New Roman"/>
          <w:b/>
          <w:sz w:val="24"/>
          <w:szCs w:val="24"/>
        </w:rPr>
        <w:t xml:space="preserve"> monitorizare</w:t>
      </w:r>
    </w:p>
    <w:p w14:paraId="00331BA9" w14:textId="77777777" w:rsidR="008D7147" w:rsidRPr="00E36A94" w:rsidRDefault="00475B63">
      <w:pPr>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Cadrul de dezvoltare a ecosistemului pentru inovare digitală și susținere a </w:t>
      </w:r>
      <w:proofErr w:type="spellStart"/>
      <w:r w:rsidRPr="00E36A94">
        <w:rPr>
          <w:rFonts w:ascii="Times New Roman" w:eastAsia="Times New Roman" w:hAnsi="Times New Roman" w:cs="Times New Roman"/>
          <w:sz w:val="24"/>
          <w:szCs w:val="24"/>
        </w:rPr>
        <w:t>startup</w:t>
      </w:r>
      <w:proofErr w:type="spellEnd"/>
      <w:r w:rsidRPr="00E36A94">
        <w:rPr>
          <w:rFonts w:ascii="Times New Roman" w:eastAsia="Times New Roman" w:hAnsi="Times New Roman" w:cs="Times New Roman"/>
          <w:sz w:val="24"/>
          <w:szCs w:val="24"/>
        </w:rPr>
        <w:t xml:space="preserve">-urilor TI cuprinde două instrumente interdependente: </w:t>
      </w:r>
    </w:p>
    <w:p w14:paraId="43B8D545" w14:textId="4C4F3EC6" w:rsidR="008D7147" w:rsidRPr="00E36A94" w:rsidRDefault="008C0EA4" w:rsidP="008C0EA4">
      <w:pPr>
        <w:pStyle w:val="ListParagraph"/>
        <w:numPr>
          <w:ilvl w:val="0"/>
          <w:numId w:val="4"/>
        </w:numPr>
        <w:spacing w:after="0"/>
        <w:jc w:val="both"/>
        <w:rPr>
          <w:sz w:val="24"/>
          <w:szCs w:val="24"/>
        </w:rPr>
      </w:pPr>
      <w:r w:rsidRPr="008C0EA4">
        <w:rPr>
          <w:rFonts w:ascii="Times New Roman" w:eastAsia="Times New Roman" w:hAnsi="Times New Roman" w:cs="Times New Roman"/>
          <w:sz w:val="24"/>
          <w:szCs w:val="24"/>
        </w:rPr>
        <w:t>Strategia de dezvoltare a industriei tehnologiei informației și a ecosistemului pentru inovare digitală pe anii 2018-2023</w:t>
      </w:r>
      <w:r w:rsidR="00475B63" w:rsidRPr="00E36A94">
        <w:rPr>
          <w:rFonts w:ascii="Times New Roman" w:eastAsia="Times New Roman" w:hAnsi="Times New Roman" w:cs="Times New Roman"/>
          <w:sz w:val="24"/>
          <w:szCs w:val="24"/>
        </w:rPr>
        <w:t xml:space="preserve">, care </w:t>
      </w:r>
      <w:r w:rsidR="00875B0C" w:rsidRPr="00E36A94">
        <w:rPr>
          <w:rFonts w:ascii="Times New Roman" w:eastAsia="Times New Roman" w:hAnsi="Times New Roman" w:cs="Times New Roman"/>
          <w:sz w:val="24"/>
          <w:szCs w:val="24"/>
        </w:rPr>
        <w:t>stabilește</w:t>
      </w:r>
      <w:r w:rsidR="00475B63" w:rsidRPr="00E36A94">
        <w:rPr>
          <w:rFonts w:ascii="Times New Roman" w:eastAsia="Times New Roman" w:hAnsi="Times New Roman" w:cs="Times New Roman"/>
          <w:sz w:val="24"/>
          <w:szCs w:val="24"/>
        </w:rPr>
        <w:t xml:space="preserve"> viziunea, </w:t>
      </w:r>
      <w:r w:rsidR="00875B0C" w:rsidRPr="00E36A94">
        <w:rPr>
          <w:rFonts w:ascii="Times New Roman" w:eastAsia="Times New Roman" w:hAnsi="Times New Roman" w:cs="Times New Roman"/>
          <w:sz w:val="24"/>
          <w:szCs w:val="24"/>
        </w:rPr>
        <w:t>direcțiile</w:t>
      </w:r>
      <w:r w:rsidR="00475B63" w:rsidRPr="00E36A94">
        <w:rPr>
          <w:rFonts w:ascii="Times New Roman" w:eastAsia="Times New Roman" w:hAnsi="Times New Roman" w:cs="Times New Roman"/>
          <w:sz w:val="24"/>
          <w:szCs w:val="24"/>
        </w:rPr>
        <w:t xml:space="preserve"> strategice </w:t>
      </w:r>
      <w:proofErr w:type="spellStart"/>
      <w:r w:rsidR="00475B63" w:rsidRPr="00E36A94">
        <w:rPr>
          <w:rFonts w:ascii="Times New Roman" w:eastAsia="Times New Roman" w:hAnsi="Times New Roman" w:cs="Times New Roman"/>
          <w:sz w:val="24"/>
          <w:szCs w:val="24"/>
        </w:rPr>
        <w:t>şi</w:t>
      </w:r>
      <w:proofErr w:type="spellEnd"/>
      <w:r w:rsidR="00475B63" w:rsidRPr="00E36A94">
        <w:rPr>
          <w:rFonts w:ascii="Times New Roman" w:eastAsia="Times New Roman" w:hAnsi="Times New Roman" w:cs="Times New Roman"/>
          <w:sz w:val="24"/>
          <w:szCs w:val="24"/>
        </w:rPr>
        <w:t xml:space="preserve"> obiectivele </w:t>
      </w:r>
      <w:r w:rsidR="00875B0C" w:rsidRPr="00E36A94">
        <w:rPr>
          <w:rFonts w:ascii="Times New Roman" w:eastAsia="Times New Roman" w:hAnsi="Times New Roman" w:cs="Times New Roman"/>
          <w:sz w:val="24"/>
          <w:szCs w:val="24"/>
        </w:rPr>
        <w:t>operaționale</w:t>
      </w:r>
      <w:r w:rsidR="00475B63" w:rsidRPr="00E36A94">
        <w:rPr>
          <w:rFonts w:ascii="Times New Roman" w:eastAsia="Times New Roman" w:hAnsi="Times New Roman" w:cs="Times New Roman"/>
          <w:sz w:val="24"/>
          <w:szCs w:val="24"/>
        </w:rPr>
        <w:t xml:space="preserve">; </w:t>
      </w:r>
    </w:p>
    <w:p w14:paraId="24DA9EB9" w14:textId="2EE3CC14" w:rsidR="008D7147" w:rsidRPr="00E36A94" w:rsidRDefault="00475B63" w:rsidP="00D307AD">
      <w:pPr>
        <w:pStyle w:val="ListParagraph"/>
        <w:numPr>
          <w:ilvl w:val="0"/>
          <w:numId w:val="4"/>
        </w:numPr>
        <w:spacing w:after="0"/>
        <w:jc w:val="both"/>
        <w:rPr>
          <w:sz w:val="24"/>
          <w:szCs w:val="24"/>
        </w:rPr>
      </w:pPr>
      <w:r w:rsidRPr="00E36A94">
        <w:rPr>
          <w:rFonts w:ascii="Times New Roman" w:eastAsia="Times New Roman" w:hAnsi="Times New Roman" w:cs="Times New Roman"/>
          <w:sz w:val="24"/>
          <w:szCs w:val="24"/>
        </w:rPr>
        <w:t xml:space="preserve">Planul de </w:t>
      </w:r>
      <w:r w:rsidR="00875B0C" w:rsidRPr="00E36A94">
        <w:rPr>
          <w:rFonts w:ascii="Times New Roman" w:eastAsia="Times New Roman" w:hAnsi="Times New Roman" w:cs="Times New Roman"/>
          <w:sz w:val="24"/>
          <w:szCs w:val="24"/>
        </w:rPr>
        <w:t>acțiuni</w:t>
      </w:r>
      <w:r w:rsidRPr="00E36A94">
        <w:rPr>
          <w:rFonts w:ascii="Times New Roman" w:eastAsia="Times New Roman" w:hAnsi="Times New Roman" w:cs="Times New Roman"/>
          <w:sz w:val="24"/>
          <w:szCs w:val="24"/>
        </w:rPr>
        <w:t xml:space="preserve"> privind implementarea Strategiei, care </w:t>
      </w:r>
      <w:r w:rsidR="00875B0C" w:rsidRPr="00E36A94">
        <w:rPr>
          <w:rFonts w:ascii="Times New Roman" w:eastAsia="Times New Roman" w:hAnsi="Times New Roman" w:cs="Times New Roman"/>
          <w:sz w:val="24"/>
          <w:szCs w:val="24"/>
        </w:rPr>
        <w:t>stabilește</w:t>
      </w:r>
      <w:r w:rsidRPr="00E36A94">
        <w:rPr>
          <w:rFonts w:ascii="Times New Roman" w:eastAsia="Times New Roman" w:hAnsi="Times New Roman" w:cs="Times New Roman"/>
          <w:sz w:val="24"/>
          <w:szCs w:val="24"/>
        </w:rPr>
        <w:t xml:space="preserve"> </w:t>
      </w:r>
      <w:r w:rsidR="00875B0C" w:rsidRPr="00E36A94">
        <w:rPr>
          <w:rFonts w:ascii="Times New Roman" w:eastAsia="Times New Roman" w:hAnsi="Times New Roman" w:cs="Times New Roman"/>
          <w:sz w:val="24"/>
          <w:szCs w:val="24"/>
        </w:rPr>
        <w:t>activitățile</w:t>
      </w:r>
      <w:r w:rsidRPr="00E36A94">
        <w:rPr>
          <w:rFonts w:ascii="Times New Roman" w:eastAsia="Times New Roman" w:hAnsi="Times New Roman" w:cs="Times New Roman"/>
          <w:sz w:val="24"/>
          <w:szCs w:val="24"/>
        </w:rPr>
        <w:t xml:space="preserve">, </w:t>
      </w:r>
      <w:r w:rsidR="00875B0C" w:rsidRPr="00E36A94">
        <w:rPr>
          <w:rFonts w:ascii="Times New Roman" w:eastAsia="Times New Roman" w:hAnsi="Times New Roman" w:cs="Times New Roman"/>
          <w:sz w:val="24"/>
          <w:szCs w:val="24"/>
        </w:rPr>
        <w:t>responsabilitățile</w:t>
      </w:r>
      <w:r w:rsidRPr="00E36A94">
        <w:rPr>
          <w:rFonts w:ascii="Times New Roman" w:eastAsia="Times New Roman" w:hAnsi="Times New Roman" w:cs="Times New Roman"/>
          <w:sz w:val="24"/>
          <w:szCs w:val="24"/>
        </w:rPr>
        <w:t xml:space="preserve">, termenele </w:t>
      </w:r>
      <w:r w:rsidR="00875B0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resursele necesare pentru realizarea acesteia.</w:t>
      </w:r>
    </w:p>
    <w:p w14:paraId="32720681" w14:textId="5DFA2FD5" w:rsidR="008D7147" w:rsidRPr="00E36A94" w:rsidRDefault="00475B63">
      <w:pPr>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lastRenderedPageBreak/>
        <w:t xml:space="preserve">Fiecare minister, antrenat în dezvoltarea </w:t>
      </w:r>
      <w:r w:rsidR="00875B0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implementarea prezentei Strategii, va aloca din bugetele proprii mijloace necesare pentru </w:t>
      </w:r>
      <w:r w:rsidR="00875B0C" w:rsidRPr="00E36A94">
        <w:rPr>
          <w:rFonts w:ascii="Times New Roman" w:eastAsia="Times New Roman" w:hAnsi="Times New Roman" w:cs="Times New Roman"/>
          <w:sz w:val="24"/>
          <w:szCs w:val="24"/>
        </w:rPr>
        <w:t>finanțarea</w:t>
      </w:r>
      <w:r w:rsidRPr="00E36A94">
        <w:rPr>
          <w:rFonts w:ascii="Times New Roman" w:eastAsia="Times New Roman" w:hAnsi="Times New Roman" w:cs="Times New Roman"/>
          <w:sz w:val="24"/>
          <w:szCs w:val="24"/>
        </w:rPr>
        <w:t xml:space="preserve"> tuturor măsurilor </w:t>
      </w:r>
      <w:proofErr w:type="spellStart"/>
      <w:r w:rsidRPr="00E36A94">
        <w:rPr>
          <w:rFonts w:ascii="Times New Roman" w:eastAsia="Times New Roman" w:hAnsi="Times New Roman" w:cs="Times New Roman"/>
          <w:sz w:val="24"/>
          <w:szCs w:val="24"/>
        </w:rPr>
        <w:t>şi</w:t>
      </w:r>
      <w:proofErr w:type="spellEnd"/>
      <w:r w:rsidRPr="00E36A94">
        <w:rPr>
          <w:rFonts w:ascii="Times New Roman" w:eastAsia="Times New Roman" w:hAnsi="Times New Roman" w:cs="Times New Roman"/>
          <w:sz w:val="24"/>
          <w:szCs w:val="24"/>
        </w:rPr>
        <w:t xml:space="preserve"> </w:t>
      </w:r>
      <w:r w:rsidR="00875B0C" w:rsidRPr="00E36A94">
        <w:rPr>
          <w:rFonts w:ascii="Times New Roman" w:eastAsia="Times New Roman" w:hAnsi="Times New Roman" w:cs="Times New Roman"/>
          <w:sz w:val="24"/>
          <w:szCs w:val="24"/>
        </w:rPr>
        <w:t>intervențiilor</w:t>
      </w:r>
      <w:r w:rsidRPr="00E36A94">
        <w:rPr>
          <w:rFonts w:ascii="Times New Roman" w:eastAsia="Times New Roman" w:hAnsi="Times New Roman" w:cs="Times New Roman"/>
          <w:sz w:val="24"/>
          <w:szCs w:val="24"/>
        </w:rPr>
        <w:t xml:space="preserve"> particulare planificate spre realizare, conform planului de </w:t>
      </w:r>
      <w:r w:rsidR="00875B0C" w:rsidRPr="00E36A94">
        <w:rPr>
          <w:rFonts w:ascii="Times New Roman" w:eastAsia="Times New Roman" w:hAnsi="Times New Roman" w:cs="Times New Roman"/>
          <w:sz w:val="24"/>
          <w:szCs w:val="24"/>
        </w:rPr>
        <w:t>acțiuni</w:t>
      </w:r>
      <w:r w:rsidRPr="00E36A94">
        <w:rPr>
          <w:rFonts w:ascii="Times New Roman" w:eastAsia="Times New Roman" w:hAnsi="Times New Roman" w:cs="Times New Roman"/>
          <w:sz w:val="24"/>
          <w:szCs w:val="24"/>
        </w:rPr>
        <w:t xml:space="preserve">. </w:t>
      </w:r>
    </w:p>
    <w:p w14:paraId="5B7052CF" w14:textId="267FAC48" w:rsidR="008D7147" w:rsidRPr="00E36A94" w:rsidRDefault="00475B63">
      <w:pPr>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Unele estimări sunt incluse prin determinarea exactă a costurilor de implementare, fiind posibilă estimarea concretă a necesarului de mijloace financiare la etapa înaintării propunerilor. În alte cazuri, costurile financiare reprezintă estimări aproximative, care au fost elaborate în faza de prevedere a </w:t>
      </w:r>
      <w:r w:rsidR="00875B0C" w:rsidRPr="00E36A94">
        <w:rPr>
          <w:rFonts w:ascii="Times New Roman" w:eastAsia="Times New Roman" w:hAnsi="Times New Roman" w:cs="Times New Roman"/>
          <w:sz w:val="24"/>
          <w:szCs w:val="24"/>
        </w:rPr>
        <w:t>acțiunilor</w:t>
      </w:r>
      <w:r w:rsidRPr="00E36A94">
        <w:rPr>
          <w:rFonts w:ascii="Times New Roman" w:eastAsia="Times New Roman" w:hAnsi="Times New Roman" w:cs="Times New Roman"/>
          <w:sz w:val="24"/>
          <w:szCs w:val="24"/>
        </w:rPr>
        <w:t xml:space="preserve">, când aprecierea volumului </w:t>
      </w:r>
      <w:r w:rsidR="00875B0C" w:rsidRPr="00E36A94">
        <w:rPr>
          <w:rFonts w:ascii="Times New Roman" w:eastAsia="Times New Roman" w:hAnsi="Times New Roman" w:cs="Times New Roman"/>
          <w:sz w:val="24"/>
          <w:szCs w:val="24"/>
        </w:rPr>
        <w:t>finanțării</w:t>
      </w:r>
      <w:r w:rsidRPr="00E36A94">
        <w:rPr>
          <w:rFonts w:ascii="Times New Roman" w:eastAsia="Times New Roman" w:hAnsi="Times New Roman" w:cs="Times New Roman"/>
          <w:sz w:val="24"/>
          <w:szCs w:val="24"/>
        </w:rPr>
        <w:t xml:space="preserve"> nu era posibilă din motive justificate. </w:t>
      </w:r>
    </w:p>
    <w:p w14:paraId="7F25C821" w14:textId="44DC2F51"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În </w:t>
      </w:r>
      <w:r w:rsidR="00875B0C" w:rsidRPr="00E36A94">
        <w:rPr>
          <w:rFonts w:ascii="Times New Roman" w:eastAsia="Times New Roman" w:hAnsi="Times New Roman" w:cs="Times New Roman"/>
          <w:sz w:val="24"/>
          <w:szCs w:val="24"/>
        </w:rPr>
        <w:t>situație</w:t>
      </w:r>
      <w:r w:rsidRPr="00E36A94">
        <w:rPr>
          <w:rFonts w:ascii="Times New Roman" w:eastAsia="Times New Roman" w:hAnsi="Times New Roman" w:cs="Times New Roman"/>
          <w:sz w:val="24"/>
          <w:szCs w:val="24"/>
        </w:rPr>
        <w:t xml:space="preserve"> de caz, fiind imperativă realizarea unor măsuri ce nu au acoperire financiară, urmează a fi </w:t>
      </w:r>
      <w:r w:rsidR="00875B0C" w:rsidRPr="00E36A94">
        <w:rPr>
          <w:rFonts w:ascii="Times New Roman" w:eastAsia="Times New Roman" w:hAnsi="Times New Roman" w:cs="Times New Roman"/>
          <w:sz w:val="24"/>
          <w:szCs w:val="24"/>
        </w:rPr>
        <w:t>inițiată</w:t>
      </w:r>
      <w:r w:rsidRPr="00E36A94">
        <w:rPr>
          <w:rFonts w:ascii="Times New Roman" w:eastAsia="Times New Roman" w:hAnsi="Times New Roman" w:cs="Times New Roman"/>
          <w:sz w:val="24"/>
          <w:szCs w:val="24"/>
        </w:rPr>
        <w:t xml:space="preserve"> identificarea surselor de </w:t>
      </w:r>
      <w:r w:rsidR="00875B0C" w:rsidRPr="00E36A94">
        <w:rPr>
          <w:rFonts w:ascii="Times New Roman" w:eastAsia="Times New Roman" w:hAnsi="Times New Roman" w:cs="Times New Roman"/>
          <w:sz w:val="24"/>
          <w:szCs w:val="24"/>
        </w:rPr>
        <w:t>finanțare</w:t>
      </w:r>
      <w:r w:rsidRPr="00E36A94">
        <w:rPr>
          <w:rFonts w:ascii="Times New Roman" w:eastAsia="Times New Roman" w:hAnsi="Times New Roman" w:cs="Times New Roman"/>
          <w:sz w:val="24"/>
          <w:szCs w:val="24"/>
        </w:rPr>
        <w:t xml:space="preserve"> suplimentară, inclusiv prin apelarea la suportul partenerilor externi </w:t>
      </w:r>
      <w:r w:rsidR="00875B0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partenerii de dezvoltare. </w:t>
      </w:r>
    </w:p>
    <w:p w14:paraId="677BA0A2" w14:textId="5B215D4B"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Ministerul Economiei </w:t>
      </w:r>
      <w:proofErr w:type="spellStart"/>
      <w:r w:rsidRPr="00E36A94">
        <w:rPr>
          <w:rFonts w:ascii="Times New Roman" w:eastAsia="Times New Roman" w:hAnsi="Times New Roman" w:cs="Times New Roman"/>
          <w:sz w:val="24"/>
          <w:szCs w:val="24"/>
        </w:rPr>
        <w:t>şi</w:t>
      </w:r>
      <w:proofErr w:type="spellEnd"/>
      <w:r w:rsidRPr="00E36A94">
        <w:rPr>
          <w:rFonts w:ascii="Times New Roman" w:eastAsia="Times New Roman" w:hAnsi="Times New Roman" w:cs="Times New Roman"/>
          <w:sz w:val="24"/>
          <w:szCs w:val="24"/>
        </w:rPr>
        <w:t xml:space="preserve"> Infrastructurii va coordona punerea în aplicare a politicii de stat aprobate prin prezenta Strategie, va asigura disponibilitatea mecanismelor corespunzătoare de management centralizat pentru a spori </w:t>
      </w:r>
      <w:r w:rsidR="00875B0C" w:rsidRPr="00E36A94">
        <w:rPr>
          <w:rFonts w:ascii="Times New Roman" w:eastAsia="Times New Roman" w:hAnsi="Times New Roman" w:cs="Times New Roman"/>
          <w:sz w:val="24"/>
          <w:szCs w:val="24"/>
        </w:rPr>
        <w:t>eficiența</w:t>
      </w:r>
      <w:r w:rsidRPr="00E36A94">
        <w:rPr>
          <w:rFonts w:ascii="Times New Roman" w:eastAsia="Times New Roman" w:hAnsi="Times New Roman" w:cs="Times New Roman"/>
          <w:sz w:val="24"/>
          <w:szCs w:val="24"/>
        </w:rPr>
        <w:t xml:space="preserve"> politicii implementate.</w:t>
      </w:r>
    </w:p>
    <w:p w14:paraId="0CCE506E" w14:textId="129EBFC0"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Ministerele </w:t>
      </w:r>
      <w:proofErr w:type="spellStart"/>
      <w:r w:rsidRPr="00E36A94">
        <w:rPr>
          <w:rFonts w:ascii="Times New Roman" w:eastAsia="Times New Roman" w:hAnsi="Times New Roman" w:cs="Times New Roman"/>
          <w:sz w:val="24"/>
          <w:szCs w:val="24"/>
        </w:rPr>
        <w:t>şi</w:t>
      </w:r>
      <w:proofErr w:type="spellEnd"/>
      <w:r w:rsidRPr="00E36A94">
        <w:rPr>
          <w:rFonts w:ascii="Times New Roman" w:eastAsia="Times New Roman" w:hAnsi="Times New Roman" w:cs="Times New Roman"/>
          <w:sz w:val="24"/>
          <w:szCs w:val="24"/>
        </w:rPr>
        <w:t xml:space="preserve"> alte </w:t>
      </w:r>
      <w:r w:rsidR="00875B0C" w:rsidRPr="00E36A94">
        <w:rPr>
          <w:rFonts w:ascii="Times New Roman" w:eastAsia="Times New Roman" w:hAnsi="Times New Roman" w:cs="Times New Roman"/>
          <w:sz w:val="24"/>
          <w:szCs w:val="24"/>
        </w:rPr>
        <w:t>autorități</w:t>
      </w:r>
      <w:r w:rsidRPr="00E36A94">
        <w:rPr>
          <w:rFonts w:ascii="Times New Roman" w:eastAsia="Times New Roman" w:hAnsi="Times New Roman" w:cs="Times New Roman"/>
          <w:sz w:val="24"/>
          <w:szCs w:val="24"/>
        </w:rPr>
        <w:t xml:space="preserve"> administrative centrale, având în vedere natura orizontală a Strategiei, privind </w:t>
      </w:r>
      <w:r w:rsidR="00875B0C" w:rsidRPr="00E36A94">
        <w:rPr>
          <w:rFonts w:ascii="Times New Roman" w:eastAsia="Times New Roman" w:hAnsi="Times New Roman" w:cs="Times New Roman"/>
          <w:sz w:val="24"/>
          <w:szCs w:val="24"/>
        </w:rPr>
        <w:t>subiecții</w:t>
      </w:r>
      <w:r w:rsidRPr="00E36A94">
        <w:rPr>
          <w:rFonts w:ascii="Times New Roman" w:eastAsia="Times New Roman" w:hAnsi="Times New Roman" w:cs="Times New Roman"/>
          <w:sz w:val="24"/>
          <w:szCs w:val="24"/>
        </w:rPr>
        <w:t xml:space="preserve"> responsabili de implementare, o serie de alte organe centrale de specialitate ale </w:t>
      </w:r>
      <w:r w:rsidR="00875B0C" w:rsidRPr="00E36A94">
        <w:rPr>
          <w:rFonts w:ascii="Times New Roman" w:eastAsia="Times New Roman" w:hAnsi="Times New Roman" w:cs="Times New Roman"/>
          <w:sz w:val="24"/>
          <w:szCs w:val="24"/>
        </w:rPr>
        <w:t>administrației</w:t>
      </w:r>
      <w:r w:rsidRPr="00E36A94">
        <w:rPr>
          <w:rFonts w:ascii="Times New Roman" w:eastAsia="Times New Roman" w:hAnsi="Times New Roman" w:cs="Times New Roman"/>
          <w:sz w:val="24"/>
          <w:szCs w:val="24"/>
        </w:rPr>
        <w:t xml:space="preserve"> publice au responsabilitatea implementării diferitor aspecte ale Strategiei. </w:t>
      </w:r>
      <w:r w:rsidR="00875B0C" w:rsidRPr="00E36A94">
        <w:rPr>
          <w:rFonts w:ascii="Times New Roman" w:eastAsia="Times New Roman" w:hAnsi="Times New Roman" w:cs="Times New Roman"/>
          <w:sz w:val="24"/>
          <w:szCs w:val="24"/>
        </w:rPr>
        <w:t>Competențele</w:t>
      </w:r>
      <w:r w:rsidRPr="00E36A94">
        <w:rPr>
          <w:rFonts w:ascii="Times New Roman" w:eastAsia="Times New Roman" w:hAnsi="Times New Roman" w:cs="Times New Roman"/>
          <w:sz w:val="24"/>
          <w:szCs w:val="24"/>
        </w:rPr>
        <w:t xml:space="preserve"> </w:t>
      </w:r>
      <w:r w:rsidR="00875B0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w:t>
      </w:r>
      <w:r w:rsidR="00875B0C" w:rsidRPr="00E36A94">
        <w:rPr>
          <w:rFonts w:ascii="Times New Roman" w:eastAsia="Times New Roman" w:hAnsi="Times New Roman" w:cs="Times New Roman"/>
          <w:sz w:val="24"/>
          <w:szCs w:val="24"/>
        </w:rPr>
        <w:t>responsabilitățile</w:t>
      </w:r>
      <w:r w:rsidRPr="00E36A94">
        <w:rPr>
          <w:rFonts w:ascii="Times New Roman" w:eastAsia="Times New Roman" w:hAnsi="Times New Roman" w:cs="Times New Roman"/>
          <w:sz w:val="24"/>
          <w:szCs w:val="24"/>
        </w:rPr>
        <w:t xml:space="preserve"> sunt stabilite atât de Strategie, cât </w:t>
      </w:r>
      <w:r w:rsidR="00875B0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de Planul de </w:t>
      </w:r>
      <w:r w:rsidR="00875B0C" w:rsidRPr="00E36A94">
        <w:rPr>
          <w:rFonts w:ascii="Times New Roman" w:eastAsia="Times New Roman" w:hAnsi="Times New Roman" w:cs="Times New Roman"/>
          <w:sz w:val="24"/>
          <w:szCs w:val="24"/>
        </w:rPr>
        <w:t>acțiuni</w:t>
      </w:r>
      <w:r w:rsidRPr="00E36A94">
        <w:rPr>
          <w:rFonts w:ascii="Times New Roman" w:eastAsia="Times New Roman" w:hAnsi="Times New Roman" w:cs="Times New Roman"/>
          <w:sz w:val="24"/>
          <w:szCs w:val="24"/>
        </w:rPr>
        <w:t xml:space="preserve"> privind realizarea Strategiei.</w:t>
      </w:r>
    </w:p>
    <w:p w14:paraId="61F03CD0" w14:textId="100DDCE3"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Implementarea prezentei Strategii în </w:t>
      </w:r>
      <w:r w:rsidR="00875B0C" w:rsidRPr="00E36A94">
        <w:rPr>
          <w:rFonts w:ascii="Times New Roman" w:eastAsia="Times New Roman" w:hAnsi="Times New Roman" w:cs="Times New Roman"/>
          <w:sz w:val="24"/>
          <w:szCs w:val="24"/>
        </w:rPr>
        <w:t>concordanță</w:t>
      </w:r>
      <w:r w:rsidRPr="00E36A94">
        <w:rPr>
          <w:rFonts w:ascii="Times New Roman" w:eastAsia="Times New Roman" w:hAnsi="Times New Roman" w:cs="Times New Roman"/>
          <w:sz w:val="24"/>
          <w:szCs w:val="24"/>
        </w:rPr>
        <w:t xml:space="preserve"> cu Planul de </w:t>
      </w:r>
      <w:r w:rsidR="00875B0C" w:rsidRPr="00E36A94">
        <w:rPr>
          <w:rFonts w:ascii="Times New Roman" w:eastAsia="Times New Roman" w:hAnsi="Times New Roman" w:cs="Times New Roman"/>
          <w:sz w:val="24"/>
          <w:szCs w:val="24"/>
        </w:rPr>
        <w:t>acțiuni</w:t>
      </w:r>
      <w:r w:rsidRPr="00E36A94">
        <w:rPr>
          <w:rFonts w:ascii="Times New Roman" w:eastAsia="Times New Roman" w:hAnsi="Times New Roman" w:cs="Times New Roman"/>
          <w:sz w:val="24"/>
          <w:szCs w:val="24"/>
        </w:rPr>
        <w:t xml:space="preserve"> presupune implicarea Centrului de Guvernare Electronică, a </w:t>
      </w:r>
      <w:r w:rsidR="00875B0C" w:rsidRPr="00E36A94">
        <w:rPr>
          <w:rFonts w:ascii="Times New Roman" w:eastAsia="Times New Roman" w:hAnsi="Times New Roman" w:cs="Times New Roman"/>
          <w:sz w:val="24"/>
          <w:szCs w:val="24"/>
        </w:rPr>
        <w:t>autorității</w:t>
      </w:r>
      <w:r w:rsidRPr="00E36A94">
        <w:rPr>
          <w:rFonts w:ascii="Times New Roman" w:eastAsia="Times New Roman" w:hAnsi="Times New Roman" w:cs="Times New Roman"/>
          <w:sz w:val="24"/>
          <w:szCs w:val="24"/>
        </w:rPr>
        <w:t xml:space="preserve"> de reglementare, conform </w:t>
      </w:r>
      <w:r w:rsidR="00875B0C" w:rsidRPr="00E36A94">
        <w:rPr>
          <w:rFonts w:ascii="Times New Roman" w:eastAsia="Times New Roman" w:hAnsi="Times New Roman" w:cs="Times New Roman"/>
          <w:sz w:val="24"/>
          <w:szCs w:val="24"/>
        </w:rPr>
        <w:t>competenței</w:t>
      </w:r>
      <w:r w:rsidRPr="00E36A94">
        <w:rPr>
          <w:rFonts w:ascii="Times New Roman" w:eastAsia="Times New Roman" w:hAnsi="Times New Roman" w:cs="Times New Roman"/>
          <w:sz w:val="24"/>
          <w:szCs w:val="24"/>
        </w:rPr>
        <w:t xml:space="preserve"> acestora, precum </w:t>
      </w:r>
      <w:proofErr w:type="spellStart"/>
      <w:r w:rsidRPr="00E36A94">
        <w:rPr>
          <w:rFonts w:ascii="Times New Roman" w:eastAsia="Times New Roman" w:hAnsi="Times New Roman" w:cs="Times New Roman"/>
          <w:sz w:val="24"/>
          <w:szCs w:val="24"/>
        </w:rPr>
        <w:t>şi</w:t>
      </w:r>
      <w:proofErr w:type="spellEnd"/>
      <w:r w:rsidRPr="00E36A94">
        <w:rPr>
          <w:rFonts w:ascii="Times New Roman" w:eastAsia="Times New Roman" w:hAnsi="Times New Roman" w:cs="Times New Roman"/>
          <w:sz w:val="24"/>
          <w:szCs w:val="24"/>
        </w:rPr>
        <w:t xml:space="preserve"> a </w:t>
      </w:r>
      <w:r w:rsidR="00875B0C" w:rsidRPr="00E36A94">
        <w:rPr>
          <w:rFonts w:ascii="Times New Roman" w:eastAsia="Times New Roman" w:hAnsi="Times New Roman" w:cs="Times New Roman"/>
          <w:sz w:val="24"/>
          <w:szCs w:val="24"/>
        </w:rPr>
        <w:t>agenților</w:t>
      </w:r>
      <w:r w:rsidRPr="00E36A94">
        <w:rPr>
          <w:rFonts w:ascii="Times New Roman" w:eastAsia="Times New Roman" w:hAnsi="Times New Roman" w:cs="Times New Roman"/>
          <w:sz w:val="24"/>
          <w:szCs w:val="24"/>
        </w:rPr>
        <w:t xml:space="preserve"> economici, mediului academic </w:t>
      </w:r>
      <w:r w:rsidR="00875B0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universitar, a </w:t>
      </w:r>
      <w:r w:rsidR="00875B0C" w:rsidRPr="00E36A94">
        <w:rPr>
          <w:rFonts w:ascii="Times New Roman" w:eastAsia="Times New Roman" w:hAnsi="Times New Roman" w:cs="Times New Roman"/>
          <w:sz w:val="24"/>
          <w:szCs w:val="24"/>
        </w:rPr>
        <w:t>organizațiilor</w:t>
      </w:r>
      <w:r w:rsidRPr="00E36A94">
        <w:rPr>
          <w:rFonts w:ascii="Times New Roman" w:eastAsia="Times New Roman" w:hAnsi="Times New Roman" w:cs="Times New Roman"/>
          <w:sz w:val="24"/>
          <w:szCs w:val="24"/>
        </w:rPr>
        <w:t xml:space="preserve"> neguvernamentale, mass-media </w:t>
      </w:r>
      <w:r w:rsidR="00875B0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a </w:t>
      </w:r>
      <w:r w:rsidR="00875B0C" w:rsidRPr="00E36A94">
        <w:rPr>
          <w:rFonts w:ascii="Times New Roman" w:eastAsia="Times New Roman" w:hAnsi="Times New Roman" w:cs="Times New Roman"/>
          <w:sz w:val="24"/>
          <w:szCs w:val="24"/>
        </w:rPr>
        <w:t>cetățenilor</w:t>
      </w:r>
      <w:r w:rsidRPr="00E36A94">
        <w:rPr>
          <w:rFonts w:ascii="Times New Roman" w:eastAsia="Times New Roman" w:hAnsi="Times New Roman" w:cs="Times New Roman"/>
          <w:sz w:val="24"/>
          <w:szCs w:val="24"/>
        </w:rPr>
        <w:t>.</w:t>
      </w:r>
    </w:p>
    <w:p w14:paraId="330FB56F" w14:textId="7CB022B6" w:rsidR="005000D2" w:rsidRPr="00E36A94" w:rsidRDefault="00875B0C">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Activitățile</w:t>
      </w:r>
      <w:r w:rsidR="00475B63" w:rsidRPr="00E36A94">
        <w:rPr>
          <w:rFonts w:ascii="Times New Roman" w:eastAsia="Times New Roman" w:hAnsi="Times New Roman" w:cs="Times New Roman"/>
          <w:sz w:val="24"/>
          <w:szCs w:val="24"/>
        </w:rPr>
        <w:t xml:space="preserve"> de coordonare </w:t>
      </w:r>
      <w:r w:rsidRPr="00E36A94">
        <w:rPr>
          <w:rFonts w:ascii="Times New Roman" w:eastAsia="Times New Roman" w:hAnsi="Times New Roman" w:cs="Times New Roman"/>
          <w:sz w:val="24"/>
          <w:szCs w:val="24"/>
        </w:rPr>
        <w:t>și</w:t>
      </w:r>
      <w:r w:rsidR="00475B63" w:rsidRPr="00E36A94">
        <w:rPr>
          <w:rFonts w:ascii="Times New Roman" w:eastAsia="Times New Roman" w:hAnsi="Times New Roman" w:cs="Times New Roman"/>
          <w:sz w:val="24"/>
          <w:szCs w:val="24"/>
        </w:rPr>
        <w:t xml:space="preserve"> monitorizare vor fi </w:t>
      </w:r>
      <w:r w:rsidRPr="00E36A94">
        <w:rPr>
          <w:rFonts w:ascii="Times New Roman" w:eastAsia="Times New Roman" w:hAnsi="Times New Roman" w:cs="Times New Roman"/>
          <w:sz w:val="24"/>
          <w:szCs w:val="24"/>
        </w:rPr>
        <w:t>desfășurate</w:t>
      </w:r>
      <w:r w:rsidR="00475B63" w:rsidRPr="00E36A94">
        <w:rPr>
          <w:rFonts w:ascii="Times New Roman" w:eastAsia="Times New Roman" w:hAnsi="Times New Roman" w:cs="Times New Roman"/>
          <w:sz w:val="24"/>
          <w:szCs w:val="24"/>
        </w:rPr>
        <w:t xml:space="preserve"> pe toată perioada de implementare </w:t>
      </w:r>
      <w:r w:rsidRPr="00E36A94">
        <w:rPr>
          <w:rFonts w:ascii="Times New Roman" w:eastAsia="Times New Roman" w:hAnsi="Times New Roman" w:cs="Times New Roman"/>
          <w:sz w:val="24"/>
          <w:szCs w:val="24"/>
        </w:rPr>
        <w:t>și</w:t>
      </w:r>
      <w:r w:rsidR="00475B63" w:rsidRPr="00E36A94">
        <w:rPr>
          <w:rFonts w:ascii="Times New Roman" w:eastAsia="Times New Roman" w:hAnsi="Times New Roman" w:cs="Times New Roman"/>
          <w:sz w:val="24"/>
          <w:szCs w:val="24"/>
        </w:rPr>
        <w:t xml:space="preserve"> vor include atât colectarea, prelucrarea </w:t>
      </w:r>
      <w:r w:rsidRPr="00E36A94">
        <w:rPr>
          <w:rFonts w:ascii="Times New Roman" w:eastAsia="Times New Roman" w:hAnsi="Times New Roman" w:cs="Times New Roman"/>
          <w:sz w:val="24"/>
          <w:szCs w:val="24"/>
        </w:rPr>
        <w:t>și</w:t>
      </w:r>
      <w:r w:rsidR="00475B63" w:rsidRPr="00E36A94">
        <w:rPr>
          <w:rFonts w:ascii="Times New Roman" w:eastAsia="Times New Roman" w:hAnsi="Times New Roman" w:cs="Times New Roman"/>
          <w:sz w:val="24"/>
          <w:szCs w:val="24"/>
        </w:rPr>
        <w:t xml:space="preserve"> analiza datelor de monitorizare, identificarea erorilor sau a efectelor neprevăzute, cât </w:t>
      </w:r>
      <w:r w:rsidRPr="00E36A94">
        <w:rPr>
          <w:rFonts w:ascii="Times New Roman" w:eastAsia="Times New Roman" w:hAnsi="Times New Roman" w:cs="Times New Roman"/>
          <w:sz w:val="24"/>
          <w:szCs w:val="24"/>
        </w:rPr>
        <w:t>și</w:t>
      </w:r>
      <w:r w:rsidR="00475B63" w:rsidRPr="00E36A94">
        <w:rPr>
          <w:rFonts w:ascii="Times New Roman" w:eastAsia="Times New Roman" w:hAnsi="Times New Roman" w:cs="Times New Roman"/>
          <w:sz w:val="24"/>
          <w:szCs w:val="24"/>
        </w:rPr>
        <w:t xml:space="preserve"> eventuale rectificări de </w:t>
      </w:r>
      <w:r w:rsidRPr="00E36A94">
        <w:rPr>
          <w:rFonts w:ascii="Times New Roman" w:eastAsia="Times New Roman" w:hAnsi="Times New Roman" w:cs="Times New Roman"/>
          <w:sz w:val="24"/>
          <w:szCs w:val="24"/>
        </w:rPr>
        <w:t>conținut</w:t>
      </w:r>
      <w:r w:rsidR="00475B63" w:rsidRPr="00E36A94">
        <w:rPr>
          <w:rFonts w:ascii="Times New Roman" w:eastAsia="Times New Roman" w:hAnsi="Times New Roman" w:cs="Times New Roman"/>
          <w:sz w:val="24"/>
          <w:szCs w:val="24"/>
        </w:rPr>
        <w:t xml:space="preserve"> </w:t>
      </w:r>
      <w:r w:rsidRPr="00E36A94">
        <w:rPr>
          <w:rFonts w:ascii="Times New Roman" w:eastAsia="Times New Roman" w:hAnsi="Times New Roman" w:cs="Times New Roman"/>
          <w:sz w:val="24"/>
          <w:szCs w:val="24"/>
        </w:rPr>
        <w:t>și</w:t>
      </w:r>
      <w:r w:rsidR="00475B63" w:rsidRPr="00E36A94">
        <w:rPr>
          <w:rFonts w:ascii="Times New Roman" w:eastAsia="Times New Roman" w:hAnsi="Times New Roman" w:cs="Times New Roman"/>
          <w:sz w:val="24"/>
          <w:szCs w:val="24"/>
        </w:rPr>
        <w:t xml:space="preserve"> de formă ale măsurilor </w:t>
      </w:r>
      <w:r w:rsidRPr="00E36A94">
        <w:rPr>
          <w:rFonts w:ascii="Times New Roman" w:eastAsia="Times New Roman" w:hAnsi="Times New Roman" w:cs="Times New Roman"/>
          <w:sz w:val="24"/>
          <w:szCs w:val="24"/>
        </w:rPr>
        <w:t>și</w:t>
      </w:r>
      <w:r w:rsidR="00475B63" w:rsidRPr="00E36A94">
        <w:rPr>
          <w:rFonts w:ascii="Times New Roman" w:eastAsia="Times New Roman" w:hAnsi="Times New Roman" w:cs="Times New Roman"/>
          <w:sz w:val="24"/>
          <w:szCs w:val="24"/>
        </w:rPr>
        <w:t xml:space="preserve"> </w:t>
      </w:r>
      <w:r w:rsidRPr="00E36A94">
        <w:rPr>
          <w:rFonts w:ascii="Times New Roman" w:eastAsia="Times New Roman" w:hAnsi="Times New Roman" w:cs="Times New Roman"/>
          <w:sz w:val="24"/>
          <w:szCs w:val="24"/>
        </w:rPr>
        <w:t>activităților</w:t>
      </w:r>
      <w:r w:rsidR="00475B63" w:rsidRPr="00E36A94">
        <w:rPr>
          <w:rFonts w:ascii="Times New Roman" w:eastAsia="Times New Roman" w:hAnsi="Times New Roman" w:cs="Times New Roman"/>
          <w:sz w:val="24"/>
          <w:szCs w:val="24"/>
        </w:rPr>
        <w:t xml:space="preserve"> planificate. </w:t>
      </w:r>
    </w:p>
    <w:p w14:paraId="0B3B91A4" w14:textId="0E474C6B" w:rsidR="008D7147" w:rsidRPr="00E36A94" w:rsidRDefault="00475B63" w:rsidP="000516AC">
      <w:pPr>
        <w:pStyle w:val="ListParagraph"/>
        <w:numPr>
          <w:ilvl w:val="1"/>
          <w:numId w:val="27"/>
        </w:num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b/>
          <w:sz w:val="24"/>
          <w:szCs w:val="24"/>
        </w:rPr>
        <w:t>Raportarea</w:t>
      </w:r>
    </w:p>
    <w:p w14:paraId="074F01B2" w14:textId="71B14855" w:rsidR="008D7147" w:rsidRPr="00E36A94" w:rsidRDefault="00475B63">
      <w:pPr>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În baza indicatorilor de progres, Ministerul Economiei </w:t>
      </w:r>
      <w:r w:rsidR="00875B0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Infrastructurii va elabora </w:t>
      </w:r>
      <w:r w:rsidR="00875B0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va prezenta Guvernului, până la data de 31 martie, rapoartele anuale de progres, precum </w:t>
      </w:r>
      <w:r w:rsidR="00875B0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va elabora raportul final de evaluare, după ultima etapă de implementare.</w:t>
      </w:r>
    </w:p>
    <w:p w14:paraId="7D00B738" w14:textId="110B878F" w:rsidR="008D7147" w:rsidRPr="00E36A94" w:rsidRDefault="00475B63">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Evaluarea finală va implica atât parteneri-cheie, cât </w:t>
      </w:r>
      <w:r w:rsidR="00875B0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w:t>
      </w:r>
      <w:r w:rsidR="00875B0C" w:rsidRPr="00E36A94">
        <w:rPr>
          <w:rFonts w:ascii="Times New Roman" w:eastAsia="Times New Roman" w:hAnsi="Times New Roman" w:cs="Times New Roman"/>
          <w:sz w:val="24"/>
          <w:szCs w:val="24"/>
        </w:rPr>
        <w:t>constituenții</w:t>
      </w:r>
      <w:r w:rsidRPr="00E36A94">
        <w:rPr>
          <w:rFonts w:ascii="Times New Roman" w:eastAsia="Times New Roman" w:hAnsi="Times New Roman" w:cs="Times New Roman"/>
          <w:sz w:val="24"/>
          <w:szCs w:val="24"/>
        </w:rPr>
        <w:t xml:space="preserve"> principali ai organului central de specialitate, pentru a asigura un proces obiectiv </w:t>
      </w:r>
      <w:r w:rsidR="00875B0C" w:rsidRPr="00E36A94">
        <w:rPr>
          <w:rFonts w:ascii="Times New Roman" w:eastAsia="Times New Roman" w:hAnsi="Times New Roman" w:cs="Times New Roman"/>
          <w:sz w:val="24"/>
          <w:szCs w:val="24"/>
        </w:rPr>
        <w:t>și</w:t>
      </w:r>
      <w:r w:rsidRPr="00E36A94">
        <w:rPr>
          <w:rFonts w:ascii="Times New Roman" w:eastAsia="Times New Roman" w:hAnsi="Times New Roman" w:cs="Times New Roman"/>
          <w:sz w:val="24"/>
          <w:szCs w:val="24"/>
        </w:rPr>
        <w:t xml:space="preserve"> comprehensiv.</w:t>
      </w:r>
    </w:p>
    <w:p w14:paraId="1F81C9F8" w14:textId="10B4E004" w:rsidR="008D7147" w:rsidRPr="00E36A94" w:rsidRDefault="00875B0C">
      <w:pPr>
        <w:spacing w:after="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Transparența</w:t>
      </w:r>
      <w:r w:rsidR="00475B63" w:rsidRPr="00E36A94">
        <w:rPr>
          <w:rFonts w:ascii="Times New Roman" w:eastAsia="Times New Roman" w:hAnsi="Times New Roman" w:cs="Times New Roman"/>
          <w:sz w:val="24"/>
          <w:szCs w:val="24"/>
        </w:rPr>
        <w:t xml:space="preserve"> proceselor de implementare a prezentei Strategii se va asigura prin publicarea pe pagina oficială a Ministerului a rapoartelor anuale de progres </w:t>
      </w:r>
      <w:r w:rsidRPr="00E36A94">
        <w:rPr>
          <w:rFonts w:ascii="Times New Roman" w:eastAsia="Times New Roman" w:hAnsi="Times New Roman" w:cs="Times New Roman"/>
          <w:sz w:val="24"/>
          <w:szCs w:val="24"/>
        </w:rPr>
        <w:t>și</w:t>
      </w:r>
      <w:r w:rsidR="00475B63" w:rsidRPr="00E36A94">
        <w:rPr>
          <w:rFonts w:ascii="Times New Roman" w:eastAsia="Times New Roman" w:hAnsi="Times New Roman" w:cs="Times New Roman"/>
          <w:sz w:val="24"/>
          <w:szCs w:val="24"/>
        </w:rPr>
        <w:t xml:space="preserve"> a raportului final de evaluare, după implementarea acesteia. Organul central de specialitate va asigura mediatizarea largă a procesului de implementare a Strategiei </w:t>
      </w:r>
      <w:r w:rsidRPr="00E36A94">
        <w:rPr>
          <w:rFonts w:ascii="Times New Roman" w:eastAsia="Times New Roman" w:hAnsi="Times New Roman" w:cs="Times New Roman"/>
          <w:sz w:val="24"/>
          <w:szCs w:val="24"/>
        </w:rPr>
        <w:t>și</w:t>
      </w:r>
      <w:r w:rsidR="00475B63" w:rsidRPr="00E36A94">
        <w:rPr>
          <w:rFonts w:ascii="Times New Roman" w:eastAsia="Times New Roman" w:hAnsi="Times New Roman" w:cs="Times New Roman"/>
          <w:sz w:val="24"/>
          <w:szCs w:val="24"/>
        </w:rPr>
        <w:t xml:space="preserve"> va oferi </w:t>
      </w:r>
      <w:r w:rsidR="00D307AD" w:rsidRPr="00E36A94">
        <w:rPr>
          <w:rFonts w:ascii="Times New Roman" w:eastAsia="Times New Roman" w:hAnsi="Times New Roman" w:cs="Times New Roman"/>
          <w:sz w:val="24"/>
          <w:szCs w:val="24"/>
        </w:rPr>
        <w:t>informații</w:t>
      </w:r>
      <w:r w:rsidR="00475B63" w:rsidRPr="00E36A94">
        <w:rPr>
          <w:rFonts w:ascii="Times New Roman" w:eastAsia="Times New Roman" w:hAnsi="Times New Roman" w:cs="Times New Roman"/>
          <w:sz w:val="24"/>
          <w:szCs w:val="24"/>
        </w:rPr>
        <w:t xml:space="preserve"> relevante partenerilor din </w:t>
      </w:r>
      <w:r w:rsidRPr="00E36A94">
        <w:rPr>
          <w:rFonts w:ascii="Times New Roman" w:eastAsia="Times New Roman" w:hAnsi="Times New Roman" w:cs="Times New Roman"/>
          <w:sz w:val="24"/>
          <w:szCs w:val="24"/>
        </w:rPr>
        <w:t>țară</w:t>
      </w:r>
      <w:r w:rsidR="00475B63" w:rsidRPr="00E36A94">
        <w:rPr>
          <w:rFonts w:ascii="Times New Roman" w:eastAsia="Times New Roman" w:hAnsi="Times New Roman" w:cs="Times New Roman"/>
          <w:sz w:val="24"/>
          <w:szCs w:val="24"/>
        </w:rPr>
        <w:t xml:space="preserve"> </w:t>
      </w:r>
      <w:r w:rsidRPr="00E36A94">
        <w:rPr>
          <w:rFonts w:ascii="Times New Roman" w:eastAsia="Times New Roman" w:hAnsi="Times New Roman" w:cs="Times New Roman"/>
          <w:sz w:val="24"/>
          <w:szCs w:val="24"/>
        </w:rPr>
        <w:t>și</w:t>
      </w:r>
      <w:r w:rsidR="00475B63" w:rsidRPr="00E36A94">
        <w:rPr>
          <w:rFonts w:ascii="Times New Roman" w:eastAsia="Times New Roman" w:hAnsi="Times New Roman" w:cs="Times New Roman"/>
          <w:sz w:val="24"/>
          <w:szCs w:val="24"/>
        </w:rPr>
        <w:t xml:space="preserve"> de peste hotare.</w:t>
      </w:r>
    </w:p>
    <w:p w14:paraId="6542C84E" w14:textId="77777777" w:rsidR="00523192" w:rsidRDefault="00523192">
      <w:pPr>
        <w:spacing w:after="120"/>
        <w:jc w:val="both"/>
        <w:rPr>
          <w:rFonts w:ascii="Times New Roman" w:eastAsia="Times New Roman" w:hAnsi="Times New Roman" w:cs="Times New Roman"/>
          <w:sz w:val="24"/>
          <w:szCs w:val="24"/>
        </w:rPr>
      </w:pPr>
    </w:p>
    <w:p w14:paraId="4CC2ED9A" w14:textId="77777777" w:rsidR="00444BBB" w:rsidRDefault="00444BBB">
      <w:pPr>
        <w:spacing w:after="120"/>
        <w:jc w:val="both"/>
        <w:rPr>
          <w:rFonts w:ascii="Times New Roman" w:eastAsia="Times New Roman" w:hAnsi="Times New Roman" w:cs="Times New Roman"/>
          <w:sz w:val="24"/>
          <w:szCs w:val="24"/>
        </w:rPr>
      </w:pPr>
    </w:p>
    <w:p w14:paraId="6D22129F" w14:textId="77777777" w:rsidR="00444BBB" w:rsidRDefault="00444BBB">
      <w:pPr>
        <w:spacing w:after="120"/>
        <w:jc w:val="both"/>
        <w:rPr>
          <w:rFonts w:ascii="Times New Roman" w:eastAsia="Times New Roman" w:hAnsi="Times New Roman" w:cs="Times New Roman"/>
          <w:sz w:val="24"/>
          <w:szCs w:val="24"/>
        </w:rPr>
      </w:pPr>
    </w:p>
    <w:p w14:paraId="4F314A42" w14:textId="77777777" w:rsidR="00444BBB" w:rsidRPr="00E36A94" w:rsidRDefault="00444BBB">
      <w:pPr>
        <w:spacing w:after="120"/>
        <w:jc w:val="both"/>
        <w:rPr>
          <w:rFonts w:ascii="Times New Roman" w:eastAsia="Times New Roman" w:hAnsi="Times New Roman" w:cs="Times New Roman"/>
          <w:sz w:val="24"/>
          <w:szCs w:val="24"/>
        </w:rPr>
      </w:pPr>
    </w:p>
    <w:p w14:paraId="1510EC91" w14:textId="77777777" w:rsidR="0035783D" w:rsidRPr="00E36A94" w:rsidRDefault="0035783D" w:rsidP="0035783D">
      <w:pPr>
        <w:spacing w:after="120"/>
        <w:jc w:val="both"/>
        <w:rPr>
          <w:rFonts w:ascii="Times New Roman" w:eastAsia="Times New Roman" w:hAnsi="Times New Roman" w:cs="Times New Roman"/>
          <w:b/>
          <w:sz w:val="24"/>
          <w:szCs w:val="24"/>
        </w:rPr>
      </w:pPr>
      <w:r w:rsidRPr="00E36A94">
        <w:rPr>
          <w:rFonts w:ascii="Times New Roman" w:eastAsia="Times New Roman" w:hAnsi="Times New Roman" w:cs="Times New Roman"/>
          <w:b/>
          <w:sz w:val="24"/>
          <w:szCs w:val="24"/>
        </w:rPr>
        <w:lastRenderedPageBreak/>
        <w:t xml:space="preserve">ABREVIERI </w:t>
      </w:r>
    </w:p>
    <w:p w14:paraId="23112CB8" w14:textId="77777777" w:rsidR="009D3B0A" w:rsidRPr="00E36A94" w:rsidRDefault="009D3B0A" w:rsidP="009D3B0A">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MEI- Ministerul Economiei și Infrastructurii </w:t>
      </w:r>
    </w:p>
    <w:p w14:paraId="560B6D90" w14:textId="53D416C8" w:rsidR="009D3B0A" w:rsidRPr="00E36A94" w:rsidRDefault="009D3B0A" w:rsidP="0035783D">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MIEPO</w:t>
      </w:r>
      <w:r w:rsidR="00E36A94" w:rsidRPr="00E36A94">
        <w:rPr>
          <w:rFonts w:ascii="Times New Roman" w:eastAsia="Times New Roman" w:hAnsi="Times New Roman" w:cs="Times New Roman"/>
          <w:sz w:val="24"/>
          <w:szCs w:val="24"/>
        </w:rPr>
        <w:t xml:space="preserve"> - Organizația de Atragere a Investițiilor și Promovare a Exportului </w:t>
      </w:r>
    </w:p>
    <w:p w14:paraId="64ED47DD" w14:textId="31AAE15F" w:rsidR="009D3B0A" w:rsidRPr="00E36A94" w:rsidRDefault="009D3B0A" w:rsidP="0035783D">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ODIMM</w:t>
      </w:r>
      <w:r w:rsidR="00E36A94" w:rsidRPr="00E36A94">
        <w:rPr>
          <w:rFonts w:ascii="Times New Roman" w:eastAsia="Times New Roman" w:hAnsi="Times New Roman" w:cs="Times New Roman"/>
          <w:sz w:val="24"/>
          <w:szCs w:val="24"/>
        </w:rPr>
        <w:t xml:space="preserve"> - </w:t>
      </w:r>
      <w:r w:rsidR="00875B0C" w:rsidRPr="00E36A94">
        <w:rPr>
          <w:rFonts w:ascii="Times New Roman" w:eastAsia="Times New Roman" w:hAnsi="Times New Roman" w:cs="Times New Roman"/>
          <w:sz w:val="24"/>
          <w:szCs w:val="24"/>
        </w:rPr>
        <w:t>Organizația</w:t>
      </w:r>
      <w:r w:rsidR="00E36A94" w:rsidRPr="00E36A94">
        <w:rPr>
          <w:rFonts w:ascii="Times New Roman" w:eastAsia="Times New Roman" w:hAnsi="Times New Roman" w:cs="Times New Roman"/>
          <w:sz w:val="24"/>
          <w:szCs w:val="24"/>
        </w:rPr>
        <w:t xml:space="preserve"> pentru Dezvoltarea Sectorului IMM</w:t>
      </w:r>
    </w:p>
    <w:p w14:paraId="3DB09D33" w14:textId="1273381B" w:rsidR="001A39A3" w:rsidRPr="00E36A94" w:rsidRDefault="001A39A3" w:rsidP="0035783D">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OCDE</w:t>
      </w:r>
      <w:r w:rsidR="00E36A94" w:rsidRPr="00E36A94">
        <w:rPr>
          <w:rFonts w:ascii="Times New Roman" w:eastAsia="Times New Roman" w:hAnsi="Times New Roman" w:cs="Times New Roman"/>
          <w:sz w:val="24"/>
          <w:szCs w:val="24"/>
        </w:rPr>
        <w:t xml:space="preserve"> - Organizația pentru Cooperare și Dezvoltare Economică</w:t>
      </w:r>
    </w:p>
    <w:p w14:paraId="45503A7C" w14:textId="77777777" w:rsidR="0035783D" w:rsidRPr="00E36A94" w:rsidRDefault="0035783D" w:rsidP="0035783D">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ATIC – Asociația Națională a companiilor private din domeniul Tehnologiei Informației și Comunicațiilor din Moldova </w:t>
      </w:r>
    </w:p>
    <w:p w14:paraId="31E08FA6" w14:textId="450C38E4" w:rsidR="0035783D" w:rsidRPr="00E36A94" w:rsidRDefault="0035783D" w:rsidP="0035783D">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HG-Hotărâre</w:t>
      </w:r>
      <w:r w:rsidR="00214200">
        <w:rPr>
          <w:rFonts w:ascii="Times New Roman" w:eastAsia="Times New Roman" w:hAnsi="Times New Roman" w:cs="Times New Roman"/>
          <w:sz w:val="24"/>
          <w:szCs w:val="24"/>
        </w:rPr>
        <w:t>a</w:t>
      </w:r>
      <w:r w:rsidRPr="00E36A94">
        <w:rPr>
          <w:rFonts w:ascii="Times New Roman" w:eastAsia="Times New Roman" w:hAnsi="Times New Roman" w:cs="Times New Roman"/>
          <w:sz w:val="24"/>
          <w:szCs w:val="24"/>
        </w:rPr>
        <w:t xml:space="preserve"> Guvernului </w:t>
      </w:r>
    </w:p>
    <w:p w14:paraId="0EF39CAA" w14:textId="77777777" w:rsidR="0035783D" w:rsidRPr="00E36A94" w:rsidRDefault="0035783D" w:rsidP="0035783D">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IMM-întreprinderi mici și mijlocii </w:t>
      </w:r>
    </w:p>
    <w:p w14:paraId="32CDD291" w14:textId="77777777" w:rsidR="0035783D" w:rsidRPr="00E36A94" w:rsidRDefault="0035783D" w:rsidP="0035783D">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ISD-investiții străine directe </w:t>
      </w:r>
    </w:p>
    <w:p w14:paraId="1C1E98B7" w14:textId="77777777" w:rsidR="0035783D" w:rsidRPr="00E36A94" w:rsidRDefault="0035783D" w:rsidP="0035783D">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PIB-produs intern brut </w:t>
      </w:r>
    </w:p>
    <w:p w14:paraId="5CD577B9" w14:textId="77777777" w:rsidR="0035783D" w:rsidRPr="00E36A94" w:rsidRDefault="0035783D" w:rsidP="0035783D">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RM-Republica Moldova </w:t>
      </w:r>
    </w:p>
    <w:p w14:paraId="045EECD8" w14:textId="61182058" w:rsidR="0035783D" w:rsidRPr="00E36A94" w:rsidRDefault="0035783D" w:rsidP="0035783D">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TI – Tehnologia Informației / IT Information </w:t>
      </w:r>
      <w:r w:rsidR="00206A1F" w:rsidRPr="00E36A94">
        <w:rPr>
          <w:rFonts w:ascii="Times New Roman" w:eastAsia="Times New Roman" w:hAnsi="Times New Roman" w:cs="Times New Roman"/>
          <w:sz w:val="24"/>
          <w:szCs w:val="24"/>
        </w:rPr>
        <w:t>Technology</w:t>
      </w:r>
      <w:r w:rsidRPr="00E36A94">
        <w:rPr>
          <w:rFonts w:ascii="Times New Roman" w:eastAsia="Times New Roman" w:hAnsi="Times New Roman" w:cs="Times New Roman"/>
          <w:sz w:val="24"/>
          <w:szCs w:val="24"/>
        </w:rPr>
        <w:t xml:space="preserve"> </w:t>
      </w:r>
    </w:p>
    <w:p w14:paraId="48B0DEE1" w14:textId="77617935" w:rsidR="0035783D" w:rsidRPr="00E36A94" w:rsidRDefault="0035783D" w:rsidP="0035783D">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TIC-Tehnologii Informaționale și Comunicații </w:t>
      </w:r>
    </w:p>
    <w:p w14:paraId="4463315C" w14:textId="77777777" w:rsidR="0035783D" w:rsidRPr="00E36A94" w:rsidRDefault="0035783D" w:rsidP="0035783D">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UE-Uniunea Europeană </w:t>
      </w:r>
    </w:p>
    <w:p w14:paraId="2C69652C" w14:textId="77777777" w:rsidR="0035783D" w:rsidRPr="00E36A94" w:rsidRDefault="0035783D" w:rsidP="0035783D">
      <w:pPr>
        <w:spacing w:after="120"/>
        <w:jc w:val="both"/>
        <w:rPr>
          <w:rFonts w:ascii="Times New Roman" w:eastAsia="Times New Roman" w:hAnsi="Times New Roman" w:cs="Times New Roman"/>
          <w:sz w:val="24"/>
          <w:szCs w:val="24"/>
        </w:rPr>
      </w:pPr>
      <w:r w:rsidRPr="00E36A94">
        <w:rPr>
          <w:rFonts w:ascii="Times New Roman" w:eastAsia="Times New Roman" w:hAnsi="Times New Roman" w:cs="Times New Roman"/>
          <w:sz w:val="24"/>
          <w:szCs w:val="24"/>
        </w:rPr>
        <w:t xml:space="preserve">USD-Dolari americani </w:t>
      </w:r>
    </w:p>
    <w:p w14:paraId="37B86376" w14:textId="77777777" w:rsidR="00523192" w:rsidRDefault="00523192">
      <w:pPr>
        <w:spacing w:after="120"/>
        <w:jc w:val="both"/>
        <w:rPr>
          <w:rFonts w:ascii="Times New Roman" w:eastAsia="Times New Roman" w:hAnsi="Times New Roman" w:cs="Times New Roman"/>
          <w:sz w:val="24"/>
          <w:szCs w:val="24"/>
        </w:rPr>
      </w:pPr>
    </w:p>
    <w:p w14:paraId="47B55DB7" w14:textId="77777777" w:rsidR="000516AC" w:rsidRPr="000516AC" w:rsidRDefault="000516AC" w:rsidP="000516AC">
      <w:pPr>
        <w:spacing w:after="0"/>
        <w:jc w:val="right"/>
        <w:rPr>
          <w:rFonts w:ascii="Times New Roman" w:eastAsia="Times New Roman" w:hAnsi="Times New Roman" w:cs="Times New Roman"/>
          <w:i/>
          <w:sz w:val="24"/>
          <w:szCs w:val="24"/>
        </w:rPr>
      </w:pPr>
    </w:p>
    <w:p w14:paraId="37720162" w14:textId="13D92281" w:rsidR="000516AC" w:rsidRPr="000516AC" w:rsidRDefault="000516AC" w:rsidP="000516AC">
      <w:pPr>
        <w:spacing w:after="0"/>
        <w:jc w:val="center"/>
        <w:rPr>
          <w:rFonts w:ascii="Times New Roman" w:eastAsia="Times New Roman" w:hAnsi="Times New Roman" w:cs="Times New Roman"/>
          <w:b/>
          <w:bCs/>
          <w:color w:val="auto"/>
          <w:sz w:val="24"/>
          <w:szCs w:val="24"/>
        </w:rPr>
      </w:pPr>
      <w:r w:rsidRPr="000516AC">
        <w:rPr>
          <w:rFonts w:ascii="Times New Roman" w:eastAsia="Times New Roman" w:hAnsi="Times New Roman" w:cs="Times New Roman"/>
          <w:b/>
          <w:bCs/>
          <w:color w:val="auto"/>
          <w:sz w:val="24"/>
          <w:szCs w:val="24"/>
        </w:rPr>
        <w:t>NOTELE CU REFERINŢĂ</w:t>
      </w:r>
    </w:p>
    <w:p w14:paraId="3098B6AC" w14:textId="1A9B91AF" w:rsidR="008D7147" w:rsidRPr="000516AC" w:rsidRDefault="000516AC" w:rsidP="000516AC">
      <w:pPr>
        <w:spacing w:after="120"/>
        <w:jc w:val="center"/>
        <w:rPr>
          <w:rFonts w:ascii="Times New Roman" w:eastAsia="Times New Roman" w:hAnsi="Times New Roman" w:cs="Times New Roman"/>
          <w:color w:val="auto"/>
          <w:sz w:val="24"/>
          <w:szCs w:val="24"/>
        </w:rPr>
      </w:pPr>
      <w:r w:rsidRPr="000516AC">
        <w:rPr>
          <w:rFonts w:ascii="Times New Roman" w:eastAsia="Times New Roman" w:hAnsi="Times New Roman" w:cs="Times New Roman"/>
          <w:b/>
          <w:bCs/>
          <w:color w:val="auto"/>
          <w:sz w:val="24"/>
          <w:szCs w:val="24"/>
        </w:rPr>
        <w:t xml:space="preserve">la sursele de </w:t>
      </w:r>
      <w:r w:rsidR="00952078" w:rsidRPr="000516AC">
        <w:rPr>
          <w:rFonts w:ascii="Times New Roman" w:eastAsia="Times New Roman" w:hAnsi="Times New Roman" w:cs="Times New Roman"/>
          <w:b/>
          <w:bCs/>
          <w:color w:val="auto"/>
          <w:sz w:val="24"/>
          <w:szCs w:val="24"/>
        </w:rPr>
        <w:t>informație</w:t>
      </w:r>
      <w:r w:rsidRPr="000516AC">
        <w:rPr>
          <w:rFonts w:ascii="Times New Roman" w:eastAsia="Times New Roman" w:hAnsi="Times New Roman" w:cs="Times New Roman"/>
          <w:b/>
          <w:bCs/>
          <w:color w:val="auto"/>
          <w:sz w:val="24"/>
          <w:szCs w:val="24"/>
        </w:rPr>
        <w:t xml:space="preserve"> utilizate în Strategie</w:t>
      </w:r>
    </w:p>
    <w:p w14:paraId="48F672F8" w14:textId="4FFDE204" w:rsidR="00E43DBF" w:rsidRDefault="00E43DBF" w:rsidP="004A00E9">
      <w:pPr>
        <w:pStyle w:val="ListParagraph"/>
        <w:numPr>
          <w:ilvl w:val="0"/>
          <w:numId w:val="28"/>
        </w:numPr>
        <w:spacing w:after="1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L</w:t>
      </w:r>
      <w:r w:rsidRPr="00E43DBF">
        <w:rPr>
          <w:rFonts w:ascii="Times New Roman" w:eastAsia="Times New Roman" w:hAnsi="Times New Roman" w:cs="Times New Roman"/>
          <w:sz w:val="24"/>
          <w:szCs w:val="24"/>
          <w:lang w:val="en-US"/>
        </w:rPr>
        <w:t>egea</w:t>
      </w:r>
      <w:proofErr w:type="spellEnd"/>
      <w:r w:rsidRPr="00E43DBF">
        <w:rPr>
          <w:rFonts w:ascii="Times New Roman" w:eastAsia="Times New Roman" w:hAnsi="Times New Roman" w:cs="Times New Roman"/>
          <w:sz w:val="24"/>
          <w:szCs w:val="24"/>
          <w:lang w:val="en-US"/>
        </w:rPr>
        <w:t xml:space="preserve"> Nr. 77 din 21.04.2017</w:t>
      </w:r>
      <w:bookmarkStart w:id="1" w:name="_GoBack"/>
      <w:bookmarkEnd w:id="1"/>
    </w:p>
    <w:p w14:paraId="6DA4B15C" w14:textId="1E50581E" w:rsidR="008D7147" w:rsidRDefault="00160F46" w:rsidP="004A00E9">
      <w:pPr>
        <w:pStyle w:val="ListParagraph"/>
        <w:numPr>
          <w:ilvl w:val="0"/>
          <w:numId w:val="28"/>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Studiul Companiei AVASANT „IT Sector Strategic </w:t>
      </w:r>
      <w:proofErr w:type="spellStart"/>
      <w:r>
        <w:rPr>
          <w:rFonts w:ascii="Times New Roman" w:eastAsia="Times New Roman" w:hAnsi="Times New Roman" w:cs="Times New Roman"/>
          <w:sz w:val="24"/>
          <w:szCs w:val="24"/>
        </w:rPr>
        <w:t>Roadmap</w:t>
      </w:r>
      <w:proofErr w:type="spellEnd"/>
      <w:r>
        <w:rPr>
          <w:rFonts w:ascii="Times New Roman" w:eastAsia="Times New Roman" w:hAnsi="Times New Roman" w:cs="Times New Roman"/>
          <w:sz w:val="24"/>
          <w:szCs w:val="24"/>
        </w:rPr>
        <w:t xml:space="preserve"> for Moldova”, </w:t>
      </w:r>
      <w:r w:rsidR="00D75B9B">
        <w:rPr>
          <w:rFonts w:ascii="Times New Roman" w:eastAsia="Times New Roman" w:hAnsi="Times New Roman" w:cs="Times New Roman"/>
          <w:sz w:val="24"/>
          <w:szCs w:val="24"/>
        </w:rPr>
        <w:t xml:space="preserve">anul </w:t>
      </w:r>
      <w:r>
        <w:rPr>
          <w:rFonts w:ascii="Times New Roman" w:eastAsia="Times New Roman" w:hAnsi="Times New Roman" w:cs="Times New Roman"/>
          <w:sz w:val="24"/>
          <w:szCs w:val="24"/>
        </w:rPr>
        <w:t>2016</w:t>
      </w:r>
    </w:p>
    <w:p w14:paraId="3D328B94" w14:textId="0B512702" w:rsidR="00160F46" w:rsidRDefault="00160F46" w:rsidP="004A00E9">
      <w:pPr>
        <w:pStyle w:val="ListParagraph"/>
        <w:numPr>
          <w:ilvl w:val="0"/>
          <w:numId w:val="28"/>
        </w:numPr>
        <w:spacing w:after="120"/>
        <w:jc w:val="both"/>
        <w:rPr>
          <w:rFonts w:ascii="Times New Roman" w:eastAsia="Times New Roman" w:hAnsi="Times New Roman" w:cs="Times New Roman"/>
          <w:sz w:val="24"/>
          <w:szCs w:val="24"/>
        </w:rPr>
      </w:pPr>
      <w:r w:rsidRPr="00160F46">
        <w:rPr>
          <w:rFonts w:ascii="Times New Roman" w:eastAsia="Times New Roman" w:hAnsi="Times New Roman" w:cs="Times New Roman"/>
          <w:sz w:val="24"/>
          <w:szCs w:val="24"/>
        </w:rPr>
        <w:t xml:space="preserve">Studiu </w:t>
      </w:r>
      <w:r>
        <w:rPr>
          <w:rFonts w:ascii="Times New Roman" w:eastAsia="Times New Roman" w:hAnsi="Times New Roman" w:cs="Times New Roman"/>
          <w:sz w:val="24"/>
          <w:szCs w:val="24"/>
        </w:rPr>
        <w:t>de f</w:t>
      </w:r>
      <w:r w:rsidRPr="00160F46">
        <w:rPr>
          <w:rFonts w:ascii="Times New Roman" w:eastAsia="Times New Roman" w:hAnsi="Times New Roman" w:cs="Times New Roman"/>
          <w:sz w:val="24"/>
          <w:szCs w:val="24"/>
        </w:rPr>
        <w:t xml:space="preserve">ezabilitate privind crearea unui Parc pentru Tehnologia Informației în Republica Moldova </w:t>
      </w:r>
      <w:r>
        <w:rPr>
          <w:rFonts w:ascii="Times New Roman" w:eastAsia="Times New Roman" w:hAnsi="Times New Roman" w:cs="Times New Roman"/>
          <w:sz w:val="24"/>
          <w:szCs w:val="24"/>
        </w:rPr>
        <w:t>„</w:t>
      </w:r>
      <w:r w:rsidRPr="00160F46">
        <w:rPr>
          <w:rFonts w:ascii="Times New Roman" w:eastAsia="Times New Roman" w:hAnsi="Times New Roman" w:cs="Times New Roman"/>
          <w:sz w:val="24"/>
          <w:szCs w:val="24"/>
        </w:rPr>
        <w:t>MOLDOVA IT PARK”</w:t>
      </w:r>
      <w:r>
        <w:rPr>
          <w:rFonts w:ascii="Times New Roman" w:eastAsia="Times New Roman" w:hAnsi="Times New Roman" w:cs="Times New Roman"/>
          <w:sz w:val="24"/>
          <w:szCs w:val="24"/>
        </w:rPr>
        <w:t xml:space="preserve">, </w:t>
      </w:r>
      <w:r w:rsidR="00D75B9B">
        <w:rPr>
          <w:rFonts w:ascii="Times New Roman" w:eastAsia="Times New Roman" w:hAnsi="Times New Roman" w:cs="Times New Roman"/>
          <w:sz w:val="24"/>
          <w:szCs w:val="24"/>
        </w:rPr>
        <w:t xml:space="preserve">anul </w:t>
      </w:r>
      <w:r>
        <w:rPr>
          <w:rFonts w:ascii="Times New Roman" w:eastAsia="Times New Roman" w:hAnsi="Times New Roman" w:cs="Times New Roman"/>
          <w:sz w:val="24"/>
          <w:szCs w:val="24"/>
        </w:rPr>
        <w:t>2017</w:t>
      </w:r>
    </w:p>
    <w:p w14:paraId="73B84452" w14:textId="77777777" w:rsidR="009D3B0A" w:rsidRPr="00160F46" w:rsidRDefault="009D3B0A" w:rsidP="004A00E9">
      <w:pPr>
        <w:pStyle w:val="ListParagraph"/>
        <w:numPr>
          <w:ilvl w:val="0"/>
          <w:numId w:val="28"/>
        </w:numPr>
        <w:spacing w:after="120"/>
        <w:rPr>
          <w:rFonts w:ascii="Times New Roman" w:eastAsia="Times New Roman" w:hAnsi="Times New Roman" w:cs="Times New Roman"/>
          <w:sz w:val="24"/>
          <w:szCs w:val="24"/>
        </w:rPr>
      </w:pPr>
      <w:proofErr w:type="spellStart"/>
      <w:r w:rsidRPr="009D3B0A">
        <w:rPr>
          <w:rFonts w:ascii="Times New Roman" w:eastAsia="Times New Roman" w:hAnsi="Times New Roman" w:cs="Times New Roman"/>
          <w:sz w:val="24"/>
          <w:szCs w:val="24"/>
        </w:rPr>
        <w:t>PwC</w:t>
      </w:r>
      <w:proofErr w:type="spellEnd"/>
      <w:r w:rsidRPr="009D3B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D3B0A">
        <w:rPr>
          <w:rFonts w:ascii="Times New Roman" w:eastAsia="Times New Roman" w:hAnsi="Times New Roman" w:cs="Times New Roman"/>
          <w:sz w:val="24"/>
          <w:szCs w:val="24"/>
        </w:rPr>
        <w:t>Mecanismul de funcționare a facilităților fiscale și vamale pentru rezidenții parcurilor IT</w:t>
      </w:r>
      <w:r>
        <w:rPr>
          <w:rFonts w:ascii="Times New Roman" w:eastAsia="Times New Roman" w:hAnsi="Times New Roman" w:cs="Times New Roman"/>
          <w:sz w:val="24"/>
          <w:szCs w:val="24"/>
        </w:rPr>
        <w:t>”</w:t>
      </w:r>
      <w:r w:rsidRPr="009D3B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anul </w:t>
      </w:r>
      <w:r w:rsidRPr="009D3B0A">
        <w:rPr>
          <w:rFonts w:ascii="Times New Roman" w:eastAsia="Times New Roman" w:hAnsi="Times New Roman" w:cs="Times New Roman"/>
          <w:sz w:val="24"/>
          <w:szCs w:val="24"/>
        </w:rPr>
        <w:t>2016</w:t>
      </w:r>
    </w:p>
    <w:p w14:paraId="7AA35F2E" w14:textId="0D772097" w:rsidR="009D3B0A" w:rsidRDefault="009D3B0A" w:rsidP="004A00E9">
      <w:pPr>
        <w:pStyle w:val="ListParagraph"/>
        <w:numPr>
          <w:ilvl w:val="0"/>
          <w:numId w:val="28"/>
        </w:numPr>
        <w:spacing w:after="120"/>
        <w:jc w:val="both"/>
        <w:rPr>
          <w:rFonts w:ascii="Times New Roman" w:eastAsia="Times New Roman" w:hAnsi="Times New Roman" w:cs="Times New Roman"/>
          <w:sz w:val="24"/>
          <w:szCs w:val="24"/>
        </w:rPr>
      </w:pPr>
      <w:r w:rsidRPr="009D3B0A">
        <w:rPr>
          <w:rFonts w:ascii="Times New Roman" w:eastAsia="Times New Roman" w:hAnsi="Times New Roman" w:cs="Times New Roman"/>
          <w:sz w:val="24"/>
          <w:szCs w:val="24"/>
        </w:rPr>
        <w:t>Proiect</w:t>
      </w:r>
      <w:r>
        <w:rPr>
          <w:rFonts w:ascii="Times New Roman" w:eastAsia="Times New Roman" w:hAnsi="Times New Roman" w:cs="Times New Roman"/>
          <w:sz w:val="24"/>
          <w:szCs w:val="24"/>
        </w:rPr>
        <w:t>ul de Competitivitate al USAID „</w:t>
      </w:r>
      <w:r w:rsidRPr="009D3B0A">
        <w:rPr>
          <w:rFonts w:ascii="Times New Roman" w:eastAsia="Times New Roman" w:hAnsi="Times New Roman" w:cs="Times New Roman"/>
          <w:sz w:val="24"/>
          <w:szCs w:val="24"/>
        </w:rPr>
        <w:t>MOLDOVA ICT SKILLS GAP ASSESSMENT 2016 TIME FOR ACTION</w:t>
      </w:r>
      <w:r>
        <w:rPr>
          <w:rFonts w:ascii="Times New Roman" w:eastAsia="Times New Roman" w:hAnsi="Times New Roman" w:cs="Times New Roman"/>
          <w:sz w:val="24"/>
          <w:szCs w:val="24"/>
        </w:rPr>
        <w:t>”</w:t>
      </w:r>
    </w:p>
    <w:p w14:paraId="78A25D3A" w14:textId="43288BDC" w:rsidR="00D17FA4" w:rsidRPr="0014134A" w:rsidRDefault="00D17FA4" w:rsidP="004A00E9">
      <w:pPr>
        <w:pStyle w:val="ListParagraph"/>
        <w:numPr>
          <w:ilvl w:val="0"/>
          <w:numId w:val="28"/>
        </w:numPr>
        <w:spacing w:after="120"/>
        <w:jc w:val="both"/>
        <w:rPr>
          <w:rFonts w:ascii="Times New Roman" w:eastAsia="Times New Roman" w:hAnsi="Times New Roman" w:cs="Times New Roman"/>
          <w:sz w:val="24"/>
          <w:szCs w:val="24"/>
        </w:rPr>
      </w:pPr>
      <w:r w:rsidRPr="0014134A">
        <w:rPr>
          <w:rFonts w:ascii="Times New Roman" w:eastAsia="Times New Roman" w:hAnsi="Times New Roman" w:cs="Times New Roman"/>
          <w:iCs/>
          <w:sz w:val="24"/>
          <w:szCs w:val="24"/>
        </w:rPr>
        <w:t xml:space="preserve">ITU </w:t>
      </w:r>
      <w:proofErr w:type="spellStart"/>
      <w:r w:rsidRPr="0014134A">
        <w:rPr>
          <w:rFonts w:ascii="Times New Roman" w:eastAsia="Times New Roman" w:hAnsi="Times New Roman" w:cs="Times New Roman"/>
          <w:iCs/>
          <w:sz w:val="24"/>
          <w:szCs w:val="24"/>
        </w:rPr>
        <w:t>News</w:t>
      </w:r>
      <w:proofErr w:type="spellEnd"/>
      <w:r w:rsidRPr="0014134A">
        <w:rPr>
          <w:rFonts w:ascii="Times New Roman" w:eastAsia="Times New Roman" w:hAnsi="Times New Roman" w:cs="Times New Roman"/>
          <w:iCs/>
          <w:sz w:val="24"/>
          <w:szCs w:val="24"/>
        </w:rPr>
        <w:t xml:space="preserve"> </w:t>
      </w:r>
      <w:proofErr w:type="spellStart"/>
      <w:r w:rsidRPr="0014134A">
        <w:rPr>
          <w:rFonts w:ascii="Times New Roman" w:eastAsia="Times New Roman" w:hAnsi="Times New Roman" w:cs="Times New Roman"/>
          <w:iCs/>
          <w:sz w:val="24"/>
          <w:szCs w:val="24"/>
        </w:rPr>
        <w:t>article</w:t>
      </w:r>
      <w:proofErr w:type="spellEnd"/>
      <w:r w:rsidRPr="0014134A">
        <w:rPr>
          <w:rFonts w:ascii="Times New Roman" w:eastAsia="Times New Roman" w:hAnsi="Times New Roman" w:cs="Times New Roman"/>
          <w:iCs/>
          <w:sz w:val="24"/>
          <w:szCs w:val="24"/>
        </w:rPr>
        <w:t xml:space="preserve">, ‘New role for </w:t>
      </w:r>
      <w:proofErr w:type="spellStart"/>
      <w:r w:rsidRPr="0014134A">
        <w:rPr>
          <w:rFonts w:ascii="Times New Roman" w:eastAsia="Times New Roman" w:hAnsi="Times New Roman" w:cs="Times New Roman"/>
          <w:iCs/>
          <w:sz w:val="24"/>
          <w:szCs w:val="24"/>
        </w:rPr>
        <w:t>governments</w:t>
      </w:r>
      <w:proofErr w:type="spellEnd"/>
      <w:r w:rsidRPr="0014134A">
        <w:rPr>
          <w:rFonts w:ascii="Times New Roman" w:eastAsia="Times New Roman" w:hAnsi="Times New Roman" w:cs="Times New Roman"/>
          <w:iCs/>
          <w:sz w:val="24"/>
          <w:szCs w:val="24"/>
        </w:rPr>
        <w:t xml:space="preserve"> in </w:t>
      </w:r>
      <w:proofErr w:type="spellStart"/>
      <w:r w:rsidRPr="0014134A">
        <w:rPr>
          <w:rFonts w:ascii="Times New Roman" w:eastAsia="Times New Roman" w:hAnsi="Times New Roman" w:cs="Times New Roman"/>
          <w:iCs/>
          <w:sz w:val="24"/>
          <w:szCs w:val="24"/>
        </w:rPr>
        <w:t>the</w:t>
      </w:r>
      <w:proofErr w:type="spellEnd"/>
      <w:r w:rsidRPr="0014134A">
        <w:rPr>
          <w:rFonts w:ascii="Times New Roman" w:eastAsia="Times New Roman" w:hAnsi="Times New Roman" w:cs="Times New Roman"/>
          <w:iCs/>
          <w:sz w:val="24"/>
          <w:szCs w:val="24"/>
        </w:rPr>
        <w:t xml:space="preserve"> era of ICT </w:t>
      </w:r>
      <w:proofErr w:type="spellStart"/>
      <w:r w:rsidRPr="0014134A">
        <w:rPr>
          <w:rFonts w:ascii="Times New Roman" w:eastAsia="Times New Roman" w:hAnsi="Times New Roman" w:cs="Times New Roman"/>
          <w:iCs/>
          <w:sz w:val="24"/>
          <w:szCs w:val="24"/>
        </w:rPr>
        <w:t>startups</w:t>
      </w:r>
      <w:proofErr w:type="spellEnd"/>
      <w:r w:rsidRPr="0014134A">
        <w:rPr>
          <w:rFonts w:ascii="Times New Roman" w:eastAsia="Times New Roman" w:hAnsi="Times New Roman" w:cs="Times New Roman"/>
          <w:iCs/>
          <w:sz w:val="24"/>
          <w:szCs w:val="24"/>
        </w:rPr>
        <w:t>’</w:t>
      </w:r>
    </w:p>
    <w:p w14:paraId="14B8FAE0" w14:textId="31C9CC89" w:rsidR="00356662" w:rsidRDefault="00356662" w:rsidP="004A00E9">
      <w:pPr>
        <w:pStyle w:val="ListParagraph"/>
        <w:numPr>
          <w:ilvl w:val="0"/>
          <w:numId w:val="28"/>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Sursa: </w:t>
      </w:r>
      <w:r w:rsidR="009D3B0A">
        <w:rPr>
          <w:rFonts w:ascii="Times New Roman" w:eastAsia="Times New Roman" w:hAnsi="Times New Roman" w:cs="Times New Roman"/>
          <w:sz w:val="24"/>
          <w:szCs w:val="24"/>
        </w:rPr>
        <w:t xml:space="preserve">Biroul Național de Statistică </w:t>
      </w:r>
      <w:hyperlink r:id="rId11" w:history="1">
        <w:r w:rsidRPr="00356662">
          <w:rPr>
            <w:rStyle w:val="Hyperlink"/>
            <w:rFonts w:ascii="Times New Roman" w:eastAsia="Times New Roman" w:hAnsi="Times New Roman" w:cs="Times New Roman"/>
            <w:sz w:val="24"/>
            <w:szCs w:val="24"/>
          </w:rPr>
          <w:t>http://www.statistica.md/newsview.php?l=ro&amp;idc=168&amp;id=5562</w:t>
        </w:r>
      </w:hyperlink>
    </w:p>
    <w:p w14:paraId="2AF73CC1" w14:textId="77777777" w:rsidR="0035783D" w:rsidRDefault="0035783D" w:rsidP="0035783D">
      <w:pPr>
        <w:spacing w:after="120"/>
        <w:jc w:val="both"/>
        <w:rPr>
          <w:rFonts w:ascii="Times New Roman" w:eastAsia="Times New Roman" w:hAnsi="Times New Roman" w:cs="Times New Roman"/>
          <w:sz w:val="24"/>
          <w:szCs w:val="24"/>
        </w:rPr>
      </w:pPr>
    </w:p>
    <w:p w14:paraId="68872211" w14:textId="77777777" w:rsidR="0035783D" w:rsidRPr="0035783D" w:rsidRDefault="0035783D" w:rsidP="0035783D">
      <w:pPr>
        <w:spacing w:after="120"/>
        <w:jc w:val="both"/>
        <w:rPr>
          <w:rFonts w:ascii="Times New Roman" w:eastAsia="Times New Roman" w:hAnsi="Times New Roman" w:cs="Times New Roman"/>
          <w:sz w:val="24"/>
          <w:szCs w:val="24"/>
        </w:rPr>
      </w:pPr>
    </w:p>
    <w:sectPr w:rsidR="0035783D" w:rsidRPr="0035783D">
      <w:headerReference w:type="default" r:id="rId12"/>
      <w:footerReference w:type="default" r:id="rId13"/>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C7F6B" w14:textId="77777777" w:rsidR="00BF38C2" w:rsidRDefault="00BF38C2">
      <w:pPr>
        <w:spacing w:after="0" w:line="240" w:lineRule="auto"/>
      </w:pPr>
      <w:r>
        <w:separator/>
      </w:r>
    </w:p>
  </w:endnote>
  <w:endnote w:type="continuationSeparator" w:id="0">
    <w:p w14:paraId="49E0FF9B" w14:textId="77777777" w:rsidR="00BF38C2" w:rsidRDefault="00BF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C63DD" w14:textId="77777777" w:rsidR="00E35623" w:rsidRDefault="00E35623">
    <w:pPr>
      <w:tabs>
        <w:tab w:val="center" w:pos="4677"/>
        <w:tab w:val="right" w:pos="9355"/>
      </w:tabs>
      <w:spacing w:after="0" w:line="240" w:lineRule="auto"/>
      <w:jc w:val="right"/>
    </w:pPr>
    <w:r>
      <w:fldChar w:fldCharType="begin"/>
    </w:r>
    <w:r>
      <w:instrText>PAGE</w:instrText>
    </w:r>
    <w:r>
      <w:fldChar w:fldCharType="separate"/>
    </w:r>
    <w:r w:rsidR="00952078">
      <w:rPr>
        <w:noProof/>
      </w:rPr>
      <w:t>9</w:t>
    </w:r>
    <w:r>
      <w:fldChar w:fldCharType="end"/>
    </w:r>
  </w:p>
  <w:p w14:paraId="7BEFDBB7" w14:textId="77777777" w:rsidR="00E35623" w:rsidRDefault="00E35623">
    <w:pPr>
      <w:tabs>
        <w:tab w:val="center" w:pos="4677"/>
        <w:tab w:val="right" w:pos="9355"/>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8F20C" w14:textId="77777777" w:rsidR="00BF38C2" w:rsidRDefault="00BF38C2">
      <w:pPr>
        <w:spacing w:after="0" w:line="240" w:lineRule="auto"/>
      </w:pPr>
      <w:r>
        <w:separator/>
      </w:r>
    </w:p>
  </w:footnote>
  <w:footnote w:type="continuationSeparator" w:id="0">
    <w:p w14:paraId="7E06C835" w14:textId="77777777" w:rsidR="00BF38C2" w:rsidRDefault="00BF3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6618C" w14:textId="77777777" w:rsidR="00E35623" w:rsidRDefault="00E35623">
    <w:pPr>
      <w:tabs>
        <w:tab w:val="center" w:pos="4677"/>
        <w:tab w:val="right" w:pos="9355"/>
      </w:tabs>
      <w:spacing w:after="0" w:line="240" w:lineRule="auto"/>
      <w:jc w:val="right"/>
    </w:pPr>
    <w: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4208D"/>
    <w:multiLevelType w:val="multilevel"/>
    <w:tmpl w:val="0A442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29359F"/>
    <w:multiLevelType w:val="multilevel"/>
    <w:tmpl w:val="AD2630B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339135F"/>
    <w:multiLevelType w:val="hybridMultilevel"/>
    <w:tmpl w:val="AF6A1A6A"/>
    <w:lvl w:ilvl="0" w:tplc="8CF61C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36E07"/>
    <w:multiLevelType w:val="multilevel"/>
    <w:tmpl w:val="9182C5C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16A190E"/>
    <w:multiLevelType w:val="multilevel"/>
    <w:tmpl w:val="F0AA3F38"/>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2C52273"/>
    <w:multiLevelType w:val="multilevel"/>
    <w:tmpl w:val="935EF3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cs="Times New Roman"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E110DEE"/>
    <w:multiLevelType w:val="multilevel"/>
    <w:tmpl w:val="1D3CE75C"/>
    <w:lvl w:ilvl="0">
      <w:start w:val="1"/>
      <w:numFmt w:val="bullet"/>
      <w:lvlText w:val="o"/>
      <w:lvlJc w:val="left"/>
      <w:pPr>
        <w:ind w:left="720" w:hanging="360"/>
      </w:pPr>
      <w:rPr>
        <w:rFonts w:ascii="Courier New" w:eastAsia="Courier New" w:hAnsi="Courier New" w:cs="Courier New"/>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E6B0B4E"/>
    <w:multiLevelType w:val="hybridMultilevel"/>
    <w:tmpl w:val="DE2E14AE"/>
    <w:lvl w:ilvl="0" w:tplc="961C14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DB0A41"/>
    <w:multiLevelType w:val="multilevel"/>
    <w:tmpl w:val="3F9EE08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38A73086"/>
    <w:multiLevelType w:val="multilevel"/>
    <w:tmpl w:val="09824082"/>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AE479F4"/>
    <w:multiLevelType w:val="multilevel"/>
    <w:tmpl w:val="16367EAA"/>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B185101"/>
    <w:multiLevelType w:val="multilevel"/>
    <w:tmpl w:val="BB568390"/>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B9B6488"/>
    <w:multiLevelType w:val="multilevel"/>
    <w:tmpl w:val="27E254A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D551C31"/>
    <w:multiLevelType w:val="multilevel"/>
    <w:tmpl w:val="38B4CC06"/>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3A13CBD"/>
    <w:multiLevelType w:val="multilevel"/>
    <w:tmpl w:val="CE1EF606"/>
    <w:lvl w:ilvl="0">
      <w:start w:val="4"/>
      <w:numFmt w:val="decimal"/>
      <w:lvlText w:val="%1."/>
      <w:lvlJc w:val="left"/>
      <w:pPr>
        <w:ind w:left="375" w:hanging="375"/>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15">
    <w:nsid w:val="475249FC"/>
    <w:multiLevelType w:val="hybridMultilevel"/>
    <w:tmpl w:val="411C60D6"/>
    <w:lvl w:ilvl="0" w:tplc="88046D3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F5D6028"/>
    <w:multiLevelType w:val="multilevel"/>
    <w:tmpl w:val="56DEF434"/>
    <w:lvl w:ilvl="0">
      <w:start w:val="1"/>
      <w:numFmt w:val="bullet"/>
      <w:lvlText w:val="⇒"/>
      <w:lvlJc w:val="left"/>
      <w:pPr>
        <w:ind w:left="77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2E02538"/>
    <w:multiLevelType w:val="multilevel"/>
    <w:tmpl w:val="B00A166C"/>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4481AF2"/>
    <w:multiLevelType w:val="multilevel"/>
    <w:tmpl w:val="B4EE97F4"/>
    <w:lvl w:ilvl="0">
      <w:start w:val="1"/>
      <w:numFmt w:val="decimal"/>
      <w:lvlText w:val="%1."/>
      <w:lvlJc w:val="left"/>
      <w:pPr>
        <w:ind w:left="375" w:hanging="375"/>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19">
    <w:nsid w:val="622D2212"/>
    <w:multiLevelType w:val="multilevel"/>
    <w:tmpl w:val="955EA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3312282"/>
    <w:multiLevelType w:val="hybridMultilevel"/>
    <w:tmpl w:val="89445EB0"/>
    <w:lvl w:ilvl="0" w:tplc="E33403F2">
      <w:start w:val="1"/>
      <w:numFmt w:val="decimal"/>
      <w:lvlText w:val="%1."/>
      <w:lvlJc w:val="left"/>
      <w:pPr>
        <w:ind w:left="720" w:hanging="360"/>
      </w:pPr>
      <w:rPr>
        <w:sz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894B78"/>
    <w:multiLevelType w:val="multilevel"/>
    <w:tmpl w:val="0558588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53A3ADF"/>
    <w:multiLevelType w:val="multilevel"/>
    <w:tmpl w:val="91F290C0"/>
    <w:lvl w:ilvl="0">
      <w:start w:val="1"/>
      <w:numFmt w:val="upperRoman"/>
      <w:lvlText w:val="%1."/>
      <w:lvlJc w:val="left"/>
      <w:pPr>
        <w:ind w:left="1080" w:hanging="720"/>
      </w:pPr>
      <w:rPr>
        <w:color w:val="548DD4"/>
      </w:rPr>
    </w:lvl>
    <w:lvl w:ilvl="1">
      <w:start w:val="1"/>
      <w:numFmt w:val="decimal"/>
      <w:lvlText w:val="%1.%2."/>
      <w:lvlJc w:val="left"/>
      <w:pPr>
        <w:ind w:left="720" w:hanging="360"/>
      </w:pPr>
      <w:rPr>
        <w:b/>
      </w:rPr>
    </w:lvl>
    <w:lvl w:ilvl="2">
      <w:start w:val="1"/>
      <w:numFmt w:val="decimal"/>
      <w:lvlText w:val="%1.%2.%3."/>
      <w:lvlJc w:val="left"/>
      <w:pPr>
        <w:ind w:left="1080" w:hanging="720"/>
      </w:pPr>
      <w:rPr>
        <w:b w:val="0"/>
        <w:i/>
      </w:rPr>
    </w:lvl>
    <w:lvl w:ilvl="3">
      <w:start w:val="1"/>
      <w:numFmt w:val="bullet"/>
      <w:lvlText w:val="●"/>
      <w:lvlJc w:val="left"/>
      <w:pPr>
        <w:ind w:left="1080" w:hanging="720"/>
      </w:pPr>
    </w:lvl>
    <w:lvl w:ilvl="4">
      <w:start w:val="1"/>
      <w:numFmt w:val="bullet"/>
      <w:lvlText w:val="○"/>
      <w:lvlJc w:val="left"/>
      <w:pPr>
        <w:ind w:left="1440" w:hanging="1080"/>
      </w:pPr>
    </w:lvl>
    <w:lvl w:ilvl="5">
      <w:start w:val="1"/>
      <w:numFmt w:val="decimal"/>
      <w:lvlText w:val="%1.%2.%3.●.○.%6."/>
      <w:lvlJc w:val="left"/>
      <w:pPr>
        <w:ind w:left="1440" w:hanging="1080"/>
      </w:pPr>
    </w:lvl>
    <w:lvl w:ilvl="6">
      <w:start w:val="1"/>
      <w:numFmt w:val="decimal"/>
      <w:lvlText w:val="%1.%2.%3.●.○.%6.%7."/>
      <w:lvlJc w:val="left"/>
      <w:pPr>
        <w:ind w:left="1800" w:hanging="1440"/>
      </w:pPr>
    </w:lvl>
    <w:lvl w:ilvl="7">
      <w:start w:val="1"/>
      <w:numFmt w:val="decimal"/>
      <w:lvlText w:val="%1.%2.%3.●.○.%6.%7.%8."/>
      <w:lvlJc w:val="left"/>
      <w:pPr>
        <w:ind w:left="1800" w:hanging="1440"/>
      </w:pPr>
    </w:lvl>
    <w:lvl w:ilvl="8">
      <w:start w:val="1"/>
      <w:numFmt w:val="decimal"/>
      <w:lvlText w:val="%1.%2.%3.●.○.%6.%7.%8.%9."/>
      <w:lvlJc w:val="left"/>
      <w:pPr>
        <w:ind w:left="2160" w:hanging="1800"/>
      </w:pPr>
    </w:lvl>
  </w:abstractNum>
  <w:abstractNum w:abstractNumId="23">
    <w:nsid w:val="669D6F2D"/>
    <w:multiLevelType w:val="multilevel"/>
    <w:tmpl w:val="A344F50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BCA6182"/>
    <w:multiLevelType w:val="multilevel"/>
    <w:tmpl w:val="652224AE"/>
    <w:lvl w:ilvl="0">
      <w:start w:val="1"/>
      <w:numFmt w:val="bullet"/>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rPr>
        <w:rFonts w:ascii="Times New Roman" w:hAnsi="Times New Roman" w:cs="Times New Roman" w:hint="default"/>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BFA2EC9"/>
    <w:multiLevelType w:val="multilevel"/>
    <w:tmpl w:val="2D0ED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6C53B61"/>
    <w:multiLevelType w:val="multilevel"/>
    <w:tmpl w:val="4AEA5DE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749741D"/>
    <w:multiLevelType w:val="multilevel"/>
    <w:tmpl w:val="0908FA16"/>
    <w:lvl w:ilvl="0">
      <w:start w:val="1"/>
      <w:numFmt w:val="lowerLetter"/>
      <w:lvlText w:val="%1)"/>
      <w:lvlJc w:val="left"/>
      <w:pPr>
        <w:ind w:left="720" w:hanging="360"/>
      </w:pPr>
      <w:rPr>
        <w:rFonts w:ascii="Times New Roman" w:hAnsi="Times New Roman" w:cs="Times New Roman" w:hint="default"/>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7D86616"/>
    <w:multiLevelType w:val="multilevel"/>
    <w:tmpl w:val="C2E0C680"/>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C90694C"/>
    <w:multiLevelType w:val="multilevel"/>
    <w:tmpl w:val="D2301BC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DD6434C"/>
    <w:multiLevelType w:val="multilevel"/>
    <w:tmpl w:val="1340F04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E0146EB"/>
    <w:multiLevelType w:val="multilevel"/>
    <w:tmpl w:val="B7A6E7A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0"/>
  </w:num>
  <w:num w:numId="3">
    <w:abstractNumId w:val="26"/>
  </w:num>
  <w:num w:numId="4">
    <w:abstractNumId w:val="30"/>
  </w:num>
  <w:num w:numId="5">
    <w:abstractNumId w:val="25"/>
  </w:num>
  <w:num w:numId="6">
    <w:abstractNumId w:val="9"/>
  </w:num>
  <w:num w:numId="7">
    <w:abstractNumId w:val="12"/>
  </w:num>
  <w:num w:numId="8">
    <w:abstractNumId w:val="24"/>
  </w:num>
  <w:num w:numId="9">
    <w:abstractNumId w:val="6"/>
  </w:num>
  <w:num w:numId="10">
    <w:abstractNumId w:val="13"/>
  </w:num>
  <w:num w:numId="11">
    <w:abstractNumId w:val="8"/>
  </w:num>
  <w:num w:numId="12">
    <w:abstractNumId w:val="22"/>
  </w:num>
  <w:num w:numId="13">
    <w:abstractNumId w:val="17"/>
  </w:num>
  <w:num w:numId="14">
    <w:abstractNumId w:val="0"/>
  </w:num>
  <w:num w:numId="15">
    <w:abstractNumId w:val="19"/>
  </w:num>
  <w:num w:numId="16">
    <w:abstractNumId w:val="4"/>
  </w:num>
  <w:num w:numId="17">
    <w:abstractNumId w:val="16"/>
  </w:num>
  <w:num w:numId="18">
    <w:abstractNumId w:val="2"/>
  </w:num>
  <w:num w:numId="19">
    <w:abstractNumId w:val="5"/>
  </w:num>
  <w:num w:numId="20">
    <w:abstractNumId w:val="7"/>
  </w:num>
  <w:num w:numId="21">
    <w:abstractNumId w:val="18"/>
  </w:num>
  <w:num w:numId="22">
    <w:abstractNumId w:val="23"/>
  </w:num>
  <w:num w:numId="23">
    <w:abstractNumId w:val="1"/>
  </w:num>
  <w:num w:numId="24">
    <w:abstractNumId w:val="29"/>
  </w:num>
  <w:num w:numId="25">
    <w:abstractNumId w:val="14"/>
  </w:num>
  <w:num w:numId="26">
    <w:abstractNumId w:val="28"/>
  </w:num>
  <w:num w:numId="27">
    <w:abstractNumId w:val="3"/>
  </w:num>
  <w:num w:numId="28">
    <w:abstractNumId w:val="20"/>
  </w:num>
  <w:num w:numId="29">
    <w:abstractNumId w:val="15"/>
  </w:num>
  <w:num w:numId="30">
    <w:abstractNumId w:val="31"/>
  </w:num>
  <w:num w:numId="31">
    <w:abstractNumId w:val="2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D7147"/>
    <w:rsid w:val="000047BC"/>
    <w:rsid w:val="00015583"/>
    <w:rsid w:val="000516AC"/>
    <w:rsid w:val="00057A3F"/>
    <w:rsid w:val="00057B7B"/>
    <w:rsid w:val="00057D31"/>
    <w:rsid w:val="0006486E"/>
    <w:rsid w:val="00065D35"/>
    <w:rsid w:val="00067BB0"/>
    <w:rsid w:val="000745E0"/>
    <w:rsid w:val="000A2469"/>
    <w:rsid w:val="000A6096"/>
    <w:rsid w:val="000D1ED9"/>
    <w:rsid w:val="000E57BC"/>
    <w:rsid w:val="001120E2"/>
    <w:rsid w:val="001170B0"/>
    <w:rsid w:val="00117C8B"/>
    <w:rsid w:val="0014134A"/>
    <w:rsid w:val="00156B68"/>
    <w:rsid w:val="00160F46"/>
    <w:rsid w:val="0016254B"/>
    <w:rsid w:val="001739BE"/>
    <w:rsid w:val="00182A16"/>
    <w:rsid w:val="0018317F"/>
    <w:rsid w:val="00187A95"/>
    <w:rsid w:val="001922F9"/>
    <w:rsid w:val="00192965"/>
    <w:rsid w:val="001A0CB8"/>
    <w:rsid w:val="001A39A3"/>
    <w:rsid w:val="001C35C5"/>
    <w:rsid w:val="001C60BD"/>
    <w:rsid w:val="001C6C1D"/>
    <w:rsid w:val="001C74A2"/>
    <w:rsid w:val="001F5E58"/>
    <w:rsid w:val="001F71BD"/>
    <w:rsid w:val="00203B3F"/>
    <w:rsid w:val="00206A1F"/>
    <w:rsid w:val="00210380"/>
    <w:rsid w:val="00210CEE"/>
    <w:rsid w:val="00214200"/>
    <w:rsid w:val="00223EC2"/>
    <w:rsid w:val="00244F4C"/>
    <w:rsid w:val="00247969"/>
    <w:rsid w:val="0025439B"/>
    <w:rsid w:val="00262C55"/>
    <w:rsid w:val="002632BA"/>
    <w:rsid w:val="0026586A"/>
    <w:rsid w:val="002659A7"/>
    <w:rsid w:val="00272DDF"/>
    <w:rsid w:val="002846DD"/>
    <w:rsid w:val="00294A96"/>
    <w:rsid w:val="00296232"/>
    <w:rsid w:val="002D0EA6"/>
    <w:rsid w:val="002D48FC"/>
    <w:rsid w:val="002D57D3"/>
    <w:rsid w:val="002F05AE"/>
    <w:rsid w:val="003155ED"/>
    <w:rsid w:val="003214B7"/>
    <w:rsid w:val="0032422D"/>
    <w:rsid w:val="003271FA"/>
    <w:rsid w:val="00334861"/>
    <w:rsid w:val="00336D09"/>
    <w:rsid w:val="00356662"/>
    <w:rsid w:val="0035783D"/>
    <w:rsid w:val="00362BE8"/>
    <w:rsid w:val="00382BBF"/>
    <w:rsid w:val="003A6101"/>
    <w:rsid w:val="003A746D"/>
    <w:rsid w:val="003B14F2"/>
    <w:rsid w:val="003B1E0A"/>
    <w:rsid w:val="003B4EE4"/>
    <w:rsid w:val="003B6665"/>
    <w:rsid w:val="003C71B5"/>
    <w:rsid w:val="003C7D45"/>
    <w:rsid w:val="003D0EEC"/>
    <w:rsid w:val="003D48E2"/>
    <w:rsid w:val="003F4184"/>
    <w:rsid w:val="003F6B47"/>
    <w:rsid w:val="00416974"/>
    <w:rsid w:val="00422537"/>
    <w:rsid w:val="00444818"/>
    <w:rsid w:val="00444BBB"/>
    <w:rsid w:val="00465DBD"/>
    <w:rsid w:val="00475B63"/>
    <w:rsid w:val="00495385"/>
    <w:rsid w:val="004A00E9"/>
    <w:rsid w:val="004B22C0"/>
    <w:rsid w:val="004B4961"/>
    <w:rsid w:val="004C0AD7"/>
    <w:rsid w:val="004E0D70"/>
    <w:rsid w:val="005000D2"/>
    <w:rsid w:val="00500234"/>
    <w:rsid w:val="00506618"/>
    <w:rsid w:val="00506D4C"/>
    <w:rsid w:val="00523192"/>
    <w:rsid w:val="0054434C"/>
    <w:rsid w:val="00546E58"/>
    <w:rsid w:val="00552DFC"/>
    <w:rsid w:val="00553969"/>
    <w:rsid w:val="0059094B"/>
    <w:rsid w:val="005A636D"/>
    <w:rsid w:val="005C6319"/>
    <w:rsid w:val="005D2D50"/>
    <w:rsid w:val="005D6D89"/>
    <w:rsid w:val="005E029E"/>
    <w:rsid w:val="005E07E1"/>
    <w:rsid w:val="005E4CA6"/>
    <w:rsid w:val="005E4E5E"/>
    <w:rsid w:val="00605E48"/>
    <w:rsid w:val="006179FF"/>
    <w:rsid w:val="00624C98"/>
    <w:rsid w:val="00647E3F"/>
    <w:rsid w:val="0066400F"/>
    <w:rsid w:val="006666A2"/>
    <w:rsid w:val="00676202"/>
    <w:rsid w:val="006803E8"/>
    <w:rsid w:val="0069047C"/>
    <w:rsid w:val="006A1E2A"/>
    <w:rsid w:val="006C732C"/>
    <w:rsid w:val="006E3051"/>
    <w:rsid w:val="006E4751"/>
    <w:rsid w:val="006F6B19"/>
    <w:rsid w:val="007115E1"/>
    <w:rsid w:val="0073286A"/>
    <w:rsid w:val="007332E0"/>
    <w:rsid w:val="00744307"/>
    <w:rsid w:val="00760741"/>
    <w:rsid w:val="00762B8C"/>
    <w:rsid w:val="007776D7"/>
    <w:rsid w:val="00783B2D"/>
    <w:rsid w:val="0078692B"/>
    <w:rsid w:val="0078722F"/>
    <w:rsid w:val="0079416C"/>
    <w:rsid w:val="0079769C"/>
    <w:rsid w:val="007A0E98"/>
    <w:rsid w:val="007B301D"/>
    <w:rsid w:val="007D503F"/>
    <w:rsid w:val="007F61C1"/>
    <w:rsid w:val="00824A2C"/>
    <w:rsid w:val="00834B58"/>
    <w:rsid w:val="008444F4"/>
    <w:rsid w:val="00875B0C"/>
    <w:rsid w:val="008B30DB"/>
    <w:rsid w:val="008B7CC4"/>
    <w:rsid w:val="008C0EA4"/>
    <w:rsid w:val="008D56BA"/>
    <w:rsid w:val="008D7147"/>
    <w:rsid w:val="00902B27"/>
    <w:rsid w:val="00920F9A"/>
    <w:rsid w:val="00940067"/>
    <w:rsid w:val="009448CB"/>
    <w:rsid w:val="00952078"/>
    <w:rsid w:val="009859AE"/>
    <w:rsid w:val="009904C4"/>
    <w:rsid w:val="00993625"/>
    <w:rsid w:val="009B14CC"/>
    <w:rsid w:val="009B340F"/>
    <w:rsid w:val="009B7DAE"/>
    <w:rsid w:val="009D3B0A"/>
    <w:rsid w:val="009D7615"/>
    <w:rsid w:val="009D7E24"/>
    <w:rsid w:val="009E5D42"/>
    <w:rsid w:val="00A03BFF"/>
    <w:rsid w:val="00A0615E"/>
    <w:rsid w:val="00A125E9"/>
    <w:rsid w:val="00A20E80"/>
    <w:rsid w:val="00A257FB"/>
    <w:rsid w:val="00A33DF7"/>
    <w:rsid w:val="00A359DF"/>
    <w:rsid w:val="00A46BC0"/>
    <w:rsid w:val="00A55888"/>
    <w:rsid w:val="00A57B4E"/>
    <w:rsid w:val="00A64818"/>
    <w:rsid w:val="00A651BA"/>
    <w:rsid w:val="00A724E2"/>
    <w:rsid w:val="00A73530"/>
    <w:rsid w:val="00A808AD"/>
    <w:rsid w:val="00A834E6"/>
    <w:rsid w:val="00A847CC"/>
    <w:rsid w:val="00AA6A61"/>
    <w:rsid w:val="00AB3377"/>
    <w:rsid w:val="00AD00A8"/>
    <w:rsid w:val="00AD4762"/>
    <w:rsid w:val="00AE6448"/>
    <w:rsid w:val="00B12E6C"/>
    <w:rsid w:val="00B12F25"/>
    <w:rsid w:val="00B21147"/>
    <w:rsid w:val="00B271B0"/>
    <w:rsid w:val="00B40802"/>
    <w:rsid w:val="00B422FF"/>
    <w:rsid w:val="00B4543E"/>
    <w:rsid w:val="00B623DF"/>
    <w:rsid w:val="00B6648C"/>
    <w:rsid w:val="00B72223"/>
    <w:rsid w:val="00B72BA7"/>
    <w:rsid w:val="00B74A68"/>
    <w:rsid w:val="00B85EE6"/>
    <w:rsid w:val="00B956CC"/>
    <w:rsid w:val="00B95AEA"/>
    <w:rsid w:val="00B9645A"/>
    <w:rsid w:val="00BC14EE"/>
    <w:rsid w:val="00BE134C"/>
    <w:rsid w:val="00BE481F"/>
    <w:rsid w:val="00BF38C2"/>
    <w:rsid w:val="00C31FF7"/>
    <w:rsid w:val="00C32C39"/>
    <w:rsid w:val="00C46613"/>
    <w:rsid w:val="00C64A88"/>
    <w:rsid w:val="00C7569D"/>
    <w:rsid w:val="00C926DB"/>
    <w:rsid w:val="00C92BFD"/>
    <w:rsid w:val="00C93844"/>
    <w:rsid w:val="00C962D6"/>
    <w:rsid w:val="00CC5DE4"/>
    <w:rsid w:val="00CC74BA"/>
    <w:rsid w:val="00CC7E44"/>
    <w:rsid w:val="00CD5E3C"/>
    <w:rsid w:val="00CD78F1"/>
    <w:rsid w:val="00CD7CB3"/>
    <w:rsid w:val="00CE002F"/>
    <w:rsid w:val="00CE4D30"/>
    <w:rsid w:val="00CF2019"/>
    <w:rsid w:val="00D020AE"/>
    <w:rsid w:val="00D040BC"/>
    <w:rsid w:val="00D05984"/>
    <w:rsid w:val="00D17FA4"/>
    <w:rsid w:val="00D21C4B"/>
    <w:rsid w:val="00D307AD"/>
    <w:rsid w:val="00D35B7B"/>
    <w:rsid w:val="00D36F22"/>
    <w:rsid w:val="00D71BEB"/>
    <w:rsid w:val="00D75B9B"/>
    <w:rsid w:val="00D75BCA"/>
    <w:rsid w:val="00D820D2"/>
    <w:rsid w:val="00D8376E"/>
    <w:rsid w:val="00D87611"/>
    <w:rsid w:val="00D94857"/>
    <w:rsid w:val="00D95A9C"/>
    <w:rsid w:val="00DB2045"/>
    <w:rsid w:val="00DE5A81"/>
    <w:rsid w:val="00DE687C"/>
    <w:rsid w:val="00E13460"/>
    <w:rsid w:val="00E33664"/>
    <w:rsid w:val="00E35623"/>
    <w:rsid w:val="00E36A94"/>
    <w:rsid w:val="00E43DBF"/>
    <w:rsid w:val="00E51213"/>
    <w:rsid w:val="00E734AB"/>
    <w:rsid w:val="00E93B47"/>
    <w:rsid w:val="00EB1787"/>
    <w:rsid w:val="00ED3D5F"/>
    <w:rsid w:val="00EF157D"/>
    <w:rsid w:val="00F06BC2"/>
    <w:rsid w:val="00F10270"/>
    <w:rsid w:val="00F20FD8"/>
    <w:rsid w:val="00F36AF8"/>
    <w:rsid w:val="00F52FFA"/>
    <w:rsid w:val="00F541A3"/>
    <w:rsid w:val="00F71F07"/>
    <w:rsid w:val="00F86BCB"/>
    <w:rsid w:val="00F953D5"/>
    <w:rsid w:val="00FB6ED0"/>
    <w:rsid w:val="00FB7153"/>
    <w:rsid w:val="00FC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B19A"/>
  <w15:docId w15:val="{BAB4ABAF-E188-49FA-B469-081E3CFA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ro-RO"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7E2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5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3D5"/>
    <w:rPr>
      <w:rFonts w:ascii="Segoe UI" w:hAnsi="Segoe UI" w:cs="Segoe UI"/>
      <w:sz w:val="18"/>
      <w:szCs w:val="18"/>
    </w:rPr>
  </w:style>
  <w:style w:type="paragraph" w:styleId="ListParagraph">
    <w:name w:val="List Paragraph"/>
    <w:basedOn w:val="Normal"/>
    <w:uiPriority w:val="34"/>
    <w:qFormat/>
    <w:rsid w:val="00B956CC"/>
    <w:pPr>
      <w:ind w:left="720"/>
      <w:contextualSpacing/>
    </w:pPr>
  </w:style>
  <w:style w:type="character" w:styleId="Hyperlink">
    <w:name w:val="Hyperlink"/>
    <w:basedOn w:val="DefaultParagraphFont"/>
    <w:uiPriority w:val="99"/>
    <w:unhideWhenUsed/>
    <w:rsid w:val="0035666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82A16"/>
    <w:rPr>
      <w:b/>
      <w:bCs/>
    </w:rPr>
  </w:style>
  <w:style w:type="character" w:customStyle="1" w:styleId="CommentSubjectChar">
    <w:name w:val="Comment Subject Char"/>
    <w:basedOn w:val="CommentTextChar"/>
    <w:link w:val="CommentSubject"/>
    <w:uiPriority w:val="99"/>
    <w:semiHidden/>
    <w:rsid w:val="00182A16"/>
    <w:rPr>
      <w:b/>
      <w:bCs/>
      <w:sz w:val="20"/>
      <w:szCs w:val="20"/>
    </w:rPr>
  </w:style>
  <w:style w:type="paragraph" w:styleId="NormalWeb">
    <w:name w:val="Normal (Web)"/>
    <w:basedOn w:val="Normal"/>
    <w:uiPriority w:val="99"/>
    <w:unhideWhenUsed/>
    <w:rsid w:val="00A33DF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
    <w:name w:val="Body Text"/>
    <w:basedOn w:val="Normal"/>
    <w:link w:val="BodyTextChar"/>
    <w:rsid w:val="001C74A2"/>
    <w:pPr>
      <w:pBdr>
        <w:top w:val="none" w:sz="0" w:space="0" w:color="auto"/>
        <w:left w:val="none" w:sz="0" w:space="0" w:color="auto"/>
        <w:bottom w:val="none" w:sz="0" w:space="0" w:color="auto"/>
        <w:right w:val="none" w:sz="0" w:space="0" w:color="auto"/>
        <w:between w:val="none" w:sz="0" w:space="0" w:color="auto"/>
      </w:pBdr>
      <w:suppressAutoHyphens/>
      <w:spacing w:after="120" w:line="240" w:lineRule="auto"/>
    </w:pPr>
    <w:rPr>
      <w:rFonts w:ascii="Times New Roman" w:eastAsia="Times New Roman" w:hAnsi="Times New Roman" w:cs="Times New Roman"/>
      <w:color w:val="auto"/>
      <w:sz w:val="24"/>
      <w:szCs w:val="24"/>
      <w:lang w:val="en-US" w:eastAsia="ar-SA"/>
    </w:rPr>
  </w:style>
  <w:style w:type="character" w:customStyle="1" w:styleId="BodyTextChar">
    <w:name w:val="Body Text Char"/>
    <w:basedOn w:val="DefaultParagraphFont"/>
    <w:link w:val="BodyText"/>
    <w:rsid w:val="001C74A2"/>
    <w:rPr>
      <w:rFonts w:ascii="Times New Roman" w:eastAsia="Times New Roman" w:hAnsi="Times New Roman" w:cs="Times New Roman"/>
      <w:color w:val="auto"/>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345">
      <w:bodyDiv w:val="1"/>
      <w:marLeft w:val="0"/>
      <w:marRight w:val="0"/>
      <w:marTop w:val="0"/>
      <w:marBottom w:val="0"/>
      <w:divBdr>
        <w:top w:val="none" w:sz="0" w:space="0" w:color="auto"/>
        <w:left w:val="none" w:sz="0" w:space="0" w:color="auto"/>
        <w:bottom w:val="none" w:sz="0" w:space="0" w:color="auto"/>
        <w:right w:val="none" w:sz="0" w:space="0" w:color="auto"/>
      </w:divBdr>
    </w:div>
    <w:div w:id="1456827679">
      <w:bodyDiv w:val="1"/>
      <w:marLeft w:val="0"/>
      <w:marRight w:val="0"/>
      <w:marTop w:val="0"/>
      <w:marBottom w:val="0"/>
      <w:divBdr>
        <w:top w:val="none" w:sz="0" w:space="0" w:color="auto"/>
        <w:left w:val="none" w:sz="0" w:space="0" w:color="auto"/>
        <w:bottom w:val="none" w:sz="0" w:space="0" w:color="auto"/>
        <w:right w:val="none" w:sz="0" w:space="0" w:color="auto"/>
      </w:divBdr>
    </w:div>
    <w:div w:id="153256877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ica.md/newsview.php?l=ro&amp;idc=168&amp;id=55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 inmatriculare.xlsx]Sheet1'!$D$1:$D$3</c:f>
              <c:strCache>
                <c:ptCount val="3"/>
                <c:pt idx="0">
                  <c:v>2015-2016</c:v>
                </c:pt>
                <c:pt idx="1">
                  <c:v>Instituții publice</c:v>
                </c:pt>
                <c:pt idx="2">
                  <c:v>buget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'[Plan inmatriculare.xlsx]Sheet1'!$A$4:$C$27</c:f>
              <c:strCache>
                <c:ptCount val="24"/>
                <c:pt idx="1">
                  <c:v>Informatică   </c:v>
                </c:pt>
                <c:pt idx="2">
                  <c:v>Calculatoare</c:v>
                </c:pt>
                <c:pt idx="3">
                  <c:v>Informatică   </c:v>
                </c:pt>
                <c:pt idx="4">
                  <c:v>Administrarea aplicaţiilor web</c:v>
                </c:pt>
                <c:pt idx="5">
                  <c:v>Administrarea bazelor de date</c:v>
                </c:pt>
                <c:pt idx="6">
                  <c:v>Reţele de calculatoare</c:v>
                </c:pt>
                <c:pt idx="7">
                  <c:v>Programare şi analiza produselor de program</c:v>
                </c:pt>
                <c:pt idx="8">
                  <c:v>Informatică   </c:v>
                </c:pt>
                <c:pt idx="9">
                  <c:v>Cibernetică şi informatică economică</c:v>
                </c:pt>
                <c:pt idx="10">
                  <c:v>Informatică</c:v>
                </c:pt>
                <c:pt idx="11">
                  <c:v>Management informaţional</c:v>
                </c:pt>
                <c:pt idx="12">
                  <c:v>Informatică aplicată</c:v>
                </c:pt>
                <c:pt idx="13">
                  <c:v>Calculatoare</c:v>
                </c:pt>
                <c:pt idx="14">
                  <c:v>Tehnologii informaţionale</c:v>
                </c:pt>
                <c:pt idx="15">
                  <c:v>Securitate informaţională</c:v>
                </c:pt>
                <c:pt idx="16">
                  <c:v>Informatică</c:v>
                </c:pt>
                <c:pt idx="17">
                  <c:v>Calculatoare și rețele</c:v>
                </c:pt>
                <c:pt idx="18">
                  <c:v>Managementul informației</c:v>
                </c:pt>
                <c:pt idx="19">
                  <c:v>Tehnologa informaţiei</c:v>
                </c:pt>
                <c:pt idx="20">
                  <c:v>Securitate informaţională</c:v>
                </c:pt>
                <c:pt idx="21">
                  <c:v>Ingineria software</c:v>
                </c:pt>
                <c:pt idx="22">
                  <c:v>Informatică</c:v>
                </c:pt>
                <c:pt idx="23">
                  <c:v>Informatică aplicată</c:v>
                </c:pt>
              </c:strCache>
              <c:extLst/>
            </c:strRef>
          </c:cat>
          <c:val>
            <c:numRef>
              <c:f>'[Plan inmatriculare.xlsx]Sheet1'!$D$4:$D$27</c:f>
              <c:numCache>
                <c:formatCode>General</c:formatCode>
                <c:ptCount val="24"/>
                <c:pt idx="0">
                  <c:v>825</c:v>
                </c:pt>
                <c:pt idx="1">
                  <c:v>190</c:v>
                </c:pt>
                <c:pt idx="2">
                  <c:v>95</c:v>
                </c:pt>
                <c:pt idx="3">
                  <c:v>20</c:v>
                </c:pt>
                <c:pt idx="8">
                  <c:v>100</c:v>
                </c:pt>
                <c:pt idx="9">
                  <c:v>25</c:v>
                </c:pt>
                <c:pt idx="10">
                  <c:v>90</c:v>
                </c:pt>
                <c:pt idx="11">
                  <c:v>40</c:v>
                </c:pt>
                <c:pt idx="12">
                  <c:v>75</c:v>
                </c:pt>
                <c:pt idx="13">
                  <c:v>45</c:v>
                </c:pt>
                <c:pt idx="14">
                  <c:v>105</c:v>
                </c:pt>
                <c:pt idx="15">
                  <c:v>30</c:v>
                </c:pt>
                <c:pt idx="16">
                  <c:v>10</c:v>
                </c:pt>
              </c:numCache>
            </c:numRef>
          </c:val>
        </c:ser>
        <c:ser>
          <c:idx val="1"/>
          <c:order val="1"/>
          <c:tx>
            <c:strRef>
              <c:f>'[Plan inmatriculare.xlsx]Sheet1'!$E$1:$E$3</c:f>
              <c:strCache>
                <c:ptCount val="3"/>
                <c:pt idx="0">
                  <c:v>2015-2016</c:v>
                </c:pt>
                <c:pt idx="1">
                  <c:v>Instituții publice</c:v>
                </c:pt>
                <c:pt idx="2">
                  <c:v>contract</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'[Plan inmatriculare.xlsx]Sheet1'!$A$4:$C$27</c:f>
              <c:strCache>
                <c:ptCount val="24"/>
                <c:pt idx="1">
                  <c:v>Informatică   </c:v>
                </c:pt>
                <c:pt idx="2">
                  <c:v>Calculatoare</c:v>
                </c:pt>
                <c:pt idx="3">
                  <c:v>Informatică   </c:v>
                </c:pt>
                <c:pt idx="4">
                  <c:v>Administrarea aplicaţiilor web</c:v>
                </c:pt>
                <c:pt idx="5">
                  <c:v>Administrarea bazelor de date</c:v>
                </c:pt>
                <c:pt idx="6">
                  <c:v>Reţele de calculatoare</c:v>
                </c:pt>
                <c:pt idx="7">
                  <c:v>Programare şi analiza produselor de program</c:v>
                </c:pt>
                <c:pt idx="8">
                  <c:v>Informatică   </c:v>
                </c:pt>
                <c:pt idx="9">
                  <c:v>Cibernetică şi informatică economică</c:v>
                </c:pt>
                <c:pt idx="10">
                  <c:v>Informatică</c:v>
                </c:pt>
                <c:pt idx="11">
                  <c:v>Management informaţional</c:v>
                </c:pt>
                <c:pt idx="12">
                  <c:v>Informatică aplicată</c:v>
                </c:pt>
                <c:pt idx="13">
                  <c:v>Calculatoare</c:v>
                </c:pt>
                <c:pt idx="14">
                  <c:v>Tehnologii informaţionale</c:v>
                </c:pt>
                <c:pt idx="15">
                  <c:v>Securitate informaţională</c:v>
                </c:pt>
                <c:pt idx="16">
                  <c:v>Informatică</c:v>
                </c:pt>
                <c:pt idx="17">
                  <c:v>Calculatoare și rețele</c:v>
                </c:pt>
                <c:pt idx="18">
                  <c:v>Managementul informației</c:v>
                </c:pt>
                <c:pt idx="19">
                  <c:v>Tehnologa informaţiei</c:v>
                </c:pt>
                <c:pt idx="20">
                  <c:v>Securitate informaţională</c:v>
                </c:pt>
                <c:pt idx="21">
                  <c:v>Ingineria software</c:v>
                </c:pt>
                <c:pt idx="22">
                  <c:v>Informatică</c:v>
                </c:pt>
                <c:pt idx="23">
                  <c:v>Informatică aplicată</c:v>
                </c:pt>
              </c:strCache>
              <c:extLst/>
            </c:strRef>
          </c:cat>
          <c:val>
            <c:numRef>
              <c:f>'[Plan inmatriculare.xlsx]Sheet1'!$E$4:$E$27</c:f>
              <c:numCache>
                <c:formatCode>General</c:formatCode>
                <c:ptCount val="24"/>
                <c:pt idx="0">
                  <c:v>1040</c:v>
                </c:pt>
                <c:pt idx="1">
                  <c:v>290</c:v>
                </c:pt>
                <c:pt idx="2">
                  <c:v>125</c:v>
                </c:pt>
                <c:pt idx="3">
                  <c:v>5</c:v>
                </c:pt>
                <c:pt idx="8">
                  <c:v>50</c:v>
                </c:pt>
                <c:pt idx="9">
                  <c:v>85</c:v>
                </c:pt>
                <c:pt idx="10">
                  <c:v>85</c:v>
                </c:pt>
                <c:pt idx="11">
                  <c:v>45</c:v>
                </c:pt>
                <c:pt idx="12">
                  <c:v>80</c:v>
                </c:pt>
                <c:pt idx="13">
                  <c:v>60</c:v>
                </c:pt>
                <c:pt idx="14">
                  <c:v>185</c:v>
                </c:pt>
                <c:pt idx="15">
                  <c:v>30</c:v>
                </c:pt>
              </c:numCache>
            </c:numRef>
          </c:val>
        </c:ser>
        <c:ser>
          <c:idx val="2"/>
          <c:order val="2"/>
          <c:tx>
            <c:strRef>
              <c:f>'[Plan inmatriculare.xlsx]Sheet1'!$F$1:$F$3</c:f>
              <c:strCache>
                <c:ptCount val="3"/>
                <c:pt idx="0">
                  <c:v>2015-2016</c:v>
                </c:pt>
                <c:pt idx="1">
                  <c:v>Instituții private</c:v>
                </c:pt>
                <c:pt idx="2">
                  <c:v>contract</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'[Plan inmatriculare.xlsx]Sheet1'!$A$4:$C$27</c:f>
              <c:strCache>
                <c:ptCount val="24"/>
                <c:pt idx="1">
                  <c:v>Informatică   </c:v>
                </c:pt>
                <c:pt idx="2">
                  <c:v>Calculatoare</c:v>
                </c:pt>
                <c:pt idx="3">
                  <c:v>Informatică   </c:v>
                </c:pt>
                <c:pt idx="4">
                  <c:v>Administrarea aplicaţiilor web</c:v>
                </c:pt>
                <c:pt idx="5">
                  <c:v>Administrarea bazelor de date</c:v>
                </c:pt>
                <c:pt idx="6">
                  <c:v>Reţele de calculatoare</c:v>
                </c:pt>
                <c:pt idx="7">
                  <c:v>Programare şi analiza produselor de program</c:v>
                </c:pt>
                <c:pt idx="8">
                  <c:v>Informatică   </c:v>
                </c:pt>
                <c:pt idx="9">
                  <c:v>Cibernetică şi informatică economică</c:v>
                </c:pt>
                <c:pt idx="10">
                  <c:v>Informatică</c:v>
                </c:pt>
                <c:pt idx="11">
                  <c:v>Management informaţional</c:v>
                </c:pt>
                <c:pt idx="12">
                  <c:v>Informatică aplicată</c:v>
                </c:pt>
                <c:pt idx="13">
                  <c:v>Calculatoare</c:v>
                </c:pt>
                <c:pt idx="14">
                  <c:v>Tehnologii informaţionale</c:v>
                </c:pt>
                <c:pt idx="15">
                  <c:v>Securitate informaţională</c:v>
                </c:pt>
                <c:pt idx="16">
                  <c:v>Informatică</c:v>
                </c:pt>
                <c:pt idx="17">
                  <c:v>Calculatoare și rețele</c:v>
                </c:pt>
                <c:pt idx="18">
                  <c:v>Managementul informației</c:v>
                </c:pt>
                <c:pt idx="19">
                  <c:v>Tehnologa informaţiei</c:v>
                </c:pt>
                <c:pt idx="20">
                  <c:v>Securitate informaţională</c:v>
                </c:pt>
                <c:pt idx="21">
                  <c:v>Ingineria software</c:v>
                </c:pt>
                <c:pt idx="22">
                  <c:v>Informatică</c:v>
                </c:pt>
                <c:pt idx="23">
                  <c:v>Informatică aplicată</c:v>
                </c:pt>
              </c:strCache>
              <c:extLst/>
            </c:strRef>
          </c:cat>
          <c:val>
            <c:numRef>
              <c:f>'[Plan inmatriculare.xlsx]Sheet1'!$F$4:$F$27</c:f>
              <c:numCache>
                <c:formatCode>General</c:formatCode>
                <c:ptCount val="24"/>
                <c:pt idx="0">
                  <c:v>305</c:v>
                </c:pt>
                <c:pt idx="1">
                  <c:v>40</c:v>
                </c:pt>
                <c:pt idx="8">
                  <c:v>15</c:v>
                </c:pt>
                <c:pt idx="9">
                  <c:v>40</c:v>
                </c:pt>
                <c:pt idx="10">
                  <c:v>45</c:v>
                </c:pt>
                <c:pt idx="11">
                  <c:v>10</c:v>
                </c:pt>
                <c:pt idx="12">
                  <c:v>25</c:v>
                </c:pt>
                <c:pt idx="13">
                  <c:v>45</c:v>
                </c:pt>
                <c:pt idx="14">
                  <c:v>85</c:v>
                </c:pt>
              </c:numCache>
            </c:numRef>
          </c:val>
        </c:ser>
        <c:dLbls>
          <c:showLegendKey val="0"/>
          <c:showVal val="0"/>
          <c:showCatName val="0"/>
          <c:showSerName val="0"/>
          <c:showPercent val="0"/>
          <c:showBubbleSize val="0"/>
        </c:dLbls>
        <c:gapWidth val="219"/>
        <c:overlap val="-27"/>
        <c:axId val="337602896"/>
        <c:axId val="340392896"/>
      </c:barChart>
      <c:lineChart>
        <c:grouping val="standard"/>
        <c:varyColors val="0"/>
        <c:ser>
          <c:idx val="3"/>
          <c:order val="3"/>
          <c:tx>
            <c:strRef>
              <c:f>'[Plan inmatriculare.xlsx]Sheet1'!$G$1:$G$3</c:f>
              <c:strCache>
                <c:ptCount val="3"/>
                <c:pt idx="0">
                  <c:v>2015-2016</c:v>
                </c:pt>
                <c:pt idx="1">
                  <c:v>TOTAL</c:v>
                </c:pt>
                <c:pt idx="2">
                  <c:v>contract</c:v>
                </c:pt>
              </c:strCache>
            </c:strRef>
          </c:tx>
          <c:spPr>
            <a:ln w="31750" cap="rnd">
              <a:solidFill>
                <a:schemeClr val="accent4"/>
              </a:solidFill>
              <a:round/>
            </a:ln>
            <a:effectLst>
              <a:outerShdw blurRad="40000" dist="23000" dir="5400000" rotWithShape="0">
                <a:srgbClr val="000000">
                  <a:alpha val="35000"/>
                </a:srgbClr>
              </a:outerShdw>
            </a:effectLst>
          </c:spPr>
          <c:marker>
            <c:symbol val="none"/>
          </c:marker>
          <c:cat>
            <c:strRef>
              <c:f>'[Plan inmatriculare.xlsx]Sheet1'!$A$4:$C$27</c:f>
              <c:strCache>
                <c:ptCount val="24"/>
                <c:pt idx="1">
                  <c:v>Informatică   </c:v>
                </c:pt>
                <c:pt idx="2">
                  <c:v>Calculatoare</c:v>
                </c:pt>
                <c:pt idx="3">
                  <c:v>Informatică   </c:v>
                </c:pt>
                <c:pt idx="4">
                  <c:v>Administrarea aplicaţiilor web</c:v>
                </c:pt>
                <c:pt idx="5">
                  <c:v>Administrarea bazelor de date</c:v>
                </c:pt>
                <c:pt idx="6">
                  <c:v>Reţele de calculatoare</c:v>
                </c:pt>
                <c:pt idx="7">
                  <c:v>Programare şi analiza produselor de program</c:v>
                </c:pt>
                <c:pt idx="8">
                  <c:v>Informatică   </c:v>
                </c:pt>
                <c:pt idx="9">
                  <c:v>Cibernetică şi informatică economică</c:v>
                </c:pt>
                <c:pt idx="10">
                  <c:v>Informatică</c:v>
                </c:pt>
                <c:pt idx="11">
                  <c:v>Management informaţional</c:v>
                </c:pt>
                <c:pt idx="12">
                  <c:v>Informatică aplicată</c:v>
                </c:pt>
                <c:pt idx="13">
                  <c:v>Calculatoare</c:v>
                </c:pt>
                <c:pt idx="14">
                  <c:v>Tehnologii informaţionale</c:v>
                </c:pt>
                <c:pt idx="15">
                  <c:v>Securitate informaţională</c:v>
                </c:pt>
                <c:pt idx="16">
                  <c:v>Informatică</c:v>
                </c:pt>
                <c:pt idx="17">
                  <c:v>Calculatoare și rețele</c:v>
                </c:pt>
                <c:pt idx="18">
                  <c:v>Managementul informației</c:v>
                </c:pt>
                <c:pt idx="19">
                  <c:v>Tehnologa informaţiei</c:v>
                </c:pt>
                <c:pt idx="20">
                  <c:v>Securitate informaţională</c:v>
                </c:pt>
                <c:pt idx="21">
                  <c:v>Ingineria software</c:v>
                </c:pt>
                <c:pt idx="22">
                  <c:v>Informatică</c:v>
                </c:pt>
                <c:pt idx="23">
                  <c:v>Informatică aplicată</c:v>
                </c:pt>
              </c:strCache>
              <c:extLst/>
            </c:strRef>
          </c:cat>
          <c:val>
            <c:numRef>
              <c:f>'[Plan inmatriculare.xlsx]Sheet1'!$G$4:$G$27</c:f>
              <c:numCache>
                <c:formatCode>General</c:formatCode>
                <c:ptCount val="24"/>
                <c:pt idx="0">
                  <c:v>2170</c:v>
                </c:pt>
                <c:pt idx="1">
                  <c:v>520</c:v>
                </c:pt>
                <c:pt idx="2">
                  <c:v>220</c:v>
                </c:pt>
                <c:pt idx="3">
                  <c:v>25</c:v>
                </c:pt>
                <c:pt idx="8">
                  <c:v>165</c:v>
                </c:pt>
                <c:pt idx="9">
                  <c:v>150</c:v>
                </c:pt>
                <c:pt idx="10">
                  <c:v>220</c:v>
                </c:pt>
                <c:pt idx="11">
                  <c:v>95</c:v>
                </c:pt>
                <c:pt idx="12">
                  <c:v>180</c:v>
                </c:pt>
                <c:pt idx="13">
                  <c:v>150</c:v>
                </c:pt>
                <c:pt idx="14">
                  <c:v>375</c:v>
                </c:pt>
                <c:pt idx="15">
                  <c:v>60</c:v>
                </c:pt>
                <c:pt idx="16">
                  <c:v>10</c:v>
                </c:pt>
              </c:numCache>
            </c:numRef>
          </c:val>
          <c:smooth val="0"/>
        </c:ser>
        <c:dLbls>
          <c:showLegendKey val="0"/>
          <c:showVal val="0"/>
          <c:showCatName val="0"/>
          <c:showSerName val="0"/>
          <c:showPercent val="0"/>
          <c:showBubbleSize val="0"/>
        </c:dLbls>
        <c:marker val="1"/>
        <c:smooth val="0"/>
        <c:axId val="337602896"/>
        <c:axId val="340392896"/>
      </c:lineChart>
      <c:catAx>
        <c:axId val="3376028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0392896"/>
        <c:crosses val="autoZero"/>
        <c:auto val="1"/>
        <c:lblAlgn val="ctr"/>
        <c:lblOffset val="100"/>
        <c:noMultiLvlLbl val="0"/>
      </c:catAx>
      <c:valAx>
        <c:axId val="3403928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3760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DFB67-3FEC-4F6B-960D-5012458D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2481</TotalTime>
  <Pages>19</Pages>
  <Words>8397</Words>
  <Characters>47869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Oxana</cp:lastModifiedBy>
  <cp:revision>212</cp:revision>
  <cp:lastPrinted>2017-12-28T08:26:00Z</cp:lastPrinted>
  <dcterms:created xsi:type="dcterms:W3CDTF">2017-12-12T11:46:00Z</dcterms:created>
  <dcterms:modified xsi:type="dcterms:W3CDTF">2017-12-29T09:51:00Z</dcterms:modified>
</cp:coreProperties>
</file>