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28" w:rsidRPr="00C87322" w:rsidRDefault="00793F28" w:rsidP="00793F28">
      <w:pPr>
        <w:jc w:val="center"/>
        <w:rPr>
          <w:b/>
          <w:lang w:val="ro-RO"/>
        </w:rPr>
      </w:pPr>
      <w:r w:rsidRPr="00C87322">
        <w:rPr>
          <w:b/>
          <w:lang w:val="ro-RO"/>
        </w:rPr>
        <w:t>Tabel de concordanţă</w:t>
      </w:r>
    </w:p>
    <w:p w:rsidR="00793F28" w:rsidRPr="00C87322" w:rsidRDefault="00793F28" w:rsidP="00793F28">
      <w:pPr>
        <w:jc w:val="center"/>
        <w:rPr>
          <w:rFonts w:eastAsia="Calibri"/>
          <w:b/>
          <w:lang w:val="ro-RO"/>
        </w:rPr>
      </w:pPr>
      <w:r w:rsidRPr="00C87322">
        <w:rPr>
          <w:b/>
          <w:lang w:val="ro-RO"/>
        </w:rPr>
        <w:t xml:space="preserve">la </w:t>
      </w:r>
      <w:r w:rsidRPr="00C87322">
        <w:rPr>
          <w:rFonts w:eastAsia="Calibri"/>
          <w:b/>
          <w:lang w:val="ro-RO"/>
        </w:rPr>
        <w:t>proiectul Ordinului Ministerului Agriculturii, Dezvoltării Regionale și Mediului cu</w:t>
      </w:r>
    </w:p>
    <w:p w:rsidR="00793F28" w:rsidRPr="00C87322" w:rsidRDefault="00793F28" w:rsidP="00793F28">
      <w:pPr>
        <w:jc w:val="center"/>
        <w:rPr>
          <w:lang w:val="ro-RO"/>
        </w:rPr>
      </w:pPr>
      <w:r w:rsidRPr="00C87322">
        <w:rPr>
          <w:rFonts w:eastAsia="Calibri"/>
          <w:b/>
          <w:lang w:val="ro-RO"/>
        </w:rPr>
        <w:t>privire la abrogarea unor Ordine ale Ministerului Agriculturii și Industriei Alimentare</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260"/>
        <w:gridCol w:w="1418"/>
        <w:gridCol w:w="3827"/>
        <w:gridCol w:w="1418"/>
        <w:gridCol w:w="1275"/>
      </w:tblGrid>
      <w:tr w:rsidR="00793F28" w:rsidRPr="00C87322" w:rsidTr="0078151F">
        <w:trPr>
          <w:gridAfter w:val="1"/>
          <w:wAfter w:w="1275" w:type="dxa"/>
          <w:trHeight w:val="550"/>
        </w:trPr>
        <w:tc>
          <w:tcPr>
            <w:tcW w:w="13609" w:type="dxa"/>
            <w:gridSpan w:val="5"/>
          </w:tcPr>
          <w:p w:rsidR="00793F28" w:rsidRPr="00C87322" w:rsidRDefault="00793F28" w:rsidP="00E95CA9">
            <w:pPr>
              <w:jc w:val="both"/>
              <w:rPr>
                <w:lang w:val="ro-RO"/>
              </w:rPr>
            </w:pPr>
          </w:p>
          <w:p w:rsidR="00793F28" w:rsidRPr="00C87322" w:rsidRDefault="00793F28" w:rsidP="00E95CA9">
            <w:pPr>
              <w:jc w:val="center"/>
              <w:rPr>
                <w:b/>
                <w:lang w:val="ro-RO"/>
              </w:rPr>
            </w:pPr>
            <w:r w:rsidRPr="00C87322">
              <w:rPr>
                <w:b/>
                <w:lang w:val="ro-RO"/>
              </w:rPr>
              <w:t>1.Titlul actului comunitar, subiectul reglementat şi scopul acestuia</w:t>
            </w:r>
          </w:p>
          <w:p w:rsidR="002832D0" w:rsidRPr="00C87322" w:rsidRDefault="002832D0" w:rsidP="00E95CA9">
            <w:pPr>
              <w:jc w:val="center"/>
              <w:rPr>
                <w:b/>
                <w:lang w:val="ro-RO"/>
              </w:rPr>
            </w:pPr>
          </w:p>
          <w:p w:rsidR="00793F28" w:rsidRPr="00C87322" w:rsidRDefault="00793F28" w:rsidP="002832D0">
            <w:pPr>
              <w:pStyle w:val="Default"/>
              <w:jc w:val="both"/>
              <w:rPr>
                <w:bCs/>
                <w:lang w:val="ro-RO"/>
              </w:rPr>
            </w:pPr>
            <w:r w:rsidRPr="00C87322">
              <w:rPr>
                <w:bCs/>
                <w:lang w:val="ro-RO"/>
              </w:rPr>
              <w:t>Directiva 2004/41/CE a Parlamentului European și a Consiliului din 21 aprilie 2004 de abrogare a unor directive privind igiena alimentară și normele sanitar-veterinare referitoare la producția și comercializarea anumitor produse de origine animală destinate consumului uman și de modificare a Directivelor 89/662/CEE și 92/118/CEE ale Consiliului, precum și a Deciziei 95/408/CE a Consiliului publicat în Jurnalul Oficial al Uniunii Europene L 157/33 din 30 aprilie 2004</w:t>
            </w:r>
          </w:p>
          <w:p w:rsidR="00793F28" w:rsidRPr="00C87322" w:rsidRDefault="00793F28" w:rsidP="002832D0">
            <w:pPr>
              <w:pStyle w:val="Default"/>
              <w:jc w:val="both"/>
              <w:rPr>
                <w:bCs/>
                <w:lang w:val="ro-RO"/>
              </w:rPr>
            </w:pPr>
            <w:r w:rsidRPr="00C87322">
              <w:rPr>
                <w:bCs/>
                <w:lang w:val="ro-RO"/>
              </w:rPr>
              <w:t>Directive 2004/41/EC of the European Parliament and of the Council of 21 april 2004 repealing certain directives concerning food hygiene and health conditions for the production and placing on the market of certain products of animal origin intended for human consumption and amending council Directives 89/662/EEC and 92/118/EEC and Council Decision 95/408/EC published in the Official Journal of European Union L 157 of 30 april 2004</w:t>
            </w:r>
          </w:p>
          <w:p w:rsidR="00793F28" w:rsidRPr="00C87322" w:rsidRDefault="00793F28" w:rsidP="002832D0">
            <w:pPr>
              <w:pStyle w:val="Default"/>
              <w:spacing w:before="120"/>
              <w:rPr>
                <w:rFonts w:eastAsia="Arial Unicode MS"/>
                <w:lang w:val="ro-RO" w:eastAsia="ru-RU"/>
              </w:rPr>
            </w:pPr>
            <w:r w:rsidRPr="00C87322">
              <w:rPr>
                <w:b/>
                <w:lang w:val="ro-RO"/>
              </w:rPr>
              <w:t>Subiectul</w:t>
            </w:r>
            <w:r w:rsidRPr="00C87322">
              <w:rPr>
                <w:lang w:val="ro-RO"/>
              </w:rPr>
              <w:t xml:space="preserve">: </w:t>
            </w:r>
            <w:r w:rsidR="0084270C" w:rsidRPr="00C87322">
              <w:rPr>
                <w:lang w:val="ro-RO"/>
              </w:rPr>
              <w:t>igiena alimentară și producerea și comercilizarea a produselor de origine animală destinată consumului uman</w:t>
            </w:r>
          </w:p>
          <w:p w:rsidR="00793F28" w:rsidRPr="00C87322" w:rsidRDefault="00793F28" w:rsidP="00E95CA9">
            <w:pPr>
              <w:pStyle w:val="Default"/>
              <w:rPr>
                <w:lang w:val="ro-RO"/>
              </w:rPr>
            </w:pPr>
            <w:r w:rsidRPr="00C87322">
              <w:rPr>
                <w:b/>
                <w:lang w:val="ro-RO"/>
              </w:rPr>
              <w:t>The subject:</w:t>
            </w:r>
            <w:r w:rsidRPr="00C87322">
              <w:rPr>
                <w:lang w:val="ro-RO"/>
              </w:rPr>
              <w:t xml:space="preserve"> </w:t>
            </w:r>
            <w:r w:rsidR="0084270C" w:rsidRPr="00C87322">
              <w:rPr>
                <w:lang w:val="ro-RO"/>
              </w:rPr>
              <w:t>food hygiene and the production and marketing of animal products intended for human consumption</w:t>
            </w:r>
          </w:p>
          <w:p w:rsidR="00793F28" w:rsidRPr="00C87322" w:rsidRDefault="00793F28" w:rsidP="002832D0">
            <w:pPr>
              <w:pStyle w:val="Default"/>
              <w:spacing w:before="120"/>
              <w:rPr>
                <w:lang w:val="ro-RO"/>
              </w:rPr>
            </w:pPr>
            <w:r w:rsidRPr="00C87322">
              <w:rPr>
                <w:b/>
                <w:lang w:val="ro-RO"/>
              </w:rPr>
              <w:t>Scopul</w:t>
            </w:r>
            <w:r w:rsidRPr="00C87322">
              <w:rPr>
                <w:lang w:val="ro-RO"/>
              </w:rPr>
              <w:t xml:space="preserve">: </w:t>
            </w:r>
            <w:r w:rsidR="0084270C" w:rsidRPr="00C87322">
              <w:rPr>
                <w:lang w:val="ro-RO"/>
              </w:rPr>
              <w:t xml:space="preserve">abrogarea directivelor a căror norme au fost incluse în regulamentele cu privire la igiena produselor alimentare </w:t>
            </w:r>
            <w:r w:rsidR="002832D0" w:rsidRPr="00C87322">
              <w:rPr>
                <w:lang w:val="ro-RO"/>
              </w:rPr>
              <w:t>și cel cu privire la controalele oficiale privind produsele alimentare de origine animală</w:t>
            </w:r>
            <w:r w:rsidRPr="00C87322">
              <w:rPr>
                <w:lang w:val="ro-RO"/>
              </w:rPr>
              <w:t>.</w:t>
            </w:r>
          </w:p>
          <w:p w:rsidR="00793F28" w:rsidRPr="00C87322" w:rsidRDefault="00793F28" w:rsidP="002832D0">
            <w:pPr>
              <w:pStyle w:val="Default"/>
              <w:rPr>
                <w:lang w:val="ro-RO"/>
              </w:rPr>
            </w:pPr>
            <w:r w:rsidRPr="00C87322">
              <w:rPr>
                <w:b/>
                <w:shd w:val="clear" w:color="auto" w:fill="FFFFFF"/>
                <w:lang w:val="ro-RO"/>
              </w:rPr>
              <w:t>Scope</w:t>
            </w:r>
            <w:r w:rsidRPr="00C87322">
              <w:rPr>
                <w:lang w:val="ro-RO"/>
              </w:rPr>
              <w:t xml:space="preserve">: </w:t>
            </w:r>
            <w:r w:rsidR="002832D0" w:rsidRPr="00C87322">
              <w:rPr>
                <w:lang w:val="ro-RO"/>
              </w:rPr>
              <w:t>the repeal of directives whose rules have been included in the regulations on food hygiene and the official controls on food of animal origin</w:t>
            </w:r>
          </w:p>
        </w:tc>
      </w:tr>
      <w:tr w:rsidR="00793F28" w:rsidRPr="00C87322" w:rsidTr="0078151F">
        <w:trPr>
          <w:gridAfter w:val="1"/>
          <w:wAfter w:w="1275" w:type="dxa"/>
        </w:trPr>
        <w:tc>
          <w:tcPr>
            <w:tcW w:w="13609" w:type="dxa"/>
            <w:gridSpan w:val="5"/>
          </w:tcPr>
          <w:p w:rsidR="002832D0" w:rsidRPr="00C87322" w:rsidRDefault="002832D0" w:rsidP="00E95CA9">
            <w:pPr>
              <w:jc w:val="center"/>
              <w:rPr>
                <w:b/>
                <w:lang w:val="ro-RO"/>
              </w:rPr>
            </w:pPr>
          </w:p>
          <w:p w:rsidR="00793F28" w:rsidRPr="00C87322" w:rsidRDefault="00793F28" w:rsidP="00E95CA9">
            <w:pPr>
              <w:jc w:val="center"/>
              <w:rPr>
                <w:b/>
                <w:lang w:val="ro-RO"/>
              </w:rPr>
            </w:pPr>
            <w:r w:rsidRPr="00C87322">
              <w:rPr>
                <w:b/>
                <w:lang w:val="ro-RO"/>
              </w:rPr>
              <w:t>2.Titlul actului normativ naţional, subiectul reglementat şi scopul acestuia</w:t>
            </w:r>
          </w:p>
          <w:p w:rsidR="002832D0" w:rsidRPr="00C87322" w:rsidRDefault="002832D0" w:rsidP="00E95CA9">
            <w:pPr>
              <w:jc w:val="center"/>
              <w:rPr>
                <w:bCs/>
                <w:color w:val="000000"/>
                <w:lang w:val="ro-RO" w:eastAsia="ru-RU"/>
              </w:rPr>
            </w:pPr>
          </w:p>
          <w:p w:rsidR="00793F28" w:rsidRPr="00C87322" w:rsidRDefault="002832D0" w:rsidP="002832D0">
            <w:pPr>
              <w:jc w:val="both"/>
              <w:rPr>
                <w:bCs/>
                <w:color w:val="000000"/>
                <w:lang w:val="ro-RO"/>
              </w:rPr>
            </w:pPr>
            <w:r w:rsidRPr="00C87322">
              <w:rPr>
                <w:bCs/>
                <w:color w:val="000000"/>
                <w:lang w:val="ro-RO"/>
              </w:rPr>
              <w:t>Ordinul Ministerului Agriculturii, Dezvoltării Regionale și Mediului cu privire la abrogarea unor Ordine ale Ministerului Agriculturii și Industriei Alimentare</w:t>
            </w:r>
          </w:p>
          <w:p w:rsidR="002832D0" w:rsidRPr="00C87322" w:rsidRDefault="002832D0" w:rsidP="002832D0">
            <w:pPr>
              <w:jc w:val="both"/>
              <w:rPr>
                <w:bCs/>
                <w:color w:val="000000"/>
                <w:lang w:val="ro-RO"/>
              </w:rPr>
            </w:pPr>
            <w:r w:rsidRPr="00C87322">
              <w:rPr>
                <w:bCs/>
                <w:color w:val="000000"/>
                <w:lang w:val="ro-RO"/>
              </w:rPr>
              <w:t>Order of the Ministry of Agriculture, Regional Development and Environment on the repeal of some orders of the Ministry of Agriculture and Food Industry</w:t>
            </w:r>
          </w:p>
          <w:p w:rsidR="00793F28" w:rsidRPr="00C87322" w:rsidRDefault="00793F28" w:rsidP="002832D0">
            <w:pPr>
              <w:spacing w:before="120"/>
              <w:jc w:val="both"/>
              <w:rPr>
                <w:noProof/>
                <w:lang w:val="ro-RO"/>
              </w:rPr>
            </w:pPr>
            <w:r w:rsidRPr="00C87322">
              <w:rPr>
                <w:b/>
                <w:lang w:val="ro-RO"/>
              </w:rPr>
              <w:t>Subiectul:</w:t>
            </w:r>
            <w:r w:rsidRPr="00C87322">
              <w:rPr>
                <w:noProof/>
                <w:lang w:val="ro-RO"/>
              </w:rPr>
              <w:t xml:space="preserve"> </w:t>
            </w:r>
            <w:r w:rsidR="002832D0" w:rsidRPr="00C87322">
              <w:rPr>
                <w:lang w:val="ro-RO"/>
              </w:rPr>
              <w:t>igiena alimentară și producerea și comercilizarea a produselor de origine animală destinată consumului uman</w:t>
            </w:r>
          </w:p>
          <w:p w:rsidR="00793F28" w:rsidRPr="00C87322" w:rsidRDefault="00793F28" w:rsidP="00E95CA9">
            <w:pPr>
              <w:jc w:val="both"/>
              <w:rPr>
                <w:color w:val="000000"/>
                <w:lang w:val="ro-RO"/>
              </w:rPr>
            </w:pPr>
            <w:r w:rsidRPr="00C87322">
              <w:rPr>
                <w:b/>
                <w:lang w:val="ro-RO"/>
              </w:rPr>
              <w:t>The subject:</w:t>
            </w:r>
            <w:r w:rsidRPr="00C87322">
              <w:rPr>
                <w:lang w:val="ro-RO"/>
              </w:rPr>
              <w:t xml:space="preserve"> </w:t>
            </w:r>
            <w:r w:rsidR="002832D0" w:rsidRPr="00C87322">
              <w:rPr>
                <w:lang w:val="ro-RO"/>
              </w:rPr>
              <w:t>food hygiene and the production and marketing of animal products intended for human consumption</w:t>
            </w:r>
          </w:p>
          <w:p w:rsidR="002832D0" w:rsidRPr="00C87322" w:rsidRDefault="002832D0" w:rsidP="002832D0">
            <w:pPr>
              <w:spacing w:before="120"/>
              <w:jc w:val="both"/>
              <w:rPr>
                <w:lang w:val="ro-RO"/>
              </w:rPr>
            </w:pPr>
            <w:r w:rsidRPr="00C87322">
              <w:rPr>
                <w:b/>
                <w:lang w:val="ro-RO"/>
              </w:rPr>
              <w:t>Scopul</w:t>
            </w:r>
            <w:r w:rsidRPr="00C87322">
              <w:rPr>
                <w:lang w:val="ro-RO"/>
              </w:rPr>
              <w:t>: abrogarea Ordinelor Ministerului Agriculturii și Industriei Alimentare din domeniul sanitar-veterinar și siguranța alimentelor, prevederile cărora au fost ridicate la nivelul Legilor sau Hotărîrilor de Guvern</w:t>
            </w:r>
          </w:p>
          <w:p w:rsidR="00793F28" w:rsidRPr="00C87322" w:rsidRDefault="00793F28" w:rsidP="00E95CA9">
            <w:pPr>
              <w:jc w:val="both"/>
              <w:rPr>
                <w:lang w:val="ro-RO"/>
              </w:rPr>
            </w:pPr>
            <w:r w:rsidRPr="00C87322">
              <w:rPr>
                <w:b/>
                <w:shd w:val="clear" w:color="auto" w:fill="FFFFFF"/>
                <w:lang w:val="ro-RO"/>
              </w:rPr>
              <w:t>Scope</w:t>
            </w:r>
            <w:r w:rsidRPr="00C87322">
              <w:rPr>
                <w:lang w:val="ro-RO"/>
              </w:rPr>
              <w:t xml:space="preserve">: </w:t>
            </w:r>
            <w:r w:rsidR="002832D0" w:rsidRPr="00C87322">
              <w:rPr>
                <w:lang w:val="ro-RO"/>
              </w:rPr>
              <w:t>repealing the Orders of the Ministry of Agriculture and Food Industry in the field of veterinary and food safety, the provisions of which were raised in the Laws or Government Decisions</w:t>
            </w:r>
          </w:p>
        </w:tc>
      </w:tr>
      <w:tr w:rsidR="00793F28" w:rsidRPr="00C87322" w:rsidTr="0078151F">
        <w:trPr>
          <w:gridAfter w:val="1"/>
          <w:wAfter w:w="1275" w:type="dxa"/>
        </w:trPr>
        <w:tc>
          <w:tcPr>
            <w:tcW w:w="13609" w:type="dxa"/>
            <w:gridSpan w:val="5"/>
          </w:tcPr>
          <w:p w:rsidR="00793F28" w:rsidRPr="00C87322" w:rsidRDefault="00793F28" w:rsidP="0022642F">
            <w:pPr>
              <w:rPr>
                <w:b/>
                <w:lang w:val="ro-RO"/>
              </w:rPr>
            </w:pPr>
            <w:r w:rsidRPr="00C87322">
              <w:rPr>
                <w:b/>
                <w:lang w:val="ro-RO"/>
              </w:rPr>
              <w:lastRenderedPageBreak/>
              <w:t>3. Gradul de compatibilitate: compatibil</w:t>
            </w:r>
          </w:p>
        </w:tc>
      </w:tr>
      <w:tr w:rsidR="00A85569" w:rsidRPr="00C87322" w:rsidTr="0078151F">
        <w:tc>
          <w:tcPr>
            <w:tcW w:w="3686" w:type="dxa"/>
          </w:tcPr>
          <w:p w:rsidR="00793F28" w:rsidRPr="00C87322" w:rsidRDefault="00793F28" w:rsidP="00E95CA9">
            <w:pPr>
              <w:jc w:val="both"/>
              <w:rPr>
                <w:b/>
                <w:lang w:val="ro-RO"/>
              </w:rPr>
            </w:pPr>
            <w:r w:rsidRPr="00C87322">
              <w:rPr>
                <w:b/>
                <w:lang w:val="ro-RO"/>
              </w:rPr>
              <w:t>4</w:t>
            </w:r>
          </w:p>
        </w:tc>
        <w:tc>
          <w:tcPr>
            <w:tcW w:w="3260" w:type="dxa"/>
          </w:tcPr>
          <w:p w:rsidR="00793F28" w:rsidRPr="00C87322" w:rsidRDefault="00793F28" w:rsidP="00E95CA9">
            <w:pPr>
              <w:jc w:val="both"/>
              <w:rPr>
                <w:b/>
                <w:lang w:val="ro-RO"/>
              </w:rPr>
            </w:pPr>
            <w:r w:rsidRPr="00C87322">
              <w:rPr>
                <w:b/>
                <w:lang w:val="ro-RO"/>
              </w:rPr>
              <w:t>5</w:t>
            </w:r>
          </w:p>
        </w:tc>
        <w:tc>
          <w:tcPr>
            <w:tcW w:w="1418" w:type="dxa"/>
          </w:tcPr>
          <w:p w:rsidR="00793F28" w:rsidRPr="00C87322" w:rsidRDefault="00793F28" w:rsidP="00E95CA9">
            <w:pPr>
              <w:jc w:val="both"/>
              <w:rPr>
                <w:b/>
                <w:lang w:val="ro-RO"/>
              </w:rPr>
            </w:pPr>
            <w:r w:rsidRPr="00C87322">
              <w:rPr>
                <w:b/>
                <w:lang w:val="ro-RO"/>
              </w:rPr>
              <w:t>6</w:t>
            </w:r>
          </w:p>
        </w:tc>
        <w:tc>
          <w:tcPr>
            <w:tcW w:w="3827" w:type="dxa"/>
          </w:tcPr>
          <w:p w:rsidR="00793F28" w:rsidRPr="00C87322" w:rsidRDefault="00793F28" w:rsidP="00E95CA9">
            <w:pPr>
              <w:jc w:val="both"/>
              <w:rPr>
                <w:b/>
                <w:lang w:val="ro-RO"/>
              </w:rPr>
            </w:pPr>
            <w:r w:rsidRPr="00C87322">
              <w:rPr>
                <w:b/>
                <w:lang w:val="ro-RO"/>
              </w:rPr>
              <w:t>7</w:t>
            </w:r>
          </w:p>
        </w:tc>
        <w:tc>
          <w:tcPr>
            <w:tcW w:w="1418" w:type="dxa"/>
          </w:tcPr>
          <w:p w:rsidR="00793F28" w:rsidRPr="00C87322" w:rsidRDefault="00793F28" w:rsidP="00E95CA9">
            <w:pPr>
              <w:jc w:val="both"/>
              <w:rPr>
                <w:b/>
                <w:lang w:val="ro-RO"/>
              </w:rPr>
            </w:pPr>
            <w:r w:rsidRPr="00C87322">
              <w:rPr>
                <w:b/>
                <w:lang w:val="ro-RO"/>
              </w:rPr>
              <w:t>8</w:t>
            </w:r>
          </w:p>
        </w:tc>
        <w:tc>
          <w:tcPr>
            <w:tcW w:w="1275" w:type="dxa"/>
          </w:tcPr>
          <w:p w:rsidR="00793F28" w:rsidRPr="00C87322" w:rsidRDefault="00793F28" w:rsidP="00E95CA9">
            <w:pPr>
              <w:jc w:val="both"/>
              <w:rPr>
                <w:b/>
                <w:lang w:val="ro-RO"/>
              </w:rPr>
            </w:pPr>
            <w:r w:rsidRPr="00C87322">
              <w:rPr>
                <w:b/>
                <w:lang w:val="ro-RO"/>
              </w:rPr>
              <w:t>9</w:t>
            </w:r>
          </w:p>
        </w:tc>
      </w:tr>
      <w:tr w:rsidR="00A85569" w:rsidRPr="00C87322" w:rsidTr="0078151F">
        <w:tc>
          <w:tcPr>
            <w:tcW w:w="3686" w:type="dxa"/>
          </w:tcPr>
          <w:p w:rsidR="00793F28" w:rsidRPr="00C87322" w:rsidRDefault="00793F28" w:rsidP="00E95CA9">
            <w:pPr>
              <w:jc w:val="both"/>
              <w:rPr>
                <w:b/>
                <w:lang w:val="ro-RO"/>
              </w:rPr>
            </w:pPr>
            <w:r w:rsidRPr="00C87322">
              <w:rPr>
                <w:b/>
                <w:lang w:val="ro-RO"/>
              </w:rPr>
              <w:t>Prevederile şi cerinţele reglementărilor comunitare (articolul, paragraful)</w:t>
            </w:r>
          </w:p>
        </w:tc>
        <w:tc>
          <w:tcPr>
            <w:tcW w:w="3260" w:type="dxa"/>
          </w:tcPr>
          <w:p w:rsidR="00793F28" w:rsidRPr="00C87322" w:rsidRDefault="00793F28" w:rsidP="00E95CA9">
            <w:pPr>
              <w:jc w:val="both"/>
              <w:rPr>
                <w:b/>
                <w:lang w:val="ro-RO"/>
              </w:rPr>
            </w:pPr>
            <w:r w:rsidRPr="00C87322">
              <w:rPr>
                <w:b/>
                <w:lang w:val="ro-RO"/>
              </w:rPr>
              <w:t>Prevederile actului normativ naţional (capitolul, articolul, subparagraful, punctul etc.)</w:t>
            </w:r>
          </w:p>
        </w:tc>
        <w:tc>
          <w:tcPr>
            <w:tcW w:w="1418" w:type="dxa"/>
          </w:tcPr>
          <w:p w:rsidR="00793F28" w:rsidRPr="00C87322" w:rsidRDefault="00793F28" w:rsidP="00E95CA9">
            <w:pPr>
              <w:jc w:val="both"/>
              <w:rPr>
                <w:b/>
                <w:lang w:val="ro-RO"/>
              </w:rPr>
            </w:pPr>
            <w:r w:rsidRPr="00C87322">
              <w:rPr>
                <w:b/>
                <w:lang w:val="ro-RO"/>
              </w:rPr>
              <w:t>Diferenţe</w:t>
            </w:r>
          </w:p>
        </w:tc>
        <w:tc>
          <w:tcPr>
            <w:tcW w:w="3827" w:type="dxa"/>
          </w:tcPr>
          <w:p w:rsidR="00793F28" w:rsidRPr="00C87322" w:rsidRDefault="00793F28" w:rsidP="00E95CA9">
            <w:pPr>
              <w:jc w:val="both"/>
              <w:rPr>
                <w:b/>
                <w:lang w:val="ro-RO"/>
              </w:rPr>
            </w:pPr>
            <w:r w:rsidRPr="00C87322">
              <w:rPr>
                <w:b/>
                <w:lang w:val="ro-RO"/>
              </w:rPr>
              <w:t>Motivele ce explică faptul că proiectul este parţial compatibil sau incompatibil</w:t>
            </w:r>
          </w:p>
        </w:tc>
        <w:tc>
          <w:tcPr>
            <w:tcW w:w="1418" w:type="dxa"/>
          </w:tcPr>
          <w:p w:rsidR="00793F28" w:rsidRPr="00C87322" w:rsidRDefault="00793F28" w:rsidP="00E95CA9">
            <w:pPr>
              <w:jc w:val="both"/>
              <w:rPr>
                <w:b/>
                <w:lang w:val="ro-RO"/>
              </w:rPr>
            </w:pPr>
            <w:r w:rsidRPr="00C87322">
              <w:rPr>
                <w:b/>
                <w:lang w:val="ro-RO"/>
              </w:rPr>
              <w:t>Instituţia responsabilă</w:t>
            </w:r>
          </w:p>
        </w:tc>
        <w:tc>
          <w:tcPr>
            <w:tcW w:w="1275" w:type="dxa"/>
          </w:tcPr>
          <w:p w:rsidR="00793F28" w:rsidRPr="00C87322" w:rsidRDefault="00793F28" w:rsidP="00E95CA9">
            <w:pPr>
              <w:jc w:val="both"/>
              <w:rPr>
                <w:b/>
                <w:lang w:val="ro-RO"/>
              </w:rPr>
            </w:pPr>
            <w:r w:rsidRPr="00C87322">
              <w:rPr>
                <w:b/>
                <w:lang w:val="ro-RO"/>
              </w:rPr>
              <w:t>Termenul – limită de asigurare a compatibilităţii a actului naţional</w:t>
            </w:r>
          </w:p>
        </w:tc>
      </w:tr>
      <w:tr w:rsidR="00A83A8E" w:rsidRPr="00C87322" w:rsidTr="0078151F">
        <w:tc>
          <w:tcPr>
            <w:tcW w:w="3686" w:type="dxa"/>
          </w:tcPr>
          <w:p w:rsidR="00A83A8E" w:rsidRPr="00C87322" w:rsidRDefault="00A83A8E" w:rsidP="00E95CA9">
            <w:pPr>
              <w:jc w:val="both"/>
              <w:rPr>
                <w:lang w:val="ro-RO"/>
              </w:rPr>
            </w:pPr>
            <w:r w:rsidRPr="00C87322">
              <w:rPr>
                <w:lang w:val="ro-RO"/>
              </w:rPr>
              <w:t>Articolul 1</w:t>
            </w:r>
          </w:p>
          <w:p w:rsidR="00A83A8E" w:rsidRPr="00C87322" w:rsidRDefault="00A83A8E" w:rsidP="001A6D1B">
            <w:pPr>
              <w:jc w:val="both"/>
              <w:rPr>
                <w:lang w:val="ro-RO"/>
              </w:rPr>
            </w:pPr>
            <w:r w:rsidRPr="00C87322">
              <w:rPr>
                <w:lang w:val="ro-RO"/>
              </w:rPr>
              <w:t>În sensul prezentei directive, prin „dată pertinentă” se înțelege data de aplicare a Regulamentelor (CE) nr.</w:t>
            </w:r>
            <w:r w:rsidR="001A6D1B">
              <w:rPr>
                <w:lang w:val="ro-RO"/>
              </w:rPr>
              <w:t xml:space="preserve"> </w:t>
            </w:r>
            <w:r w:rsidRPr="00C87322">
              <w:rPr>
                <w:lang w:val="ro-RO"/>
              </w:rPr>
              <w:t>852/2004, (CE) nr.</w:t>
            </w:r>
            <w:r w:rsidR="001A6D1B">
              <w:rPr>
                <w:lang w:val="ro-RO"/>
              </w:rPr>
              <w:t xml:space="preserve"> </w:t>
            </w:r>
            <w:r w:rsidRPr="00C87322">
              <w:rPr>
                <w:lang w:val="ro-RO"/>
              </w:rPr>
              <w:t>853/2004 și (CE) nr.</w:t>
            </w:r>
            <w:r w:rsidR="001A6D1B">
              <w:rPr>
                <w:lang w:val="ro-RO"/>
              </w:rPr>
              <w:t xml:space="preserve"> </w:t>
            </w:r>
            <w:r w:rsidRPr="00C87322">
              <w:rPr>
                <w:lang w:val="ro-RO"/>
              </w:rPr>
              <w:t>854/2004.</w:t>
            </w:r>
          </w:p>
        </w:tc>
        <w:tc>
          <w:tcPr>
            <w:tcW w:w="3260" w:type="dxa"/>
          </w:tcPr>
          <w:p w:rsidR="00A83A8E" w:rsidRPr="00C87322" w:rsidRDefault="00A83A8E" w:rsidP="00E95CA9">
            <w:pPr>
              <w:jc w:val="both"/>
              <w:rPr>
                <w:b/>
                <w:lang w:val="ro-RO"/>
              </w:rPr>
            </w:pPr>
          </w:p>
        </w:tc>
        <w:tc>
          <w:tcPr>
            <w:tcW w:w="1418" w:type="dxa"/>
          </w:tcPr>
          <w:p w:rsidR="00A83A8E" w:rsidRPr="00C87322" w:rsidRDefault="00430AA8" w:rsidP="00E95CA9">
            <w:pPr>
              <w:jc w:val="both"/>
              <w:rPr>
                <w:lang w:val="ro-RO"/>
              </w:rPr>
            </w:pPr>
            <w:r w:rsidRPr="00C87322">
              <w:rPr>
                <w:lang w:val="ro-RO"/>
              </w:rPr>
              <w:t>Incompatibil</w:t>
            </w:r>
          </w:p>
        </w:tc>
        <w:tc>
          <w:tcPr>
            <w:tcW w:w="3827" w:type="dxa"/>
          </w:tcPr>
          <w:p w:rsidR="00A83A8E" w:rsidRPr="00C87322" w:rsidRDefault="00430AA8" w:rsidP="00430AA8">
            <w:pPr>
              <w:jc w:val="both"/>
              <w:rPr>
                <w:lang w:val="ro-RO"/>
              </w:rPr>
            </w:pPr>
            <w:r w:rsidRPr="00C87322">
              <w:rPr>
                <w:lang w:val="ro-RO"/>
              </w:rPr>
              <w:t>În raport cu data pertinentă se stabilea data abrogării Directivelor UE. Prin urmare această prevedere este irelevantă pentru Republica Moldova, întrucît Regulamentele UE menționate au fost transpuse în legislația națională și care au intrat deja în vigoare.</w:t>
            </w:r>
          </w:p>
        </w:tc>
        <w:tc>
          <w:tcPr>
            <w:tcW w:w="1418" w:type="dxa"/>
          </w:tcPr>
          <w:p w:rsidR="00A83A8E" w:rsidRPr="00C87322" w:rsidRDefault="008D17FB" w:rsidP="00E95CA9">
            <w:pPr>
              <w:jc w:val="both"/>
              <w:rPr>
                <w:lang w:val="ro-RO"/>
              </w:rPr>
            </w:pPr>
            <w:r w:rsidRPr="00C87322">
              <w:rPr>
                <w:lang w:val="ro-RO"/>
              </w:rPr>
              <w:t>Ministerul Agriculturii, Dezvoltării Regionale și Mediului;</w:t>
            </w:r>
          </w:p>
          <w:p w:rsidR="008D17FB" w:rsidRPr="00C87322" w:rsidRDefault="008D17FB" w:rsidP="00E95CA9">
            <w:pPr>
              <w:jc w:val="both"/>
              <w:rPr>
                <w:lang w:val="ro-RO"/>
              </w:rPr>
            </w:pPr>
            <w:r w:rsidRPr="00C87322">
              <w:rPr>
                <w:lang w:val="ro-RO"/>
              </w:rPr>
              <w:t>Dogotari Vasilii;</w:t>
            </w:r>
          </w:p>
          <w:p w:rsidR="008D17FB" w:rsidRPr="00C87322" w:rsidRDefault="008D17FB" w:rsidP="00A85569">
            <w:pPr>
              <w:jc w:val="both"/>
              <w:rPr>
                <w:lang w:val="ro-RO"/>
              </w:rPr>
            </w:pPr>
            <w:r w:rsidRPr="00C87322">
              <w:rPr>
                <w:lang w:val="ro-RO"/>
              </w:rPr>
              <w:t>Tel.: 20</w:t>
            </w:r>
            <w:r w:rsidR="00A85569" w:rsidRPr="00C87322">
              <w:rPr>
                <w:lang w:val="ro-RO"/>
              </w:rPr>
              <w:t>4 578</w:t>
            </w:r>
          </w:p>
        </w:tc>
        <w:tc>
          <w:tcPr>
            <w:tcW w:w="1275" w:type="dxa"/>
          </w:tcPr>
          <w:p w:rsidR="00A83A8E" w:rsidRPr="00C87322" w:rsidRDefault="0078151F" w:rsidP="00E95CA9">
            <w:pPr>
              <w:jc w:val="both"/>
              <w:rPr>
                <w:lang w:val="ro-RO"/>
              </w:rPr>
            </w:pPr>
            <w:r w:rsidRPr="00C87322">
              <w:rPr>
                <w:lang w:val="ro-RO"/>
              </w:rPr>
              <w:t>Nu este cazul</w:t>
            </w:r>
          </w:p>
        </w:tc>
      </w:tr>
      <w:tr w:rsidR="00430AA8" w:rsidRPr="00C87322" w:rsidTr="0078151F">
        <w:tc>
          <w:tcPr>
            <w:tcW w:w="3686" w:type="dxa"/>
          </w:tcPr>
          <w:p w:rsidR="00430AA8" w:rsidRPr="00C87322" w:rsidRDefault="00430AA8" w:rsidP="00430AA8">
            <w:pPr>
              <w:jc w:val="both"/>
              <w:rPr>
                <w:lang w:val="ro-RO"/>
              </w:rPr>
            </w:pPr>
            <w:r w:rsidRPr="00C87322">
              <w:rPr>
                <w:lang w:val="ro-RO"/>
              </w:rPr>
              <w:t>Articolul 2</w:t>
            </w:r>
          </w:p>
          <w:p w:rsidR="00430AA8" w:rsidRPr="00C87322" w:rsidRDefault="00430AA8" w:rsidP="00430AA8">
            <w:pPr>
              <w:jc w:val="both"/>
              <w:rPr>
                <w:lang w:val="ro-RO"/>
              </w:rPr>
            </w:pPr>
            <w:r w:rsidRPr="00C87322">
              <w:rPr>
                <w:lang w:val="ro-RO"/>
              </w:rPr>
              <w:t>Următoarele directive se abrogă, cu începere de la data pertinentă:</w:t>
            </w:r>
          </w:p>
          <w:p w:rsidR="00430AA8" w:rsidRPr="00C87322" w:rsidRDefault="00430AA8" w:rsidP="00430AA8">
            <w:pPr>
              <w:pStyle w:val="1"/>
              <w:tabs>
                <w:tab w:val="left" w:pos="263"/>
              </w:tabs>
              <w:spacing w:before="0" w:beforeAutospacing="0" w:after="0" w:afterAutospacing="0" w:line="312" w:lineRule="atLeast"/>
              <w:textAlignment w:val="baseline"/>
              <w:rPr>
                <w:lang w:val="ro-RO"/>
              </w:rPr>
            </w:pPr>
            <w:r w:rsidRPr="00C87322">
              <w:rPr>
                <w:lang w:val="ro-RO"/>
              </w:rPr>
              <w:t>1. Directiva 64/433/CEE a Consiliului din 26</w:t>
            </w:r>
            <w:r w:rsidR="001A6D1B">
              <w:rPr>
                <w:lang w:val="ro-RO"/>
              </w:rPr>
              <w:t xml:space="preserve"> </w:t>
            </w:r>
            <w:r w:rsidRPr="00C87322">
              <w:rPr>
                <w:lang w:val="ro-RO"/>
              </w:rPr>
              <w:t>iunie 1964 privind problemele de sănătate în domeniul schimburilor intracomunitare de cărnuri proaspete;</w:t>
            </w:r>
          </w:p>
          <w:p w:rsidR="00430AA8" w:rsidRPr="00C87322" w:rsidRDefault="00430AA8" w:rsidP="00430AA8">
            <w:pPr>
              <w:jc w:val="both"/>
              <w:rPr>
                <w:lang w:val="ro-RO"/>
              </w:rPr>
            </w:pPr>
            <w:r w:rsidRPr="00C87322">
              <w:rPr>
                <w:lang w:val="ro-RO"/>
              </w:rPr>
              <w:t>2. Directiva 71/118/CEE a Consiliului din 15 februarie 1971 privind problemele de sănătate care afectează</w:t>
            </w:r>
            <w:r w:rsidR="001A6D1B">
              <w:rPr>
                <w:lang w:val="ro-RO"/>
              </w:rPr>
              <w:t xml:space="preserve"> </w:t>
            </w:r>
            <w:r w:rsidRPr="00C87322">
              <w:rPr>
                <w:lang w:val="ro-RO"/>
              </w:rPr>
              <w:t>schimburile cu carne proaspătă de pasăre;</w:t>
            </w:r>
          </w:p>
          <w:p w:rsidR="00430AA8" w:rsidRPr="00C87322" w:rsidRDefault="00430AA8" w:rsidP="00430AA8">
            <w:pPr>
              <w:jc w:val="both"/>
              <w:rPr>
                <w:lang w:val="ro-RO"/>
              </w:rPr>
            </w:pPr>
            <w:r w:rsidRPr="00C87322">
              <w:rPr>
                <w:lang w:val="ro-RO"/>
              </w:rPr>
              <w:lastRenderedPageBreak/>
              <w:t>3. Directiva 72/461/CEE a Consiliului privind problemele de</w:t>
            </w:r>
            <w:r w:rsidR="001A6D1B">
              <w:rPr>
                <w:lang w:val="ro-RO"/>
              </w:rPr>
              <w:t xml:space="preserve"> </w:t>
            </w:r>
            <w:r w:rsidRPr="00C87322">
              <w:rPr>
                <w:lang w:val="ro-RO"/>
              </w:rPr>
              <w:t>inspecție veterinară în materie de schimburi comerciale intracomunitare de carne proaspătă;</w:t>
            </w:r>
          </w:p>
          <w:p w:rsidR="00430AA8" w:rsidRPr="00C87322" w:rsidRDefault="00430AA8" w:rsidP="00430AA8">
            <w:pPr>
              <w:jc w:val="both"/>
              <w:rPr>
                <w:lang w:val="ro-RO"/>
              </w:rPr>
            </w:pPr>
            <w:r w:rsidRPr="00C87322">
              <w:rPr>
                <w:lang w:val="ro-RO"/>
              </w:rPr>
              <w:t>4. Directiva 77/96/CEE a Consiliului din 21 decembrie 1976 privind depistarea trichinei (trichinella spiralis) la importul din țări terțe de carne proaspătă de porcine domestice;</w:t>
            </w:r>
          </w:p>
          <w:p w:rsidR="00430AA8" w:rsidRPr="00C87322" w:rsidRDefault="00430AA8" w:rsidP="00430AA8">
            <w:pPr>
              <w:jc w:val="both"/>
              <w:rPr>
                <w:lang w:val="ro-RO"/>
              </w:rPr>
            </w:pPr>
            <w:r w:rsidRPr="00C87322">
              <w:rPr>
                <w:lang w:val="ro-RO"/>
              </w:rPr>
              <w:t>5. Directiva 77/99/CEE a Consiliului din 21 decembrie 1976 privind problemele de sănătate care afectează schimburile intracomunitare cu preparate din carne și a altor produse de origine animală;</w:t>
            </w:r>
          </w:p>
          <w:p w:rsidR="00430AA8" w:rsidRPr="00C87322" w:rsidRDefault="00430AA8" w:rsidP="00430AA8">
            <w:pPr>
              <w:jc w:val="both"/>
              <w:rPr>
                <w:lang w:val="ro-RO"/>
              </w:rPr>
            </w:pPr>
            <w:r w:rsidRPr="00C87322">
              <w:rPr>
                <w:lang w:val="ro-RO"/>
              </w:rPr>
              <w:t>6. Directiva 80/215/CEE a Consiliului din 22 ianuarie 1980 privind problemele de sănătate animală în domeniul comerțului intracomunitar cu produse din carne;</w:t>
            </w:r>
          </w:p>
          <w:p w:rsidR="00430AA8" w:rsidRPr="00C87322" w:rsidRDefault="00430AA8" w:rsidP="00430AA8">
            <w:pPr>
              <w:jc w:val="both"/>
              <w:rPr>
                <w:lang w:val="ro-RO"/>
              </w:rPr>
            </w:pPr>
            <w:r w:rsidRPr="00C87322">
              <w:rPr>
                <w:lang w:val="ro-RO"/>
              </w:rPr>
              <w:t>7. Directiva 89/362/CEE a Comisiei din 26 mai 1989 privind condițiile generale de igienă din fermele pentru producția de lapte</w:t>
            </w:r>
          </w:p>
          <w:p w:rsidR="00430AA8" w:rsidRPr="00C87322" w:rsidRDefault="00430AA8" w:rsidP="00430AA8">
            <w:pPr>
              <w:jc w:val="both"/>
              <w:rPr>
                <w:lang w:val="ro-RO"/>
              </w:rPr>
            </w:pPr>
            <w:r w:rsidRPr="00C87322">
              <w:rPr>
                <w:lang w:val="ro-RO"/>
              </w:rPr>
              <w:t>8. Directiva 89/437/CEE a Consiliului din 20 iunie 1989 privind problemele de igienă și cele de sănătate în domeniul producției și comercializării produselor din ouă</w:t>
            </w:r>
          </w:p>
          <w:p w:rsidR="00430AA8" w:rsidRPr="00C87322" w:rsidRDefault="00430AA8" w:rsidP="00430AA8">
            <w:pPr>
              <w:jc w:val="both"/>
              <w:rPr>
                <w:lang w:val="ro-RO"/>
              </w:rPr>
            </w:pPr>
            <w:r w:rsidRPr="00C87322">
              <w:rPr>
                <w:lang w:val="ro-RO"/>
              </w:rPr>
              <w:t xml:space="preserve">9. Directiva 91/492/CEE de </w:t>
            </w:r>
            <w:r w:rsidRPr="00C87322">
              <w:rPr>
                <w:lang w:val="ro-RO"/>
              </w:rPr>
              <w:lastRenderedPageBreak/>
              <w:t>stabilire a condițiilor de sănătate normelor sanitar-veterinare pentru producerea și introducerea pe piață a moluștelor bivalve vii</w:t>
            </w:r>
          </w:p>
          <w:p w:rsidR="00430AA8" w:rsidRPr="00C87322" w:rsidRDefault="00430AA8" w:rsidP="00430AA8">
            <w:pPr>
              <w:jc w:val="both"/>
              <w:rPr>
                <w:lang w:val="ro-RO"/>
              </w:rPr>
            </w:pPr>
            <w:r w:rsidRPr="00C87322">
              <w:rPr>
                <w:lang w:val="ro-RO"/>
              </w:rPr>
              <w:t>10. Directiva 91/493/CEE a Consiliului din 22 iulie 1991 de stabilire a condițiilor de sănătate pentru producerea și introducerea pe piață a produselor pescărești</w:t>
            </w:r>
          </w:p>
          <w:p w:rsidR="00430AA8" w:rsidRPr="00C87322" w:rsidRDefault="000D513B" w:rsidP="00430AA8">
            <w:pPr>
              <w:jc w:val="both"/>
              <w:rPr>
                <w:lang w:val="ro-RO"/>
              </w:rPr>
            </w:pPr>
            <w:r w:rsidRPr="00C87322">
              <w:rPr>
                <w:lang w:val="ro-RO"/>
              </w:rPr>
              <w:t xml:space="preserve">11. </w:t>
            </w:r>
            <w:r w:rsidR="00430AA8" w:rsidRPr="00C87322">
              <w:rPr>
                <w:lang w:val="ro-RO"/>
              </w:rPr>
              <w:t>Directiva 91/494/CEE a Consiliului din 26 iunie 1991 referitoare la condițiile de sănătate animală care reglementează comerțul intracomunitar și importurile din țări terțe de carne proaspătă de pasăre</w:t>
            </w:r>
          </w:p>
          <w:p w:rsidR="00430AA8" w:rsidRPr="00C87322" w:rsidRDefault="000D513B" w:rsidP="00430AA8">
            <w:pPr>
              <w:jc w:val="both"/>
              <w:rPr>
                <w:lang w:val="ro-RO"/>
              </w:rPr>
            </w:pPr>
            <w:r w:rsidRPr="00C87322">
              <w:rPr>
                <w:lang w:val="ro-RO"/>
              </w:rPr>
              <w:t xml:space="preserve">12. </w:t>
            </w:r>
            <w:r w:rsidR="00430AA8" w:rsidRPr="00C87322">
              <w:rPr>
                <w:lang w:val="ro-RO"/>
              </w:rPr>
              <w:t>Directiva 91/495/CEE a Consiliului din 27 noiembrie 1990 privind problemele sanitare și de sănătate animală în domeniul producției și comercializării cărnii de iepure și a vânatului de crescătorie</w:t>
            </w:r>
          </w:p>
          <w:p w:rsidR="00430AA8" w:rsidRPr="00C87322" w:rsidRDefault="000D513B" w:rsidP="00430AA8">
            <w:pPr>
              <w:jc w:val="both"/>
              <w:rPr>
                <w:lang w:val="ro-RO"/>
              </w:rPr>
            </w:pPr>
            <w:r w:rsidRPr="00C87322">
              <w:rPr>
                <w:lang w:val="ro-RO"/>
              </w:rPr>
              <w:t xml:space="preserve">13. </w:t>
            </w:r>
            <w:r w:rsidR="00430AA8" w:rsidRPr="00C87322">
              <w:rPr>
                <w:lang w:val="ro-RO"/>
              </w:rPr>
              <w:t>Directiva 92/45/CEE a Consiliului din 16 iunie 1992 privind problemele sanitare și de sănătate animală referitoare la uciderea vânatului sălbatic și comercializarea cărnii de vânat</w:t>
            </w:r>
          </w:p>
          <w:p w:rsidR="00430AA8" w:rsidRPr="00C87322" w:rsidRDefault="000D513B" w:rsidP="00430AA8">
            <w:pPr>
              <w:jc w:val="both"/>
              <w:rPr>
                <w:lang w:val="ro-RO"/>
              </w:rPr>
            </w:pPr>
            <w:r w:rsidRPr="00C87322">
              <w:rPr>
                <w:lang w:val="ro-RO"/>
              </w:rPr>
              <w:t xml:space="preserve">14. </w:t>
            </w:r>
            <w:r w:rsidR="00430AA8" w:rsidRPr="00C87322">
              <w:rPr>
                <w:lang w:val="ro-RO"/>
              </w:rPr>
              <w:t xml:space="preserve">Directiva 92/46/CEE a Consiliului din 16 iunie 1992 de stabilire a normelor sanitare pentru producția și comercializarea laptelui crud, a laptelui tratat termic </w:t>
            </w:r>
            <w:r w:rsidR="00430AA8" w:rsidRPr="00C87322">
              <w:rPr>
                <w:lang w:val="ro-RO"/>
              </w:rPr>
              <w:lastRenderedPageBreak/>
              <w:t>și a produselor lactate</w:t>
            </w:r>
          </w:p>
          <w:p w:rsidR="00430AA8" w:rsidRPr="00C87322" w:rsidRDefault="000D513B" w:rsidP="00430AA8">
            <w:pPr>
              <w:jc w:val="both"/>
              <w:rPr>
                <w:lang w:val="ro-RO"/>
              </w:rPr>
            </w:pPr>
            <w:r w:rsidRPr="00C87322">
              <w:rPr>
                <w:lang w:val="ro-RO"/>
              </w:rPr>
              <w:t xml:space="preserve">15. </w:t>
            </w:r>
            <w:r w:rsidR="00430AA8" w:rsidRPr="00C87322">
              <w:rPr>
                <w:lang w:val="ro-RO"/>
              </w:rPr>
              <w:t>Directiva 92/48/CEE a Consiliului din 16 iunie 1992 de stabilire a normelor de igienă minime aplicabile produselor pescărești capturate la bordul anumitor nave în conformitate cu articolul 3 alineatul (1) litera (a) punctul (i) din Directiva 91/493/CEE</w:t>
            </w:r>
          </w:p>
          <w:p w:rsidR="00430AA8" w:rsidRPr="00C87322" w:rsidRDefault="00430AA8" w:rsidP="00430AA8">
            <w:pPr>
              <w:jc w:val="both"/>
              <w:rPr>
                <w:lang w:val="ro-RO"/>
              </w:rPr>
            </w:pPr>
            <w:r w:rsidRPr="00C87322">
              <w:rPr>
                <w:lang w:val="ro-RO"/>
              </w:rPr>
              <w:t>și</w:t>
            </w:r>
          </w:p>
          <w:p w:rsidR="00430AA8" w:rsidRPr="00C87322" w:rsidRDefault="000D513B" w:rsidP="00430AA8">
            <w:pPr>
              <w:jc w:val="both"/>
              <w:rPr>
                <w:lang w:val="ro-RO"/>
              </w:rPr>
            </w:pPr>
            <w:r w:rsidRPr="00C87322">
              <w:rPr>
                <w:lang w:val="ro-RO"/>
              </w:rPr>
              <w:t xml:space="preserve">16. </w:t>
            </w:r>
            <w:r w:rsidR="00430AA8" w:rsidRPr="00C87322">
              <w:rPr>
                <w:lang w:val="ro-RO"/>
              </w:rPr>
              <w:t>Directiva 94/65/CE a Consiliului din 14 decembrie 1994 de stabilire a cerințelor pentru producția și comercializarea cărnii tocate și a preparatelor din carne</w:t>
            </w:r>
          </w:p>
        </w:tc>
        <w:tc>
          <w:tcPr>
            <w:tcW w:w="3260" w:type="dxa"/>
          </w:tcPr>
          <w:p w:rsidR="000D513B" w:rsidRPr="00C87322" w:rsidRDefault="000D513B" w:rsidP="000D513B">
            <w:pPr>
              <w:jc w:val="both"/>
              <w:rPr>
                <w:lang w:val="ro-RO"/>
              </w:rPr>
            </w:pPr>
            <w:r w:rsidRPr="00C87322">
              <w:rPr>
                <w:lang w:val="ro-RO"/>
              </w:rPr>
              <w:lastRenderedPageBreak/>
              <w:t>1. Se abrogă:</w:t>
            </w:r>
          </w:p>
          <w:p w:rsidR="000D513B" w:rsidRPr="00C87322" w:rsidRDefault="000D513B" w:rsidP="000D513B">
            <w:pPr>
              <w:jc w:val="both"/>
              <w:rPr>
                <w:lang w:val="ro-RO"/>
              </w:rPr>
            </w:pPr>
            <w:r w:rsidRPr="00C87322">
              <w:rPr>
                <w:lang w:val="ro-RO"/>
              </w:rPr>
              <w:t>1) Norma sanitară veterinară privind condiţiile sanitare veterinare pentru producerea şi comercializarea produselor de pescuit (elaborată în conformitate cu prevederile Directivei Comunităţii Europene 91/493/CEE din 22 iulie 1991) (Monitorul Oficial al Republicii Moldova, 2004, nr. 226-232, art. 477);</w:t>
            </w:r>
          </w:p>
          <w:p w:rsidR="000D513B" w:rsidRPr="00C87322" w:rsidRDefault="000D513B" w:rsidP="000D513B">
            <w:pPr>
              <w:jc w:val="both"/>
              <w:rPr>
                <w:lang w:val="ro-RO"/>
              </w:rPr>
            </w:pPr>
            <w:r w:rsidRPr="00C87322">
              <w:rPr>
                <w:lang w:val="ro-RO"/>
              </w:rPr>
              <w:t xml:space="preserve">2) Ordinul Ministerului Agriculturii și Industriei Alimentare nr. 102 din 29 </w:t>
            </w:r>
            <w:r w:rsidRPr="00C87322">
              <w:rPr>
                <w:lang w:val="ro-RO"/>
              </w:rPr>
              <w:lastRenderedPageBreak/>
              <w:t>aprilie 2005 cu privire la aprobarea Normei sanitare veterinare privind condiţiile de sănătate pentru producerea şi comercializarea produselor din ouă (Monitorul Oficial al Republicii Moldova, 2005, nr. 95-97, art. 329);</w:t>
            </w:r>
          </w:p>
          <w:p w:rsidR="000D513B" w:rsidRPr="00C87322" w:rsidRDefault="000D513B" w:rsidP="000D513B">
            <w:pPr>
              <w:jc w:val="both"/>
              <w:rPr>
                <w:lang w:val="ro-RO"/>
              </w:rPr>
            </w:pPr>
            <w:r w:rsidRPr="00C87322">
              <w:rPr>
                <w:lang w:val="ro-RO"/>
              </w:rPr>
              <w:t>3) Ordinul Ministerului Agriculturii și Industriei Alimentare nr. 238 din 1 noiembrie 2005 cu privire la aprobarea Normei sanitare veterinare privind diagnosticul, profilaxia, supravegherea şi combaterea influenţei aviare (pesta aviară clasică) (Monitorul Oficial al Republicii Moldova, 2005, nr. 157-160, art. 542)</w:t>
            </w:r>
          </w:p>
          <w:p w:rsidR="000D513B" w:rsidRPr="00C87322" w:rsidRDefault="000D513B" w:rsidP="000D513B">
            <w:pPr>
              <w:jc w:val="both"/>
              <w:rPr>
                <w:lang w:val="ro-RO"/>
              </w:rPr>
            </w:pPr>
            <w:r w:rsidRPr="00C87322">
              <w:rPr>
                <w:lang w:val="ro-RO"/>
              </w:rPr>
              <w:t>4) Ordinul Ministerului Agriculturii și Industriei Alimentare nr. 149 din 26 iunie 2006 cu privire la aprobarea Normei sanitare veterinare privind condiţiile generale de igienă în exploataţiile de animale producătoare de lapte (Monitorul Oficial al Republicii Moldova, 2006, nr. 186-188, art. 643);</w:t>
            </w:r>
          </w:p>
          <w:p w:rsidR="000D513B" w:rsidRPr="00C87322" w:rsidRDefault="000D513B" w:rsidP="000D513B">
            <w:pPr>
              <w:jc w:val="both"/>
              <w:rPr>
                <w:lang w:val="ro-RO"/>
              </w:rPr>
            </w:pPr>
            <w:r w:rsidRPr="00C87322">
              <w:rPr>
                <w:lang w:val="ro-RO"/>
              </w:rPr>
              <w:t xml:space="preserve">5) Ordinul Ministerului Agriculturii și Industriei Alimentare nr. 151 din 30 iunie 2006 cu privire la aprobarea </w:t>
            </w:r>
            <w:r w:rsidRPr="00C87322">
              <w:rPr>
                <w:lang w:val="ro-RO"/>
              </w:rPr>
              <w:lastRenderedPageBreak/>
              <w:t>Normei sanitare veterinare privind măsurile generale pentru controlul unor boli ale animalelor și măsurile specifice referitoare la boala veziculoasă a porcului (Monitorul Oficial al Republicii Moldova, 2006, nr. 195-198, 679);</w:t>
            </w:r>
          </w:p>
          <w:p w:rsidR="000D513B" w:rsidRPr="00C87322" w:rsidRDefault="000D513B" w:rsidP="000D513B">
            <w:pPr>
              <w:jc w:val="both"/>
              <w:rPr>
                <w:lang w:val="ro-RO"/>
              </w:rPr>
            </w:pPr>
            <w:r w:rsidRPr="00C87322">
              <w:rPr>
                <w:lang w:val="ro-RO"/>
              </w:rPr>
              <w:t>6) Ordinul Ministerului Agriculturii și Industriei Alimentare nr. 163 din 11 iulie 2006 cu privire la aprobarea Normei sanitare veterinare privind protecția animalelor în timpul sacrificării sau uciderii (nupublicat în Monitorul Oficial al Republicii Moldova);</w:t>
            </w:r>
          </w:p>
          <w:p w:rsidR="000D513B" w:rsidRPr="00C87322" w:rsidRDefault="000D513B" w:rsidP="000D513B">
            <w:pPr>
              <w:jc w:val="both"/>
              <w:rPr>
                <w:lang w:val="ro-RO"/>
              </w:rPr>
            </w:pPr>
            <w:r w:rsidRPr="00C87322">
              <w:rPr>
                <w:lang w:val="ro-RO"/>
              </w:rPr>
              <w:t>7) Ordinul Ministerului Agriculturii și Industriei Alimentare nr. 164 din 11 iulie 2006 cu privire la aprobarea Normei sanitare veterinare privind profilaxia, supravegherea și combaterea bolii de Newcastle (pseudopesta aviară) (Monitorul Oficial al Republicii Moldova, 2007, nr. 29-31, art. 129);</w:t>
            </w:r>
          </w:p>
          <w:p w:rsidR="000D513B" w:rsidRPr="00C87322" w:rsidRDefault="000D513B" w:rsidP="000D513B">
            <w:pPr>
              <w:jc w:val="both"/>
              <w:rPr>
                <w:lang w:val="ro-RO"/>
              </w:rPr>
            </w:pPr>
            <w:r w:rsidRPr="00C87322">
              <w:rPr>
                <w:lang w:val="ro-RO"/>
              </w:rPr>
              <w:t xml:space="preserve">8) Ordinul Ministerului Agriculturii și Industriei Alimentare nr. 165 din 11 iulie 2006 cu privire la aprobarea Normei sanitare veterinare </w:t>
            </w:r>
            <w:r w:rsidRPr="00C87322">
              <w:rPr>
                <w:lang w:val="ro-RO"/>
              </w:rPr>
              <w:lastRenderedPageBreak/>
              <w:t>privind problemele de sănătate animală şi de sănătate publică referitoare la uciderea vînatului sălbatic şi la comercializarea cărnii de vînat sălbatic (Monitorul Oficial al Republicii Moldova, 2006, nr. 36-38, art. 148);</w:t>
            </w:r>
          </w:p>
          <w:p w:rsidR="000D513B" w:rsidRPr="00C87322" w:rsidRDefault="000D513B" w:rsidP="000D513B">
            <w:pPr>
              <w:jc w:val="both"/>
              <w:rPr>
                <w:lang w:val="ro-RO"/>
              </w:rPr>
            </w:pPr>
            <w:r w:rsidRPr="00C87322">
              <w:rPr>
                <w:lang w:val="ro-RO"/>
              </w:rPr>
              <w:t>9) Ordinul Ministerului Agriculturii și Industriei Alimentare nr. 170 din 14 iulie 2006 cu privire la aprobarea Normei sanitare veterinare privind problemele de sănătate ce reglemnetează producerea și comercializarea cărnii de iepure și a cărnii de vînat de crescătorie (Monitorul Oficial al Republicii Moldova, 2006, nr. 21-24, art. 99);</w:t>
            </w:r>
          </w:p>
          <w:p w:rsidR="000D513B" w:rsidRPr="00C87322" w:rsidRDefault="000D513B" w:rsidP="000D513B">
            <w:pPr>
              <w:jc w:val="both"/>
              <w:rPr>
                <w:lang w:val="ro-RO"/>
              </w:rPr>
            </w:pPr>
            <w:r w:rsidRPr="00C87322">
              <w:rPr>
                <w:lang w:val="ro-RO"/>
              </w:rPr>
              <w:t>10) Ordinul Ministerului Agriculturii și Industriei Alimentare nr. 171 din 14 iulie 2006 cu privire la aprobarea Normei sanitare veterinare privind condiţiile de sănătate pentru producerea şi comercializarea cărnii proaspete (Monitorul Oficial al Republicii Moldova, 2007, nr. 3 – 5, art. 20);</w:t>
            </w:r>
          </w:p>
          <w:p w:rsidR="000D513B" w:rsidRPr="00C87322" w:rsidRDefault="000D513B" w:rsidP="000D513B">
            <w:pPr>
              <w:jc w:val="both"/>
              <w:rPr>
                <w:lang w:val="ro-RO"/>
              </w:rPr>
            </w:pPr>
            <w:r w:rsidRPr="00C87322">
              <w:rPr>
                <w:lang w:val="ro-RO"/>
              </w:rPr>
              <w:t xml:space="preserve">11) Ordinul Ministerului Agriculturii și Industriei Alimentare nr. 173 din 14 iulie 2006 cu privire la aprobarea </w:t>
            </w:r>
            <w:r w:rsidRPr="00C87322">
              <w:rPr>
                <w:lang w:val="ro-RO"/>
              </w:rPr>
              <w:lastRenderedPageBreak/>
              <w:t>Normei sanitare veterinare privind condiţiile de sănătate pentru producerea şi introducerea pe piaţă a laptelui crud, a laptelui tratat termic şi a produselor pe bază de lapte (Monitorul Oficial al Republicii Moldova, 2007, nr. 54-56, art. 216);</w:t>
            </w:r>
          </w:p>
          <w:p w:rsidR="000D513B" w:rsidRPr="00C87322" w:rsidRDefault="000D513B" w:rsidP="000D513B">
            <w:pPr>
              <w:jc w:val="both"/>
              <w:rPr>
                <w:lang w:val="ro-RO"/>
              </w:rPr>
            </w:pPr>
            <w:r w:rsidRPr="00C87322">
              <w:rPr>
                <w:lang w:val="ro-RO"/>
              </w:rPr>
              <w:t>12) Ordinul Ministerului Agriculturii și Industriei Alimentare nr. 215 din 22 septembrie 2006 cu privire la aprobarea Normei sanitare veterinare privind condiţiile de sănătate animală şi sănătate publică pentru producerea cărnii tocate şi carii preparate (Monitorul Oficial al Republicii Moldova, 2007, nr. 6-9, art. 30);</w:t>
            </w:r>
          </w:p>
          <w:p w:rsidR="000D513B" w:rsidRPr="00C87322" w:rsidRDefault="000D513B" w:rsidP="000D513B">
            <w:pPr>
              <w:jc w:val="both"/>
              <w:rPr>
                <w:lang w:val="ro-RO"/>
              </w:rPr>
            </w:pPr>
            <w:r w:rsidRPr="00C87322">
              <w:rPr>
                <w:lang w:val="ro-RO"/>
              </w:rPr>
              <w:t>13) Ordinul Ministerului Agriculturii și Industriei Alimentare nr. 217 din 26 septembrie 2006 cu privire la Normei sanitare veterinare privind protecția și bunăstarea animalelor în timpul transportului (nepublicat în Monitorul Oficial al Republicii Moldova);</w:t>
            </w:r>
          </w:p>
          <w:p w:rsidR="000D513B" w:rsidRPr="00C87322" w:rsidRDefault="000D513B" w:rsidP="000D513B">
            <w:pPr>
              <w:jc w:val="both"/>
              <w:rPr>
                <w:lang w:val="ro-RO"/>
              </w:rPr>
            </w:pPr>
            <w:r w:rsidRPr="00C87322">
              <w:rPr>
                <w:lang w:val="ro-RO"/>
              </w:rPr>
              <w:t xml:space="preserve">14) Ordinul Ministerului Agriculturii și Industriei Alimentare nr. 220 din 26 septembrie 2006 cu privire la </w:t>
            </w:r>
            <w:r w:rsidRPr="00C87322">
              <w:rPr>
                <w:lang w:val="ro-RO"/>
              </w:rPr>
              <w:lastRenderedPageBreak/>
              <w:t>aprobarea Normei sanitare veterinare privind condițiile de sănătate a animalelor și modelul de certificat veterinar pentru exportul și importul cărnii proaspete de pasăre (Monitorul Oficial al Republicii Moldova, 2007, nr. 67-69, art. 324);</w:t>
            </w:r>
          </w:p>
          <w:p w:rsidR="000D513B" w:rsidRPr="00C87322" w:rsidRDefault="000D513B" w:rsidP="000D513B">
            <w:pPr>
              <w:jc w:val="both"/>
              <w:rPr>
                <w:lang w:val="ro-RO"/>
              </w:rPr>
            </w:pPr>
            <w:r w:rsidRPr="00C87322">
              <w:rPr>
                <w:lang w:val="ro-RO"/>
              </w:rPr>
              <w:t>15) Ordinul Ministerului Agriculturii și Industriei Alimentare nr. 229 din 6 octombrie 2006 cu privire la aprobarea Normei sanitare veterinare privind problemele de sănătate care reglementează producerea şi comercializarea cărnii proaspete de pasăre (Monitorul Oficial al Republicii Moldova, 2007, nr. 70-73, art. 341);</w:t>
            </w:r>
          </w:p>
          <w:p w:rsidR="000D513B" w:rsidRPr="00C87322" w:rsidRDefault="000D513B" w:rsidP="000D513B">
            <w:pPr>
              <w:jc w:val="both"/>
              <w:rPr>
                <w:lang w:val="ro-RO"/>
              </w:rPr>
            </w:pPr>
            <w:r w:rsidRPr="00C87322">
              <w:rPr>
                <w:lang w:val="ro-RO"/>
              </w:rPr>
              <w:t>16) Ordinul Ministerului Agriculturii și Industriei Alimentare nr. 245 din 10 noiembrie 2006 cu privire la aprobarea Normei sanitare veterinare privind interzicerea utilizării în creșterea animalelor de fermă a unor substanțe cu acțiune hormonală sau tireostatică și a celor beraagoniste (Monitorul Oficial al Republicii Moldova, 2007, nr. 78-81, art. 362);</w:t>
            </w:r>
          </w:p>
          <w:p w:rsidR="00430AA8" w:rsidRPr="00C87322" w:rsidRDefault="000D513B" w:rsidP="000D513B">
            <w:pPr>
              <w:jc w:val="both"/>
              <w:rPr>
                <w:lang w:val="ro-RO"/>
              </w:rPr>
            </w:pPr>
            <w:r w:rsidRPr="00C87322">
              <w:rPr>
                <w:lang w:val="ro-RO"/>
              </w:rPr>
              <w:t xml:space="preserve">17) Ordinul Ministerului </w:t>
            </w:r>
            <w:r w:rsidRPr="00C87322">
              <w:rPr>
                <w:lang w:val="ro-RO"/>
              </w:rPr>
              <w:lastRenderedPageBreak/>
              <w:t>Agriculturii și Industriei Alimentare nr. 247 din 13 noiembrie 2006 cu privire la aprobarea Normei sanitare privind măsurile de supraveghere și control al unor substanțe și al reziduurilor acestora la animalele vii și la produsele lor, precum și al reziduurilor de medicamente de uz veterinar în produsele de origine animală (nepublicat în Monitorul Oficial al Republicii Moldova).</w:t>
            </w:r>
          </w:p>
        </w:tc>
        <w:tc>
          <w:tcPr>
            <w:tcW w:w="1418" w:type="dxa"/>
          </w:tcPr>
          <w:p w:rsidR="00430AA8" w:rsidRPr="00C87322" w:rsidRDefault="000D513B" w:rsidP="00E95CA9">
            <w:pPr>
              <w:jc w:val="both"/>
              <w:rPr>
                <w:lang w:val="ro-RO"/>
              </w:rPr>
            </w:pPr>
            <w:r w:rsidRPr="00C87322">
              <w:rPr>
                <w:lang w:val="ro-RO"/>
              </w:rPr>
              <w:lastRenderedPageBreak/>
              <w:t>parțial compatibil</w:t>
            </w:r>
          </w:p>
        </w:tc>
        <w:tc>
          <w:tcPr>
            <w:tcW w:w="3827" w:type="dxa"/>
          </w:tcPr>
          <w:p w:rsidR="00430AA8" w:rsidRPr="00C87322" w:rsidRDefault="000D513B" w:rsidP="008D17FB">
            <w:pPr>
              <w:jc w:val="both"/>
            </w:pPr>
            <w:r w:rsidRPr="00C87322">
              <w:rPr>
                <w:lang w:val="ro-RO"/>
              </w:rPr>
              <w:t>Directivele indicate la punctele 3, 4, 5, 6, 9, 15 nu au fost transpuse în legislația națională</w:t>
            </w:r>
            <w:r w:rsidR="008D17FB" w:rsidRPr="00C87322">
              <w:rPr>
                <w:lang w:val="ro-RO"/>
              </w:rPr>
              <w:t>. Totodată, în proiect se propune a fi abrogate un șir de alte Ordine ale Ministerului normele cărora au fost ridicate la nivel de Hotărîre de Guvern.</w:t>
            </w:r>
          </w:p>
        </w:tc>
        <w:tc>
          <w:tcPr>
            <w:tcW w:w="1418" w:type="dxa"/>
          </w:tcPr>
          <w:p w:rsidR="00430AA8" w:rsidRPr="00C87322" w:rsidRDefault="00430AA8" w:rsidP="00E95CA9">
            <w:pPr>
              <w:jc w:val="both"/>
              <w:rPr>
                <w:b/>
                <w:lang w:val="ro-RO"/>
              </w:rPr>
            </w:pPr>
          </w:p>
        </w:tc>
        <w:tc>
          <w:tcPr>
            <w:tcW w:w="1275" w:type="dxa"/>
          </w:tcPr>
          <w:p w:rsidR="00430AA8" w:rsidRPr="00C87322" w:rsidRDefault="0078151F" w:rsidP="00E95CA9">
            <w:pPr>
              <w:jc w:val="both"/>
              <w:rPr>
                <w:lang w:val="ro-RO"/>
              </w:rPr>
            </w:pPr>
            <w:r w:rsidRPr="00C87322">
              <w:rPr>
                <w:lang w:val="ro-RO"/>
              </w:rPr>
              <w:t>Nu este cazul</w:t>
            </w:r>
          </w:p>
        </w:tc>
      </w:tr>
      <w:tr w:rsidR="008D17FB" w:rsidRPr="00C87322" w:rsidTr="0078151F">
        <w:tc>
          <w:tcPr>
            <w:tcW w:w="3686" w:type="dxa"/>
          </w:tcPr>
          <w:p w:rsidR="008D17FB" w:rsidRPr="00C87322" w:rsidRDefault="008D17FB" w:rsidP="008D17FB">
            <w:pPr>
              <w:jc w:val="both"/>
              <w:rPr>
                <w:lang w:val="ro-RO"/>
              </w:rPr>
            </w:pPr>
            <w:r w:rsidRPr="00C87322">
              <w:rPr>
                <w:lang w:val="ro-RO"/>
              </w:rPr>
              <w:lastRenderedPageBreak/>
              <w:t>Articolul 3</w:t>
            </w:r>
          </w:p>
          <w:p w:rsidR="008D17FB" w:rsidRPr="00C87322" w:rsidRDefault="008D17FB" w:rsidP="008D17FB">
            <w:pPr>
              <w:jc w:val="both"/>
              <w:rPr>
                <w:lang w:val="ro-RO"/>
              </w:rPr>
            </w:pPr>
            <w:r w:rsidRPr="00C87322">
              <w:rPr>
                <w:lang w:val="ro-RO"/>
              </w:rPr>
              <w:t>Cu începere de la data pertinentă, Directiva 92/118/CEE se modifică după cum urmează:</w:t>
            </w:r>
          </w:p>
          <w:p w:rsidR="008D17FB" w:rsidRPr="00C87322" w:rsidRDefault="00996382" w:rsidP="008D17FB">
            <w:pPr>
              <w:jc w:val="both"/>
              <w:rPr>
                <w:lang w:val="ro-RO"/>
              </w:rPr>
            </w:pPr>
            <w:r w:rsidRPr="00C87322">
              <w:rPr>
                <w:lang w:val="ro-RO"/>
              </w:rPr>
              <w:t xml:space="preserve">1. </w:t>
            </w:r>
            <w:r w:rsidR="008D17FB" w:rsidRPr="00C87322">
              <w:rPr>
                <w:lang w:val="ro-RO"/>
              </w:rPr>
              <w:t>toate trimiterile la „anexele I și II” se înlocuiesc cu trimiteri la „anexa I”;</w:t>
            </w:r>
          </w:p>
          <w:p w:rsidR="008D17FB" w:rsidRPr="00C87322" w:rsidRDefault="00996382" w:rsidP="008D17FB">
            <w:pPr>
              <w:jc w:val="both"/>
              <w:rPr>
                <w:lang w:val="ro-RO"/>
              </w:rPr>
            </w:pPr>
            <w:r w:rsidRPr="00C87322">
              <w:rPr>
                <w:lang w:val="ro-RO"/>
              </w:rPr>
              <w:t xml:space="preserve">2. </w:t>
            </w:r>
            <w:r w:rsidR="008D17FB" w:rsidRPr="00C87322">
              <w:rPr>
                <w:lang w:val="ro-RO"/>
              </w:rPr>
              <w:t>la articolul 4 alineatul (1), cuvintele „și anexa II, pentru aspectele de sănătate publică” se elimină</w:t>
            </w:r>
          </w:p>
          <w:p w:rsidR="00996382" w:rsidRPr="00C87322" w:rsidRDefault="00996382" w:rsidP="008D17FB">
            <w:pPr>
              <w:jc w:val="both"/>
              <w:rPr>
                <w:lang w:val="ro-RO"/>
              </w:rPr>
            </w:pPr>
            <w:r w:rsidRPr="00C87322">
              <w:rPr>
                <w:lang w:val="ro-RO"/>
              </w:rPr>
              <w:t xml:space="preserve">și </w:t>
            </w:r>
          </w:p>
          <w:p w:rsidR="00996382" w:rsidRPr="00C87322" w:rsidRDefault="00996382" w:rsidP="008D17FB">
            <w:pPr>
              <w:jc w:val="both"/>
              <w:rPr>
                <w:lang w:val="ro-RO"/>
              </w:rPr>
            </w:pPr>
            <w:r w:rsidRPr="00C87322">
              <w:rPr>
                <w:lang w:val="ro-RO"/>
              </w:rPr>
              <w:t>3. anexa II se abrogă.</w:t>
            </w:r>
          </w:p>
        </w:tc>
        <w:tc>
          <w:tcPr>
            <w:tcW w:w="3260" w:type="dxa"/>
          </w:tcPr>
          <w:p w:rsidR="008D17FB" w:rsidRPr="00C87322" w:rsidRDefault="008D17FB" w:rsidP="000D513B">
            <w:pPr>
              <w:jc w:val="both"/>
              <w:rPr>
                <w:lang w:val="ro-RO"/>
              </w:rPr>
            </w:pPr>
          </w:p>
        </w:tc>
        <w:tc>
          <w:tcPr>
            <w:tcW w:w="1418" w:type="dxa"/>
          </w:tcPr>
          <w:p w:rsidR="008D17FB" w:rsidRPr="00C87322" w:rsidRDefault="00A8418C" w:rsidP="00E95CA9">
            <w:pPr>
              <w:jc w:val="both"/>
              <w:rPr>
                <w:lang w:val="ro-RO"/>
              </w:rPr>
            </w:pPr>
            <w:r w:rsidRPr="00C87322">
              <w:rPr>
                <w:lang w:val="ro-RO"/>
              </w:rPr>
              <w:t>Incombatibil</w:t>
            </w:r>
          </w:p>
        </w:tc>
        <w:tc>
          <w:tcPr>
            <w:tcW w:w="3827" w:type="dxa"/>
          </w:tcPr>
          <w:p w:rsidR="008D17FB" w:rsidRPr="00C87322" w:rsidRDefault="0086283D" w:rsidP="0086283D">
            <w:pPr>
              <w:jc w:val="both"/>
              <w:rPr>
                <w:lang w:val="ro-RO"/>
              </w:rPr>
            </w:pPr>
            <w:r w:rsidRPr="00C87322">
              <w:rPr>
                <w:lang w:val="ro-RO"/>
              </w:rPr>
              <w:t xml:space="preserve">Directiva 92/118/CEE a fost transpusă în legislația Republicii Moldova prin Ordinul Ministerului Agriculturii și Industriei Alimentare nr. 172/2006 cu privire la aprobarea Normei sanitare veterinare privind condițiile sanitare veterinare pentru producerea, comerțul cu statele membre ale Uniunii Europene și importul din alte țări al unor alimente și a unor produse comestibile neprelucrate pentru animalelel de companie. În urma analizei Ordinului menționat s-a constatat că prevederile articolului 4 </w:t>
            </w:r>
            <w:r w:rsidR="001F53FA" w:rsidRPr="00C87322">
              <w:rPr>
                <w:lang w:val="ro-RO"/>
              </w:rPr>
              <w:t>și Anexa nr. II nu au fost transpuse.</w:t>
            </w:r>
          </w:p>
        </w:tc>
        <w:tc>
          <w:tcPr>
            <w:tcW w:w="1418" w:type="dxa"/>
          </w:tcPr>
          <w:p w:rsidR="008D17FB" w:rsidRPr="00C87322" w:rsidRDefault="008D17FB" w:rsidP="00E95CA9">
            <w:pPr>
              <w:jc w:val="both"/>
              <w:rPr>
                <w:b/>
                <w:lang w:val="ro-RO"/>
              </w:rPr>
            </w:pPr>
          </w:p>
        </w:tc>
        <w:tc>
          <w:tcPr>
            <w:tcW w:w="1275" w:type="dxa"/>
          </w:tcPr>
          <w:p w:rsidR="008D17FB" w:rsidRPr="00C87322" w:rsidRDefault="0078151F" w:rsidP="00E95CA9">
            <w:pPr>
              <w:jc w:val="both"/>
              <w:rPr>
                <w:b/>
                <w:lang w:val="ro-RO"/>
              </w:rPr>
            </w:pPr>
            <w:r w:rsidRPr="00C87322">
              <w:rPr>
                <w:lang w:val="ro-RO"/>
              </w:rPr>
              <w:t>Nu este cazul</w:t>
            </w:r>
          </w:p>
        </w:tc>
      </w:tr>
      <w:tr w:rsidR="001F53FA" w:rsidRPr="00C87322" w:rsidTr="0078151F">
        <w:tc>
          <w:tcPr>
            <w:tcW w:w="3686" w:type="dxa"/>
          </w:tcPr>
          <w:p w:rsidR="001F53FA" w:rsidRPr="00C87322" w:rsidRDefault="001F53FA" w:rsidP="008D17FB">
            <w:pPr>
              <w:jc w:val="both"/>
              <w:rPr>
                <w:lang w:val="ro-RO"/>
              </w:rPr>
            </w:pPr>
            <w:r w:rsidRPr="00C87322">
              <w:rPr>
                <w:lang w:val="ro-RO"/>
              </w:rPr>
              <w:t>Articolul 4</w:t>
            </w:r>
          </w:p>
          <w:p w:rsidR="001F53FA" w:rsidRPr="00C87322" w:rsidRDefault="00382537" w:rsidP="008D17FB">
            <w:pPr>
              <w:jc w:val="both"/>
              <w:rPr>
                <w:lang w:val="ro-RO"/>
              </w:rPr>
            </w:pPr>
            <w:r w:rsidRPr="00C87322">
              <w:rPr>
                <w:lang w:val="ro-RO"/>
              </w:rPr>
              <w:t xml:space="preserve">(1) </w:t>
            </w:r>
            <w:r w:rsidR="001F53FA" w:rsidRPr="00C87322">
              <w:rPr>
                <w:lang w:val="ro-RO"/>
              </w:rPr>
              <w:t xml:space="preserve">Începând cu data pertinentă, trimiterile la directivele menționate în articolul 2 sau în anexa II la Directiva 92/118/CEE se </w:t>
            </w:r>
            <w:r w:rsidR="001F53FA" w:rsidRPr="00C87322">
              <w:rPr>
                <w:lang w:val="ro-RO"/>
              </w:rPr>
              <w:lastRenderedPageBreak/>
              <w:t>interpretează trimiteri, în funcție de context:</w:t>
            </w:r>
          </w:p>
          <w:p w:rsidR="001F53FA" w:rsidRPr="00C87322" w:rsidRDefault="001F53FA" w:rsidP="001F53FA">
            <w:pPr>
              <w:jc w:val="both"/>
              <w:rPr>
                <w:lang w:val="ro-RO"/>
              </w:rPr>
            </w:pPr>
            <w:r w:rsidRPr="00C87322">
              <w:rPr>
                <w:lang w:val="ro-RO"/>
              </w:rPr>
              <w:t>(a) la Regulamentul (CE) nr. 853/2004;</w:t>
            </w:r>
          </w:p>
          <w:p w:rsidR="001F53FA" w:rsidRPr="00C87322" w:rsidRDefault="001F53FA" w:rsidP="001F53FA">
            <w:pPr>
              <w:jc w:val="both"/>
              <w:rPr>
                <w:lang w:val="ro-RO"/>
              </w:rPr>
            </w:pPr>
            <w:r w:rsidRPr="00C87322">
              <w:rPr>
                <w:lang w:val="ro-RO"/>
              </w:rPr>
              <w:t>(b) la Regulamentul (CE) nr. 854/2004;</w:t>
            </w:r>
          </w:p>
          <w:p w:rsidR="001F53FA" w:rsidRPr="00C87322" w:rsidRDefault="001F53FA" w:rsidP="001F53FA">
            <w:pPr>
              <w:jc w:val="both"/>
              <w:rPr>
                <w:lang w:val="ro-RO"/>
              </w:rPr>
            </w:pPr>
            <w:r w:rsidRPr="00C87322">
              <w:rPr>
                <w:lang w:val="ro-RO"/>
              </w:rPr>
              <w:t>sau</w:t>
            </w:r>
          </w:p>
          <w:p w:rsidR="001F53FA" w:rsidRPr="00C87322" w:rsidRDefault="001F53FA" w:rsidP="001F53FA">
            <w:pPr>
              <w:jc w:val="both"/>
              <w:rPr>
                <w:lang w:val="ro-RO"/>
              </w:rPr>
            </w:pPr>
            <w:r w:rsidRPr="00C87322">
              <w:rPr>
                <w:lang w:val="ro-RO"/>
              </w:rPr>
              <w:t>(c) la Regulamentul (CE) nr. 854/2004</w:t>
            </w: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F91DF8" w:rsidRPr="00C87322" w:rsidRDefault="00F91DF8" w:rsidP="001F53FA">
            <w:pPr>
              <w:jc w:val="both"/>
              <w:rPr>
                <w:color w:val="444444"/>
                <w:sz w:val="27"/>
                <w:szCs w:val="27"/>
                <w:shd w:val="clear" w:color="auto" w:fill="FFFFFF"/>
              </w:rPr>
            </w:pPr>
          </w:p>
          <w:p w:rsidR="00382537" w:rsidRPr="00C87322" w:rsidRDefault="00382537" w:rsidP="001F53FA">
            <w:pPr>
              <w:jc w:val="both"/>
              <w:rPr>
                <w:lang w:val="ro-RO"/>
              </w:rPr>
            </w:pPr>
            <w:r w:rsidRPr="00C87322">
              <w:rPr>
                <w:lang w:val="ro-RO"/>
              </w:rPr>
              <w:t>(2) Până la adoptarea criteriilor microbiologice și a cerințelor privind controlul temperaturii, în conformitate cu articolul 4 din Regulamentul (CE) nr. 852/2004, se aplică în continuare orice asemenea criterii sau cerințe stabilite în directivele menționate în articolul 2, în anexa II la Directiva 92/118/CEE sau în normele lor de aplicare.</w:t>
            </w:r>
          </w:p>
          <w:p w:rsidR="00F91DF8" w:rsidRPr="00C87322" w:rsidRDefault="00F91DF8" w:rsidP="001F53FA">
            <w:pPr>
              <w:jc w:val="both"/>
              <w:rPr>
                <w:lang w:val="ro-RO"/>
              </w:rPr>
            </w:pPr>
          </w:p>
          <w:p w:rsidR="00F91DF8" w:rsidRPr="00C87322" w:rsidRDefault="00F91DF8" w:rsidP="001F53FA">
            <w:pPr>
              <w:jc w:val="both"/>
              <w:rPr>
                <w:lang w:val="ro-RO"/>
              </w:rPr>
            </w:pPr>
          </w:p>
          <w:p w:rsidR="00F91DF8" w:rsidRPr="00C87322" w:rsidRDefault="00F91DF8" w:rsidP="001F53FA">
            <w:pPr>
              <w:jc w:val="both"/>
              <w:rPr>
                <w:lang w:val="ro-RO"/>
              </w:rPr>
            </w:pPr>
          </w:p>
          <w:p w:rsidR="00F91DF8" w:rsidRPr="00C87322" w:rsidRDefault="00F91DF8" w:rsidP="001F53FA">
            <w:pPr>
              <w:jc w:val="both"/>
              <w:rPr>
                <w:lang w:val="ro-RO"/>
              </w:rPr>
            </w:pPr>
          </w:p>
          <w:p w:rsidR="00F91DF8" w:rsidRPr="00C87322" w:rsidRDefault="00F91DF8" w:rsidP="001F53FA">
            <w:pPr>
              <w:jc w:val="both"/>
              <w:rPr>
                <w:lang w:val="ro-RO"/>
              </w:rPr>
            </w:pPr>
          </w:p>
          <w:p w:rsidR="00F91DF8" w:rsidRPr="00C87322" w:rsidRDefault="00F91DF8" w:rsidP="001F53FA">
            <w:pPr>
              <w:jc w:val="both"/>
              <w:rPr>
                <w:lang w:val="ro-RO"/>
              </w:rPr>
            </w:pPr>
          </w:p>
          <w:p w:rsidR="00F91DF8" w:rsidRPr="00C87322" w:rsidRDefault="00F91DF8" w:rsidP="001F53FA">
            <w:pPr>
              <w:jc w:val="both"/>
              <w:rPr>
                <w:lang w:val="ro-RO"/>
              </w:rPr>
            </w:pPr>
            <w:bookmarkStart w:id="0" w:name="_GoBack"/>
            <w:bookmarkEnd w:id="0"/>
          </w:p>
          <w:p w:rsidR="00382537" w:rsidRPr="00C87322" w:rsidRDefault="00382537" w:rsidP="001F53FA">
            <w:pPr>
              <w:jc w:val="both"/>
              <w:rPr>
                <w:lang w:val="ro-RO"/>
              </w:rPr>
            </w:pPr>
            <w:r w:rsidRPr="00C87322">
              <w:rPr>
                <w:lang w:val="ro-RO"/>
              </w:rPr>
              <w:t>(3)</w:t>
            </w:r>
            <w:r w:rsidR="001660A1" w:rsidRPr="00C87322">
              <w:rPr>
                <w:lang w:val="ro-RO"/>
              </w:rPr>
              <w:t xml:space="preserve"> </w:t>
            </w:r>
            <w:r w:rsidRPr="00C87322">
              <w:rPr>
                <w:lang w:val="ro-RO"/>
              </w:rPr>
              <w:t>Până la adoptarea dispozițiilor necesare pe baza Regulamentelor (CE) nr. 852/2004, 853/2004 și 854/2004 sau a Directivei 2002/99/CE, actele de mai jos se vor aplica în continuare,</w:t>
            </w:r>
            <w:r w:rsidR="001660A1" w:rsidRPr="00C87322">
              <w:rPr>
                <w:lang w:val="ro-RO"/>
              </w:rPr>
              <w:t xml:space="preserve"> </w:t>
            </w:r>
            <w:r w:rsidRPr="00C87322">
              <w:rPr>
                <w:lang w:val="ro-RO"/>
              </w:rPr>
              <w:t>mutatis mutandis:</w:t>
            </w:r>
          </w:p>
          <w:p w:rsidR="00382537" w:rsidRPr="00C87322" w:rsidRDefault="00382537" w:rsidP="00382537">
            <w:pPr>
              <w:jc w:val="both"/>
              <w:rPr>
                <w:lang w:val="ro-RO"/>
              </w:rPr>
            </w:pPr>
            <w:r w:rsidRPr="00C87322">
              <w:rPr>
                <w:lang w:val="ro-RO"/>
              </w:rPr>
              <w:t>(a)</w:t>
            </w:r>
            <w:r w:rsidRPr="00C87322">
              <w:rPr>
                <w:lang w:val="ro-RO"/>
              </w:rPr>
              <w:tab/>
              <w:t>normele de aplicare adoptate în baza directivelor menționate în articolul 2;</w:t>
            </w:r>
          </w:p>
          <w:p w:rsidR="00594AF3" w:rsidRPr="00C87322" w:rsidRDefault="00594AF3" w:rsidP="00382537">
            <w:pPr>
              <w:jc w:val="both"/>
              <w:rPr>
                <w:lang w:val="ro-RO"/>
              </w:rPr>
            </w:pPr>
          </w:p>
          <w:p w:rsidR="00594AF3" w:rsidRPr="00C87322" w:rsidRDefault="00594AF3" w:rsidP="00382537">
            <w:pPr>
              <w:jc w:val="both"/>
              <w:rPr>
                <w:lang w:val="ro-RO"/>
              </w:rPr>
            </w:pPr>
          </w:p>
          <w:p w:rsidR="00594AF3" w:rsidRPr="00C87322" w:rsidRDefault="00594AF3" w:rsidP="00382537">
            <w:pPr>
              <w:jc w:val="both"/>
              <w:rPr>
                <w:lang w:val="ro-RO"/>
              </w:rPr>
            </w:pPr>
          </w:p>
          <w:p w:rsidR="00594AF3" w:rsidRDefault="00594AF3" w:rsidP="00382537">
            <w:pPr>
              <w:jc w:val="both"/>
              <w:rPr>
                <w:lang w:val="ro-RO"/>
              </w:rPr>
            </w:pPr>
          </w:p>
          <w:p w:rsidR="002003E6" w:rsidRDefault="002003E6" w:rsidP="00382537">
            <w:pPr>
              <w:jc w:val="both"/>
              <w:rPr>
                <w:lang w:val="ro-RO"/>
              </w:rPr>
            </w:pPr>
          </w:p>
          <w:p w:rsidR="002003E6" w:rsidRPr="00C87322" w:rsidRDefault="002003E6" w:rsidP="00382537">
            <w:pPr>
              <w:jc w:val="both"/>
              <w:rPr>
                <w:lang w:val="ro-RO"/>
              </w:rPr>
            </w:pPr>
          </w:p>
          <w:p w:rsidR="00594AF3" w:rsidRPr="00C87322" w:rsidRDefault="00594AF3" w:rsidP="00382537">
            <w:pPr>
              <w:jc w:val="both"/>
              <w:rPr>
                <w:lang w:val="ro-RO"/>
              </w:rPr>
            </w:pPr>
          </w:p>
          <w:p w:rsidR="00594AF3" w:rsidRPr="00C87322" w:rsidRDefault="00594AF3" w:rsidP="00382537">
            <w:pPr>
              <w:jc w:val="both"/>
              <w:rPr>
                <w:lang w:val="ro-RO"/>
              </w:rPr>
            </w:pPr>
          </w:p>
          <w:p w:rsidR="00382537" w:rsidRPr="00C87322" w:rsidRDefault="00382537" w:rsidP="00382537">
            <w:pPr>
              <w:jc w:val="both"/>
              <w:rPr>
                <w:lang w:val="ro-RO"/>
              </w:rPr>
            </w:pPr>
            <w:r w:rsidRPr="00C87322">
              <w:rPr>
                <w:lang w:val="ro-RO"/>
              </w:rPr>
              <w:t>(b)</w:t>
            </w:r>
            <w:r w:rsidRPr="00C87322">
              <w:rPr>
                <w:lang w:val="ro-RO"/>
              </w:rPr>
              <w:tab/>
              <w:t>normele de aplicare adoptate în baza anexei II la Directiva 92/118/CEE, cu excepția Deciziei 94/371/CE</w:t>
            </w:r>
            <w:r w:rsidR="001A6D1B" w:rsidRPr="00C87322">
              <w:fldChar w:fldCharType="begin"/>
            </w:r>
            <w:r w:rsidR="001A6D1B" w:rsidRPr="00C87322">
              <w:instrText xml:space="preserve"> HYPERLINK "http://eur-lex.europa.eu/legal-content/RO/ALL/?qid=1519998970652&amp;uri=CELEX%3A32004L0041" \l "ntr28-L_2004157RO.01003301-E0028" </w:instrText>
            </w:r>
            <w:r w:rsidR="001A6D1B" w:rsidRPr="00C87322">
              <w:fldChar w:fldCharType="separate"/>
            </w:r>
            <w:r w:rsidRPr="00C87322">
              <w:rPr>
                <w:lang w:val="ro-RO"/>
              </w:rPr>
              <w:t> (28)</w:t>
            </w:r>
            <w:r w:rsidR="001A6D1B" w:rsidRPr="00C87322">
              <w:rPr>
                <w:lang w:val="ro-RO"/>
              </w:rPr>
              <w:fldChar w:fldCharType="end"/>
            </w:r>
            <w:r w:rsidRPr="00C87322">
              <w:rPr>
                <w:lang w:val="ro-RO"/>
              </w:rPr>
              <w:t>;</w:t>
            </w:r>
          </w:p>
          <w:p w:rsidR="00594AF3" w:rsidRPr="00C87322" w:rsidRDefault="00594AF3" w:rsidP="00382537">
            <w:pPr>
              <w:jc w:val="both"/>
              <w:rPr>
                <w:lang w:val="ro-RO"/>
              </w:rPr>
            </w:pPr>
          </w:p>
          <w:p w:rsidR="00594AF3" w:rsidRPr="00C87322" w:rsidRDefault="00594AF3" w:rsidP="00382537">
            <w:pPr>
              <w:jc w:val="both"/>
              <w:rPr>
                <w:lang w:val="ro-RO"/>
              </w:rPr>
            </w:pPr>
          </w:p>
          <w:p w:rsidR="00594AF3" w:rsidRPr="00C87322" w:rsidRDefault="00594AF3" w:rsidP="00382537">
            <w:pPr>
              <w:jc w:val="both"/>
              <w:rPr>
                <w:lang w:val="ro-RO"/>
              </w:rPr>
            </w:pPr>
          </w:p>
          <w:p w:rsidR="00594AF3" w:rsidRPr="00C87322" w:rsidRDefault="00594AF3" w:rsidP="00382537">
            <w:pPr>
              <w:jc w:val="both"/>
              <w:rPr>
                <w:lang w:val="ro-RO"/>
              </w:rPr>
            </w:pPr>
          </w:p>
          <w:p w:rsidR="00594AF3" w:rsidRPr="00C87322" w:rsidRDefault="00594AF3" w:rsidP="00382537">
            <w:pPr>
              <w:jc w:val="both"/>
              <w:rPr>
                <w:lang w:val="ro-RO"/>
              </w:rPr>
            </w:pPr>
          </w:p>
          <w:p w:rsidR="00594AF3" w:rsidRPr="00C87322" w:rsidRDefault="00594AF3" w:rsidP="00382537">
            <w:pPr>
              <w:jc w:val="both"/>
              <w:rPr>
                <w:lang w:val="ro-RO"/>
              </w:rPr>
            </w:pPr>
          </w:p>
          <w:p w:rsidR="00042F7F" w:rsidRPr="00C87322" w:rsidRDefault="00042F7F" w:rsidP="00382537">
            <w:pPr>
              <w:jc w:val="both"/>
              <w:rPr>
                <w:lang w:val="ro-RO"/>
              </w:rPr>
            </w:pPr>
          </w:p>
          <w:p w:rsidR="00382537" w:rsidRPr="00C87322" w:rsidRDefault="00382537" w:rsidP="00382537">
            <w:pPr>
              <w:jc w:val="both"/>
              <w:rPr>
                <w:lang w:val="ro-RO"/>
              </w:rPr>
            </w:pPr>
            <w:r w:rsidRPr="00C87322">
              <w:rPr>
                <w:lang w:val="ro-RO"/>
              </w:rPr>
              <w:lastRenderedPageBreak/>
              <w:t>(c)</w:t>
            </w:r>
            <w:r w:rsidRPr="00C87322">
              <w:rPr>
                <w:lang w:val="ro-RO"/>
              </w:rPr>
              <w:tab/>
              <w:t>normele de aplicare adoptate în baza Directivei 72/462/CEE</w:t>
            </w:r>
          </w:p>
          <w:p w:rsidR="00382537" w:rsidRPr="00C87322" w:rsidRDefault="00042F7F" w:rsidP="00382537">
            <w:pPr>
              <w:jc w:val="both"/>
              <w:rPr>
                <w:lang w:val="ro-RO"/>
              </w:rPr>
            </w:pPr>
            <w:r w:rsidRPr="00C87322">
              <w:rPr>
                <w:lang w:val="ro-RO"/>
              </w:rPr>
              <w:t>Ș</w:t>
            </w:r>
            <w:r w:rsidR="00382537" w:rsidRPr="00C87322">
              <w:rPr>
                <w:lang w:val="ro-RO"/>
              </w:rPr>
              <w:t>i</w:t>
            </w:r>
          </w:p>
          <w:p w:rsidR="00042F7F" w:rsidRPr="00C87322" w:rsidRDefault="00042F7F" w:rsidP="00382537">
            <w:pPr>
              <w:jc w:val="both"/>
              <w:rPr>
                <w:lang w:val="ro-RO"/>
              </w:rPr>
            </w:pPr>
          </w:p>
          <w:p w:rsidR="00382537" w:rsidRPr="00C87322" w:rsidRDefault="00382537" w:rsidP="001F53FA">
            <w:pPr>
              <w:jc w:val="both"/>
              <w:rPr>
                <w:lang w:val="ro-RO"/>
              </w:rPr>
            </w:pPr>
            <w:r w:rsidRPr="00C87322">
              <w:rPr>
                <w:lang w:val="ro-RO"/>
              </w:rPr>
              <w:t>(d)</w:t>
            </w:r>
            <w:r w:rsidRPr="00C87322">
              <w:rPr>
                <w:lang w:val="ro-RO"/>
              </w:rPr>
              <w:tab/>
              <w:t>listele provizorii ale țărilor terțe și ale unităților din țările terțe întocmite în conformitate cu Decizia 95/408/CE.</w:t>
            </w:r>
          </w:p>
        </w:tc>
        <w:tc>
          <w:tcPr>
            <w:tcW w:w="3260" w:type="dxa"/>
          </w:tcPr>
          <w:p w:rsidR="001F53FA" w:rsidRPr="00C87322" w:rsidRDefault="001F53FA" w:rsidP="000D513B">
            <w:pPr>
              <w:jc w:val="both"/>
              <w:rPr>
                <w:lang w:val="ro-RO"/>
              </w:rPr>
            </w:pPr>
          </w:p>
        </w:tc>
        <w:tc>
          <w:tcPr>
            <w:tcW w:w="1418" w:type="dxa"/>
          </w:tcPr>
          <w:p w:rsidR="001F53FA" w:rsidRPr="00C87322" w:rsidRDefault="001F53FA" w:rsidP="00E95CA9">
            <w:pPr>
              <w:jc w:val="both"/>
              <w:rPr>
                <w:lang w:val="ro-RO"/>
              </w:rPr>
            </w:pPr>
          </w:p>
          <w:p w:rsidR="0037657E" w:rsidRPr="00C87322" w:rsidRDefault="0037657E" w:rsidP="00E95CA9">
            <w:pPr>
              <w:jc w:val="both"/>
              <w:rPr>
                <w:lang w:val="ro-RO"/>
              </w:rPr>
            </w:pPr>
            <w:r w:rsidRPr="00C87322">
              <w:rPr>
                <w:lang w:val="ro-RO"/>
              </w:rPr>
              <w:t>incompatibil</w:t>
            </w:r>
          </w:p>
        </w:tc>
        <w:tc>
          <w:tcPr>
            <w:tcW w:w="3827" w:type="dxa"/>
          </w:tcPr>
          <w:p w:rsidR="001F53FA" w:rsidRPr="00C87322" w:rsidRDefault="001F53FA" w:rsidP="0086283D">
            <w:pPr>
              <w:jc w:val="both"/>
              <w:rPr>
                <w:lang w:val="ro-RO"/>
              </w:rPr>
            </w:pPr>
          </w:p>
          <w:p w:rsidR="00525DD0" w:rsidRPr="00C87322" w:rsidRDefault="0037657E" w:rsidP="0086283D">
            <w:pPr>
              <w:jc w:val="both"/>
              <w:rPr>
                <w:lang w:val="ro-RO"/>
              </w:rPr>
            </w:pPr>
            <w:r w:rsidRPr="00C87322">
              <w:rPr>
                <w:lang w:val="ro-RO"/>
              </w:rPr>
              <w:t xml:space="preserve">Alineatul 1 nu poate fi transpus prin Ordinul Ministerului Agriculturii, Dezvoltării Regionale și Mediului întrucît </w:t>
            </w:r>
            <w:r w:rsidR="00525DD0" w:rsidRPr="00C87322">
              <w:rPr>
                <w:lang w:val="ro-RO"/>
              </w:rPr>
              <w:t xml:space="preserve">în legislația Republicii </w:t>
            </w:r>
            <w:r w:rsidR="00525DD0" w:rsidRPr="00C87322">
              <w:rPr>
                <w:lang w:val="ro-RO"/>
              </w:rPr>
              <w:lastRenderedPageBreak/>
              <w:t xml:space="preserve">Moldova nu se utilizează astfel de tehnică de modificare a normelor de trimitere. </w:t>
            </w:r>
          </w:p>
          <w:p w:rsidR="00382537" w:rsidRPr="00C87322" w:rsidRDefault="00525DD0" w:rsidP="0086283D">
            <w:pPr>
              <w:jc w:val="both"/>
              <w:rPr>
                <w:lang w:val="ro-RO"/>
              </w:rPr>
            </w:pPr>
            <w:r w:rsidRPr="00C87322">
              <w:rPr>
                <w:lang w:val="ro-RO"/>
              </w:rPr>
              <w:t xml:space="preserve">În urma analizei Ordinelor care se propun a fi abrogate s-au depistat 3 ordine ale Ministerului la care se face trimitere în Hotărîri de Guvern. Astfel, la Ordinul nr. 164/2006 și Ordinul nr. 245/2006 se face trimitere în Hotărîrea Guvernului nr. 415/2009, </w:t>
            </w:r>
            <w:r w:rsidR="00F91DF8" w:rsidRPr="00C87322">
              <w:rPr>
                <w:lang w:val="ro-RO"/>
              </w:rPr>
              <w:t>iar la Ordinul nr. 173/2006 se face trimitere în Hotărîrea Guvernului nr. 611/2010. Aceste norme de trimitere vor fi modificate în contextul promovării proiectului Hotărîrii Guvernului elaborat în conformitate cu art. 24 din Legea nr. 296/2017 privind cerințele generale de igienă a produselor alimentare</w:t>
            </w:r>
          </w:p>
          <w:p w:rsidR="00382537" w:rsidRPr="00C87322" w:rsidRDefault="00382537" w:rsidP="0086283D">
            <w:pPr>
              <w:jc w:val="both"/>
              <w:rPr>
                <w:lang w:val="ro-RO"/>
              </w:rPr>
            </w:pPr>
          </w:p>
          <w:p w:rsidR="00382537" w:rsidRPr="00C87322" w:rsidRDefault="00382537" w:rsidP="0086283D">
            <w:pPr>
              <w:jc w:val="both"/>
              <w:rPr>
                <w:lang w:val="ro-RO"/>
              </w:rPr>
            </w:pPr>
          </w:p>
          <w:p w:rsidR="00382537" w:rsidRPr="00C87322" w:rsidRDefault="00382537" w:rsidP="0086283D">
            <w:pPr>
              <w:jc w:val="both"/>
              <w:rPr>
                <w:lang w:val="ro-RO"/>
              </w:rPr>
            </w:pPr>
          </w:p>
          <w:p w:rsidR="00382537" w:rsidRPr="00C87322" w:rsidRDefault="00AC6CE6" w:rsidP="0086283D">
            <w:pPr>
              <w:jc w:val="both"/>
              <w:rPr>
                <w:lang w:val="ro-RO"/>
              </w:rPr>
            </w:pPr>
            <w:r w:rsidRPr="00C87322">
              <w:rPr>
                <w:lang w:val="ro-RO"/>
              </w:rPr>
              <w:t xml:space="preserve">(2) </w:t>
            </w:r>
            <w:r w:rsidR="00382537" w:rsidRPr="00C87322">
              <w:rPr>
                <w:lang w:val="ro-RO"/>
              </w:rPr>
              <w:t xml:space="preserve">În partea ce ține de adoptarea criteriilor microbiologice și a cerințelor privind controlul temperaturii, acestea au fost adoptate prin Regulamentul 2073/2005 privind criteriile microbiologice pentru produsele alimentare, transpuse în legislația națională prin Hotărîrea Guvernului </w:t>
            </w:r>
            <w:r w:rsidRPr="00C87322">
              <w:rPr>
                <w:lang w:val="ro-RO"/>
              </w:rPr>
              <w:t xml:space="preserve">nr. 221/2009, prin urmare nu se mai justifică transpunerea alineatului (2) care reprezintă o normă tranzitorie ce s-a aplicat pînă la adoptarea </w:t>
            </w:r>
            <w:r w:rsidRPr="00C87322">
              <w:rPr>
                <w:lang w:val="ro-RO"/>
              </w:rPr>
              <w:lastRenderedPageBreak/>
              <w:t>Regulamentului 2073/2005</w:t>
            </w:r>
          </w:p>
          <w:p w:rsidR="00F91DF8" w:rsidRPr="00C87322" w:rsidRDefault="00F91DF8" w:rsidP="00A85569">
            <w:pPr>
              <w:jc w:val="both"/>
              <w:rPr>
                <w:lang w:val="ro-RO"/>
              </w:rPr>
            </w:pPr>
          </w:p>
          <w:p w:rsidR="00F91DF8" w:rsidRPr="00C87322" w:rsidRDefault="00F91DF8" w:rsidP="00A85569">
            <w:pPr>
              <w:jc w:val="both"/>
              <w:rPr>
                <w:lang w:val="ro-RO"/>
              </w:rPr>
            </w:pPr>
          </w:p>
          <w:p w:rsidR="00F91DF8" w:rsidRPr="00C87322" w:rsidRDefault="00F91DF8" w:rsidP="00A85569">
            <w:pPr>
              <w:jc w:val="both"/>
              <w:rPr>
                <w:lang w:val="ro-RO"/>
              </w:rPr>
            </w:pPr>
          </w:p>
          <w:p w:rsidR="00594AF3" w:rsidRPr="00C87322" w:rsidRDefault="00594AF3" w:rsidP="00F91DF8">
            <w:pPr>
              <w:jc w:val="both"/>
              <w:rPr>
                <w:lang w:val="ro-RO"/>
              </w:rPr>
            </w:pPr>
          </w:p>
          <w:p w:rsidR="00594AF3" w:rsidRPr="00C87322" w:rsidRDefault="00594AF3" w:rsidP="00F91DF8">
            <w:pPr>
              <w:jc w:val="both"/>
              <w:rPr>
                <w:lang w:val="ro-RO"/>
              </w:rPr>
            </w:pPr>
          </w:p>
          <w:p w:rsidR="00594AF3" w:rsidRPr="00C87322" w:rsidRDefault="00594AF3" w:rsidP="00F91DF8">
            <w:pPr>
              <w:jc w:val="both"/>
              <w:rPr>
                <w:lang w:val="ro-RO"/>
              </w:rPr>
            </w:pPr>
          </w:p>
          <w:p w:rsidR="00594AF3" w:rsidRPr="00C87322" w:rsidRDefault="00594AF3" w:rsidP="00F91DF8">
            <w:pPr>
              <w:jc w:val="both"/>
              <w:rPr>
                <w:lang w:val="ro-RO"/>
              </w:rPr>
            </w:pPr>
          </w:p>
          <w:p w:rsidR="00594AF3" w:rsidRPr="00C87322" w:rsidRDefault="00594AF3" w:rsidP="00F91DF8">
            <w:pPr>
              <w:jc w:val="both"/>
              <w:rPr>
                <w:lang w:val="ro-RO"/>
              </w:rPr>
            </w:pPr>
          </w:p>
          <w:p w:rsidR="00594AF3" w:rsidRPr="00C87322" w:rsidRDefault="00594AF3" w:rsidP="00F91DF8">
            <w:pPr>
              <w:jc w:val="both"/>
              <w:rPr>
                <w:lang w:val="ro-RO"/>
              </w:rPr>
            </w:pPr>
          </w:p>
          <w:p w:rsidR="00594AF3" w:rsidRPr="00C87322" w:rsidRDefault="00594AF3" w:rsidP="00F91DF8">
            <w:pPr>
              <w:jc w:val="both"/>
              <w:rPr>
                <w:lang w:val="ro-RO"/>
              </w:rPr>
            </w:pPr>
          </w:p>
          <w:p w:rsidR="00A85569" w:rsidRPr="00C87322" w:rsidRDefault="00594AF3" w:rsidP="00F91DF8">
            <w:pPr>
              <w:jc w:val="both"/>
              <w:rPr>
                <w:lang w:val="ro-RO"/>
              </w:rPr>
            </w:pPr>
            <w:r w:rsidRPr="00C87322">
              <w:rPr>
                <w:lang w:val="ro-RO"/>
              </w:rPr>
              <w:t xml:space="preserve">a) </w:t>
            </w:r>
            <w:r w:rsidR="00A85569" w:rsidRPr="00C87322">
              <w:rPr>
                <w:lang w:val="ro-RO"/>
              </w:rPr>
              <w:t xml:space="preserve">În ceea ce ține de aplicarea în continuare a normelor de aplicare adoptate în baza directivelor menționale în articolul 2, </w:t>
            </w:r>
            <w:r w:rsidR="00F91DF8" w:rsidRPr="00C87322">
              <w:rPr>
                <w:lang w:val="ro-RO"/>
              </w:rPr>
              <w:t xml:space="preserve">a </w:t>
            </w:r>
            <w:r w:rsidR="002003E6">
              <w:rPr>
                <w:lang w:val="ro-RO"/>
              </w:rPr>
              <w:t xml:space="preserve">fost </w:t>
            </w:r>
            <w:r w:rsidR="00F91DF8" w:rsidRPr="00C87322">
              <w:rPr>
                <w:lang w:val="ro-RO"/>
              </w:rPr>
              <w:t>idenficat</w:t>
            </w:r>
            <w:r w:rsidR="002003E6">
              <w:rPr>
                <w:lang w:val="ro-RO"/>
              </w:rPr>
              <w:t xml:space="preserve"> ca fiind preluat în legislația Republicii Moldova doar Decizia Comisiei nr. 95/149/CE, preluat prin Ordinul Ministerului Agriculturii și Industriei Alimentare nr. 262 din 12 decembrie 2005, care se propune spre abrogare</w:t>
            </w:r>
            <w:r w:rsidR="00F91DF8" w:rsidRPr="00C87322">
              <w:rPr>
                <w:lang w:val="ro-RO"/>
              </w:rPr>
              <w:t>.</w:t>
            </w:r>
          </w:p>
          <w:p w:rsidR="00594AF3" w:rsidRPr="00C87322" w:rsidRDefault="00594AF3" w:rsidP="00F91DF8">
            <w:pPr>
              <w:jc w:val="both"/>
              <w:rPr>
                <w:lang w:val="ro-RO"/>
              </w:rPr>
            </w:pPr>
          </w:p>
          <w:p w:rsidR="00594AF3" w:rsidRPr="00C87322" w:rsidRDefault="00594AF3" w:rsidP="00594AF3">
            <w:pPr>
              <w:jc w:val="both"/>
              <w:rPr>
                <w:lang w:val="ro-RO"/>
              </w:rPr>
            </w:pPr>
            <w:r w:rsidRPr="00C87322">
              <w:rPr>
                <w:lang w:val="ro-RO"/>
              </w:rPr>
              <w:t>b) După cum s-a menționat mai sus anexa nr. II la Directiva 92/118/CEE nu a fost transpusă în legislația Republicii Moldova, prin urmare și norme de punere în aplicare nu pot exista. În ceea ce ține de Decizia 94/371 de asemenea nu a fost identificat actul normativ național prin care s-a trasnpus această Decizie.</w:t>
            </w:r>
          </w:p>
          <w:p w:rsidR="00042F7F" w:rsidRPr="00C87322" w:rsidRDefault="00042F7F" w:rsidP="00594AF3">
            <w:pPr>
              <w:jc w:val="both"/>
              <w:rPr>
                <w:lang w:val="ro-RO"/>
              </w:rPr>
            </w:pPr>
            <w:r w:rsidRPr="00C87322">
              <w:rPr>
                <w:lang w:val="ro-RO"/>
              </w:rPr>
              <w:t xml:space="preserve">c) Directiva nr. 72/462 nu a fost transpusă în legislația Republicii </w:t>
            </w:r>
            <w:r w:rsidRPr="00C87322">
              <w:rPr>
                <w:lang w:val="ro-RO"/>
              </w:rPr>
              <w:lastRenderedPageBreak/>
              <w:t>Moldova, prin urmare nici norme de punere în aplicare a acesteia nu s-au adoptat.</w:t>
            </w:r>
          </w:p>
          <w:p w:rsidR="00042F7F" w:rsidRPr="00C87322" w:rsidRDefault="00042F7F" w:rsidP="00594AF3">
            <w:pPr>
              <w:jc w:val="both"/>
              <w:rPr>
                <w:lang w:val="ro-RO"/>
              </w:rPr>
            </w:pPr>
          </w:p>
          <w:p w:rsidR="00042F7F" w:rsidRPr="00C87322" w:rsidRDefault="00042F7F" w:rsidP="00042F7F">
            <w:pPr>
              <w:jc w:val="both"/>
              <w:rPr>
                <w:lang w:val="ro-RO"/>
              </w:rPr>
            </w:pPr>
            <w:r w:rsidRPr="00C87322">
              <w:rPr>
                <w:lang w:val="ro-RO"/>
              </w:rPr>
              <w:t>d) Decizia 95/408 este aplicabilă doar la nivel de Uniune Europeană.</w:t>
            </w:r>
          </w:p>
        </w:tc>
        <w:tc>
          <w:tcPr>
            <w:tcW w:w="1418" w:type="dxa"/>
          </w:tcPr>
          <w:p w:rsidR="001F53FA" w:rsidRPr="00C87322" w:rsidRDefault="001F53FA" w:rsidP="00E95CA9">
            <w:pPr>
              <w:jc w:val="both"/>
              <w:rPr>
                <w:b/>
                <w:lang w:val="ro-RO"/>
              </w:rPr>
            </w:pPr>
          </w:p>
        </w:tc>
        <w:tc>
          <w:tcPr>
            <w:tcW w:w="1275" w:type="dxa"/>
          </w:tcPr>
          <w:p w:rsidR="001F53FA" w:rsidRPr="00C87322" w:rsidRDefault="0078151F" w:rsidP="00E95CA9">
            <w:pPr>
              <w:jc w:val="both"/>
              <w:rPr>
                <w:b/>
                <w:lang w:val="ro-RO"/>
              </w:rPr>
            </w:pPr>
            <w:r w:rsidRPr="00C87322">
              <w:rPr>
                <w:lang w:val="ro-RO"/>
              </w:rPr>
              <w:t>Nu este cazul</w:t>
            </w:r>
          </w:p>
        </w:tc>
      </w:tr>
      <w:tr w:rsidR="00042F7F" w:rsidRPr="00C87322" w:rsidTr="0078151F">
        <w:tc>
          <w:tcPr>
            <w:tcW w:w="3686" w:type="dxa"/>
          </w:tcPr>
          <w:p w:rsidR="00042F7F" w:rsidRPr="00C87322" w:rsidRDefault="00042F7F" w:rsidP="00042F7F">
            <w:pPr>
              <w:jc w:val="both"/>
              <w:rPr>
                <w:lang w:val="ro-RO"/>
              </w:rPr>
            </w:pPr>
            <w:r w:rsidRPr="00C87322">
              <w:rPr>
                <w:lang w:val="ro-RO"/>
              </w:rPr>
              <w:lastRenderedPageBreak/>
              <w:t>Articolul 5</w:t>
            </w:r>
          </w:p>
          <w:p w:rsidR="00042F7F" w:rsidRPr="00C87322" w:rsidRDefault="00042F7F" w:rsidP="00042F7F">
            <w:pPr>
              <w:jc w:val="both"/>
              <w:rPr>
                <w:lang w:val="ro-RO"/>
              </w:rPr>
            </w:pPr>
            <w:r w:rsidRPr="00C87322">
              <w:rPr>
                <w:lang w:val="ro-RO"/>
              </w:rPr>
              <w:t>(1) Începând cu data de 1 ianuarie 2005, normele de sănătate animală stabilite de Directiva 72/462/CEE continuă să se aplice numai importului de animale vii.</w:t>
            </w:r>
          </w:p>
          <w:p w:rsidR="00042F7F" w:rsidRPr="00C87322" w:rsidRDefault="00042F7F" w:rsidP="00042F7F">
            <w:pPr>
              <w:jc w:val="both"/>
              <w:rPr>
                <w:lang w:val="ro-RO"/>
              </w:rPr>
            </w:pPr>
            <w:r w:rsidRPr="00C87322">
              <w:rPr>
                <w:lang w:val="ro-RO"/>
              </w:rPr>
              <w:t>(2) Cu începere de la data pertinentă, Directiva 72/462/CEE continuă să se aplice numai importului de animale vii.</w:t>
            </w:r>
          </w:p>
          <w:p w:rsidR="009E3245" w:rsidRPr="00C87322" w:rsidRDefault="009E3245" w:rsidP="00042F7F">
            <w:pPr>
              <w:jc w:val="both"/>
              <w:rPr>
                <w:lang w:val="ro-RO"/>
              </w:rPr>
            </w:pPr>
          </w:p>
        </w:tc>
        <w:tc>
          <w:tcPr>
            <w:tcW w:w="3260" w:type="dxa"/>
          </w:tcPr>
          <w:p w:rsidR="00042F7F" w:rsidRPr="00C87322" w:rsidRDefault="00042F7F" w:rsidP="000D513B">
            <w:pPr>
              <w:jc w:val="both"/>
              <w:rPr>
                <w:lang w:val="ro-RO"/>
              </w:rPr>
            </w:pPr>
          </w:p>
        </w:tc>
        <w:tc>
          <w:tcPr>
            <w:tcW w:w="1418" w:type="dxa"/>
          </w:tcPr>
          <w:p w:rsidR="00042F7F" w:rsidRPr="00C87322" w:rsidRDefault="00991D07" w:rsidP="00E95CA9">
            <w:pPr>
              <w:jc w:val="both"/>
              <w:rPr>
                <w:lang w:val="ro-RO"/>
              </w:rPr>
            </w:pPr>
            <w:r w:rsidRPr="00C87322">
              <w:rPr>
                <w:lang w:val="ro-RO"/>
              </w:rPr>
              <w:t>incompatibil</w:t>
            </w:r>
          </w:p>
        </w:tc>
        <w:tc>
          <w:tcPr>
            <w:tcW w:w="3827" w:type="dxa"/>
          </w:tcPr>
          <w:p w:rsidR="00042F7F" w:rsidRPr="00C87322" w:rsidRDefault="009E3245" w:rsidP="009E3245">
            <w:pPr>
              <w:jc w:val="both"/>
              <w:rPr>
                <w:lang w:val="ro-RO"/>
              </w:rPr>
            </w:pPr>
            <w:r w:rsidRPr="00C87322">
              <w:rPr>
                <w:lang w:val="ro-RO"/>
              </w:rPr>
              <w:t>Articolul stabilește norme tranzitorii de aplicare a Directivei 72/462/CEE, care nu a fost traspusă în legislația Republicii Moldova și care în cele din urmă a fost abrogată prin Directiva 2004/68/CE</w:t>
            </w:r>
          </w:p>
        </w:tc>
        <w:tc>
          <w:tcPr>
            <w:tcW w:w="1418" w:type="dxa"/>
          </w:tcPr>
          <w:p w:rsidR="00042F7F" w:rsidRPr="00C87322" w:rsidRDefault="00042F7F" w:rsidP="00E95CA9">
            <w:pPr>
              <w:jc w:val="both"/>
              <w:rPr>
                <w:b/>
                <w:lang w:val="ro-RO"/>
              </w:rPr>
            </w:pPr>
          </w:p>
        </w:tc>
        <w:tc>
          <w:tcPr>
            <w:tcW w:w="1275" w:type="dxa"/>
          </w:tcPr>
          <w:p w:rsidR="00042F7F" w:rsidRPr="00C87322" w:rsidRDefault="0078151F" w:rsidP="00E95CA9">
            <w:pPr>
              <w:jc w:val="both"/>
              <w:rPr>
                <w:b/>
                <w:lang w:val="ro-RO"/>
              </w:rPr>
            </w:pPr>
            <w:r w:rsidRPr="00C87322">
              <w:rPr>
                <w:lang w:val="ro-RO"/>
              </w:rPr>
              <w:t>Nu este cazul</w:t>
            </w:r>
          </w:p>
        </w:tc>
      </w:tr>
      <w:tr w:rsidR="009E3245" w:rsidRPr="00C87322" w:rsidTr="0078151F">
        <w:tc>
          <w:tcPr>
            <w:tcW w:w="3686" w:type="dxa"/>
          </w:tcPr>
          <w:p w:rsidR="009E3245" w:rsidRPr="00C87322" w:rsidRDefault="009E3245" w:rsidP="00042F7F">
            <w:pPr>
              <w:jc w:val="both"/>
              <w:rPr>
                <w:lang w:val="ro-RO"/>
              </w:rPr>
            </w:pPr>
            <w:r w:rsidRPr="00C87322">
              <w:rPr>
                <w:lang w:val="ro-RO"/>
              </w:rPr>
              <w:t>Articolul 6</w:t>
            </w:r>
          </w:p>
          <w:p w:rsidR="009E3245" w:rsidRPr="00C87322" w:rsidRDefault="009E3245" w:rsidP="00042F7F">
            <w:pPr>
              <w:jc w:val="both"/>
              <w:rPr>
                <w:lang w:val="ro-RO"/>
              </w:rPr>
            </w:pPr>
            <w:r w:rsidRPr="00C87322">
              <w:rPr>
                <w:lang w:val="ro-RO"/>
              </w:rPr>
              <w:t>Cu începere de la data pertinentă, Directiva 89/662/CEE a Consiliului se modifică după cum urmează:</w:t>
            </w:r>
          </w:p>
          <w:p w:rsidR="009E3245" w:rsidRPr="00C87322" w:rsidRDefault="009E3245" w:rsidP="009E3245">
            <w:pPr>
              <w:pStyle w:val="2"/>
              <w:tabs>
                <w:tab w:val="left" w:pos="776"/>
              </w:tabs>
              <w:spacing w:before="120" w:beforeAutospacing="0" w:after="0" w:afterAutospacing="0" w:line="312" w:lineRule="atLeast"/>
              <w:textAlignment w:val="baseline"/>
              <w:rPr>
                <w:lang w:val="ro-RO"/>
              </w:rPr>
            </w:pPr>
            <w:r w:rsidRPr="00C87322">
              <w:rPr>
                <w:lang w:val="ro-RO"/>
              </w:rPr>
              <w:t>1. Trimiterile:</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(a) din articolul 1, la „produsele de origine animală, prevăzute de directivele enumerate în anexa A”</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și</w:t>
            </w:r>
          </w:p>
          <w:p w:rsidR="009E3245" w:rsidRPr="00C87322" w:rsidRDefault="009E3245">
            <w:pPr>
              <w:pStyle w:val="2"/>
              <w:spacing w:before="120" w:beforeAutospacing="0" w:after="0" w:afterAutospacing="0" w:line="312" w:lineRule="atLeast"/>
              <w:jc w:val="both"/>
              <w:textAlignment w:val="baseline"/>
              <w:rPr>
                <w:lang w:val="ro-RO"/>
              </w:rPr>
            </w:pPr>
            <w:r w:rsidRPr="00C87322">
              <w:rPr>
                <w:lang w:val="ro-RO"/>
              </w:rPr>
              <w:t xml:space="preserve">(b) din articolul 4 alineatul (1), la „produsele obținute în conformitate cu directivele menționate în anexa </w:t>
            </w:r>
            <w:r w:rsidRPr="00C87322">
              <w:rPr>
                <w:lang w:val="ro-RO"/>
              </w:rPr>
              <w:lastRenderedPageBreak/>
              <w:t>A”</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se înlocuiesc cu trimiterea la „produsele de origine animală, prevăzute de actele menționate în anexa A”.</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2. Anexa A se înlocuiește cu următorul text:</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„ANEXA A</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Capitolul I</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Directiva 2002/99/CE a Consiliului din 16 decembrie 2002 de stabilire a normelor de sănătate animală care reglementează producția, prelucrarea, distribuția și introducerea produselor de origine animală destinate consumului uman.</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Regulamentul (CE) nr. 853/2004 al Parlamentului European și al Consiliului din 29 aprilie 2004 de stabilire a normelor specifice de igienă privind produsele alimentare de origine animală</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CAPITOLUL II</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 xml:space="preserve">Directiva 92/118/CEE a Consiliului din 17 decembrie 1992 care stabilește condițiile de sănătate animală și de sănătate publică ce </w:t>
            </w:r>
            <w:r w:rsidRPr="00C87322">
              <w:rPr>
                <w:lang w:val="ro-RO"/>
              </w:rPr>
              <w:lastRenderedPageBreak/>
              <w:t>reglementează comerțul și importurile în Comunitate de produse care nu fac obiectul acestor cerințe, care au fost prevăzute de normele comunitare specifice menționate în anexa A capitolul I la Directiva 89/662/CEE și, în ceea ce privește agenții patogeni, al Directivei 90/425/CEE.</w:t>
            </w:r>
          </w:p>
          <w:p w:rsidR="009E3245" w:rsidRPr="00C87322" w:rsidRDefault="009E3245" w:rsidP="009E3245">
            <w:pPr>
              <w:pStyle w:val="2"/>
              <w:spacing w:before="120" w:beforeAutospacing="0" w:after="0" w:afterAutospacing="0" w:line="312" w:lineRule="atLeast"/>
              <w:jc w:val="both"/>
              <w:textAlignment w:val="baseline"/>
              <w:rPr>
                <w:lang w:val="ro-RO"/>
              </w:rPr>
            </w:pPr>
            <w:r w:rsidRPr="00C87322">
              <w:rPr>
                <w:lang w:val="ro-RO"/>
              </w:rPr>
              <w:t>Regulamentul (CE) nr. 1774/2002 al Parlamentului European și al Consiliului din 3 octombrie 2002 de stabilire a normelor sanitare care se aplică subproduselor de origine animală, care nu sunt destinate consumului uman</w:t>
            </w:r>
          </w:p>
        </w:tc>
        <w:tc>
          <w:tcPr>
            <w:tcW w:w="3260" w:type="dxa"/>
          </w:tcPr>
          <w:p w:rsidR="009E3245" w:rsidRPr="00C87322" w:rsidRDefault="009E3245" w:rsidP="000D513B">
            <w:pPr>
              <w:jc w:val="both"/>
              <w:rPr>
                <w:lang w:val="ro-RO"/>
              </w:rPr>
            </w:pPr>
          </w:p>
        </w:tc>
        <w:tc>
          <w:tcPr>
            <w:tcW w:w="1418" w:type="dxa"/>
          </w:tcPr>
          <w:p w:rsidR="009E3245" w:rsidRPr="00C87322" w:rsidRDefault="00D06457" w:rsidP="00E95CA9">
            <w:pPr>
              <w:jc w:val="both"/>
              <w:rPr>
                <w:lang w:val="ro-RO"/>
              </w:rPr>
            </w:pPr>
            <w:r w:rsidRPr="00C87322">
              <w:rPr>
                <w:lang w:val="ro-RO"/>
              </w:rPr>
              <w:t>incombatibil</w:t>
            </w:r>
          </w:p>
        </w:tc>
        <w:tc>
          <w:tcPr>
            <w:tcW w:w="3827" w:type="dxa"/>
          </w:tcPr>
          <w:p w:rsidR="009E3245" w:rsidRPr="00C87322" w:rsidRDefault="00D06457" w:rsidP="00D06457">
            <w:pPr>
              <w:jc w:val="both"/>
              <w:rPr>
                <w:lang w:val="ro-RO"/>
              </w:rPr>
            </w:pPr>
            <w:r w:rsidRPr="00C87322">
              <w:rPr>
                <w:lang w:val="ro-RO"/>
              </w:rPr>
              <w:t>Articolul 6 conține o normă de modificare a Directivei 89/662/CEE care nu a fost preluată în legislația Republicii Moldova, prin urmare se face imposibilă armonizarea acestui articol.</w:t>
            </w:r>
          </w:p>
        </w:tc>
        <w:tc>
          <w:tcPr>
            <w:tcW w:w="1418" w:type="dxa"/>
          </w:tcPr>
          <w:p w:rsidR="009E3245" w:rsidRPr="00C87322" w:rsidRDefault="009E3245" w:rsidP="00E95CA9">
            <w:pPr>
              <w:jc w:val="both"/>
              <w:rPr>
                <w:b/>
                <w:lang w:val="ro-RO"/>
              </w:rPr>
            </w:pPr>
          </w:p>
        </w:tc>
        <w:tc>
          <w:tcPr>
            <w:tcW w:w="1275" w:type="dxa"/>
          </w:tcPr>
          <w:p w:rsidR="009E3245" w:rsidRPr="00C87322" w:rsidRDefault="0078151F" w:rsidP="00E95CA9">
            <w:pPr>
              <w:jc w:val="both"/>
              <w:rPr>
                <w:b/>
                <w:lang w:val="ro-RO"/>
              </w:rPr>
            </w:pPr>
            <w:r w:rsidRPr="00C87322">
              <w:rPr>
                <w:lang w:val="ro-RO"/>
              </w:rPr>
              <w:t>Nu este cazul</w:t>
            </w:r>
          </w:p>
        </w:tc>
      </w:tr>
      <w:tr w:rsidR="00D06457" w:rsidRPr="00C87322" w:rsidTr="0078151F">
        <w:tc>
          <w:tcPr>
            <w:tcW w:w="3686" w:type="dxa"/>
          </w:tcPr>
          <w:p w:rsidR="00D06457" w:rsidRPr="00C87322" w:rsidRDefault="00D06457" w:rsidP="00D06457">
            <w:pPr>
              <w:pStyle w:val="2"/>
              <w:spacing w:before="120" w:beforeAutospacing="0" w:after="0" w:afterAutospacing="0" w:line="312" w:lineRule="atLeast"/>
              <w:jc w:val="both"/>
              <w:textAlignment w:val="baseline"/>
              <w:rPr>
                <w:lang w:val="ro-RO"/>
              </w:rPr>
            </w:pPr>
            <w:r w:rsidRPr="00C87322">
              <w:rPr>
                <w:lang w:val="ro-RO"/>
              </w:rPr>
              <w:lastRenderedPageBreak/>
              <w:t>Articolul 7</w:t>
            </w:r>
          </w:p>
          <w:p w:rsidR="00D06457" w:rsidRPr="00C87322" w:rsidRDefault="00D06457" w:rsidP="00D06457">
            <w:pPr>
              <w:pStyle w:val="2"/>
              <w:spacing w:before="120" w:beforeAutospacing="0" w:after="0" w:afterAutospacing="0" w:line="312" w:lineRule="atLeast"/>
              <w:jc w:val="both"/>
              <w:textAlignment w:val="baseline"/>
              <w:rPr>
                <w:lang w:val="ro-RO"/>
              </w:rPr>
            </w:pPr>
            <w:r w:rsidRPr="00C87322">
              <w:rPr>
                <w:lang w:val="ro-RO"/>
              </w:rPr>
              <w:t>Cu începere de la data intrării în vigoare a prezentei directive, articolul 9 din Decizia 95/408/CE se înlocuiește cu următorul text:</w:t>
            </w:r>
          </w:p>
          <w:p w:rsidR="00D06457" w:rsidRPr="00C87322" w:rsidRDefault="00D06457" w:rsidP="00D06457">
            <w:pPr>
              <w:pStyle w:val="2"/>
              <w:spacing w:before="120" w:beforeAutospacing="0" w:after="0" w:afterAutospacing="0" w:line="312" w:lineRule="atLeast"/>
              <w:jc w:val="both"/>
              <w:textAlignment w:val="baseline"/>
              <w:rPr>
                <w:lang w:val="ro-RO"/>
              </w:rPr>
            </w:pPr>
            <w:r w:rsidRPr="00C87322">
              <w:rPr>
                <w:lang w:val="ro-RO"/>
              </w:rPr>
              <w:t>„Articolul 9</w:t>
            </w:r>
          </w:p>
          <w:p w:rsidR="00D06457" w:rsidRPr="00C87322" w:rsidRDefault="00D06457" w:rsidP="00D06457">
            <w:pPr>
              <w:pStyle w:val="2"/>
              <w:spacing w:before="120" w:beforeAutospacing="0" w:after="0" w:afterAutospacing="0" w:line="312" w:lineRule="atLeast"/>
              <w:jc w:val="both"/>
              <w:textAlignment w:val="baseline"/>
              <w:rPr>
                <w:lang w:val="ro-RO"/>
              </w:rPr>
            </w:pPr>
            <w:r w:rsidRPr="00C87322">
              <w:rPr>
                <w:lang w:val="ro-RO"/>
              </w:rPr>
              <w:t xml:space="preserve">Prezenta decizie se aplică până la «data pertinentă» astfel cum este definită în articolul 1 din Directiva 2004/41/CE a Parlamentului European și a Consiliului din 21 aprilie 2004 de abrogare a anumitor directive referitoare la </w:t>
            </w:r>
            <w:r w:rsidRPr="00C87322">
              <w:rPr>
                <w:lang w:val="ro-RO"/>
              </w:rPr>
              <w:lastRenderedPageBreak/>
              <w:t>condițiile sanitare și de igienă alimentară pentru producția și comercializarea anumitor produse de origine animală destinate consumului uman</w:t>
            </w:r>
            <w:r w:rsidR="002003E6">
              <w:fldChar w:fldCharType="begin"/>
            </w:r>
            <w:r w:rsidR="002003E6">
              <w:instrText xml:space="preserve"> HYPERLINK "http://eur-lex.europa.eu/legal-content/RO/TXT/?qid=1522669331063&amp;uri=CELEX:32004L0041" \l "ntr*-L_2004157RO.01003301-E0029" </w:instrText>
            </w:r>
            <w:r w:rsidR="002003E6">
              <w:fldChar w:fldCharType="separate"/>
            </w:r>
            <w:r w:rsidRPr="00C87322">
              <w:rPr>
                <w:lang w:val="ro-RO"/>
              </w:rPr>
              <w:t> (*)</w:t>
            </w:r>
            <w:r w:rsidR="002003E6">
              <w:rPr>
                <w:lang w:val="ro-RO"/>
              </w:rPr>
              <w:fldChar w:fldCharType="end"/>
            </w:r>
            <w:r w:rsidRPr="00C87322">
              <w:rPr>
                <w:lang w:val="ro-RO"/>
              </w:rPr>
              <w:t>.</w:t>
            </w:r>
          </w:p>
        </w:tc>
        <w:tc>
          <w:tcPr>
            <w:tcW w:w="3260" w:type="dxa"/>
          </w:tcPr>
          <w:p w:rsidR="00D06457" w:rsidRPr="00C87322" w:rsidRDefault="00D06457" w:rsidP="000D513B">
            <w:pPr>
              <w:jc w:val="both"/>
              <w:rPr>
                <w:lang w:val="ro-RO"/>
              </w:rPr>
            </w:pPr>
          </w:p>
        </w:tc>
        <w:tc>
          <w:tcPr>
            <w:tcW w:w="1418" w:type="dxa"/>
          </w:tcPr>
          <w:p w:rsidR="00D06457" w:rsidRPr="00C87322" w:rsidRDefault="00D06457" w:rsidP="003A66C0">
            <w:pPr>
              <w:jc w:val="both"/>
              <w:rPr>
                <w:lang w:val="ro-RO"/>
              </w:rPr>
            </w:pPr>
            <w:r w:rsidRPr="00C87322">
              <w:rPr>
                <w:lang w:val="ro-RO"/>
              </w:rPr>
              <w:t>incombatibil</w:t>
            </w:r>
          </w:p>
        </w:tc>
        <w:tc>
          <w:tcPr>
            <w:tcW w:w="3827" w:type="dxa"/>
          </w:tcPr>
          <w:p w:rsidR="00D06457" w:rsidRPr="00C87322" w:rsidRDefault="00D06457" w:rsidP="00D06457">
            <w:pPr>
              <w:jc w:val="both"/>
              <w:rPr>
                <w:lang w:val="ro-RO"/>
              </w:rPr>
            </w:pPr>
            <w:r w:rsidRPr="00C87322">
              <w:rPr>
                <w:lang w:val="ro-RO"/>
              </w:rPr>
              <w:t>Articolul 7 conține o normă de modificare</w:t>
            </w:r>
            <w:r w:rsidR="0071543A" w:rsidRPr="00C87322">
              <w:rPr>
                <w:lang w:val="ro-RO"/>
              </w:rPr>
              <w:t xml:space="preserve"> a Diciziei 95/408/CE care nu a fost preluată în legislația Republicii Moldova, prin urmare se face imposibilă armonizarea acestui articol.</w:t>
            </w:r>
          </w:p>
        </w:tc>
        <w:tc>
          <w:tcPr>
            <w:tcW w:w="1418" w:type="dxa"/>
          </w:tcPr>
          <w:p w:rsidR="00D06457" w:rsidRPr="00C87322" w:rsidRDefault="00D06457" w:rsidP="00E95CA9">
            <w:pPr>
              <w:jc w:val="both"/>
              <w:rPr>
                <w:b/>
                <w:lang w:val="ro-RO"/>
              </w:rPr>
            </w:pPr>
          </w:p>
        </w:tc>
        <w:tc>
          <w:tcPr>
            <w:tcW w:w="1275" w:type="dxa"/>
          </w:tcPr>
          <w:p w:rsidR="00D06457" w:rsidRPr="00C87322" w:rsidRDefault="0078151F" w:rsidP="00E95CA9">
            <w:pPr>
              <w:jc w:val="both"/>
              <w:rPr>
                <w:b/>
                <w:lang w:val="ro-RO"/>
              </w:rPr>
            </w:pPr>
            <w:r w:rsidRPr="00C87322">
              <w:rPr>
                <w:lang w:val="ro-RO"/>
              </w:rPr>
              <w:t>Nu este cazul</w:t>
            </w:r>
          </w:p>
        </w:tc>
      </w:tr>
    </w:tbl>
    <w:p w:rsidR="00667F61" w:rsidRPr="00C87322" w:rsidRDefault="00667F61">
      <w:pPr>
        <w:rPr>
          <w:lang w:val="ro-RO"/>
        </w:rPr>
      </w:pPr>
    </w:p>
    <w:p w:rsidR="00C87322" w:rsidRPr="00C87322" w:rsidRDefault="00C87322">
      <w:pPr>
        <w:rPr>
          <w:lang w:val="ro-RO"/>
        </w:rPr>
      </w:pPr>
    </w:p>
    <w:p w:rsidR="00C87322" w:rsidRPr="00C87322" w:rsidRDefault="00C87322">
      <w:pPr>
        <w:rPr>
          <w:lang w:val="ro-RO"/>
        </w:rPr>
      </w:pPr>
    </w:p>
    <w:p w:rsidR="00C87322" w:rsidRPr="00C87322" w:rsidRDefault="00C87322" w:rsidP="00C87322">
      <w:pPr>
        <w:tabs>
          <w:tab w:val="left" w:pos="9356"/>
        </w:tabs>
        <w:rPr>
          <w:b/>
          <w:lang w:val="ro-RO"/>
        </w:rPr>
      </w:pPr>
      <w:r w:rsidRPr="00C87322">
        <w:rPr>
          <w:b/>
          <w:lang w:val="ro-RO"/>
        </w:rPr>
        <w:t xml:space="preserve">Ministru </w:t>
      </w:r>
      <w:r w:rsidRPr="00C87322">
        <w:rPr>
          <w:b/>
          <w:lang w:val="ro-RO"/>
        </w:rPr>
        <w:tab/>
        <w:t>Liviu VOLCONOVICI</w:t>
      </w:r>
    </w:p>
    <w:p w:rsidR="00C87322" w:rsidRPr="00C87322" w:rsidRDefault="00C87322" w:rsidP="00C87322">
      <w:pPr>
        <w:tabs>
          <w:tab w:val="left" w:pos="9356"/>
        </w:tabs>
        <w:rPr>
          <w:b/>
          <w:lang w:val="ro-RO"/>
        </w:rPr>
      </w:pPr>
    </w:p>
    <w:p w:rsidR="00C87322" w:rsidRPr="00C87322" w:rsidRDefault="00C87322" w:rsidP="00C87322">
      <w:pPr>
        <w:tabs>
          <w:tab w:val="left" w:pos="9356"/>
        </w:tabs>
        <w:rPr>
          <w:b/>
          <w:lang w:val="ro-RO"/>
        </w:rPr>
      </w:pPr>
    </w:p>
    <w:p w:rsidR="00C87322" w:rsidRPr="00C87322" w:rsidRDefault="00C87322" w:rsidP="00C87322">
      <w:pPr>
        <w:tabs>
          <w:tab w:val="left" w:pos="9356"/>
        </w:tabs>
        <w:rPr>
          <w:b/>
          <w:lang w:val="ro-RO"/>
        </w:rPr>
      </w:pPr>
    </w:p>
    <w:p w:rsidR="00C87322" w:rsidRPr="00C87322" w:rsidRDefault="00C87322" w:rsidP="00C87322">
      <w:pPr>
        <w:tabs>
          <w:tab w:val="left" w:pos="9356"/>
        </w:tabs>
        <w:rPr>
          <w:b/>
          <w:lang w:val="ro-RO"/>
        </w:rPr>
      </w:pPr>
    </w:p>
    <w:p w:rsidR="00C87322" w:rsidRPr="00C87322" w:rsidRDefault="00C87322" w:rsidP="00C87322">
      <w:pPr>
        <w:tabs>
          <w:tab w:val="left" w:pos="9356"/>
        </w:tabs>
        <w:rPr>
          <w:b/>
          <w:lang w:val="ro-RO"/>
        </w:rPr>
      </w:pPr>
    </w:p>
    <w:p w:rsidR="00C87322" w:rsidRPr="00C87322" w:rsidRDefault="00C87322" w:rsidP="0085026A">
      <w:pPr>
        <w:rPr>
          <w:sz w:val="16"/>
          <w:szCs w:val="16"/>
        </w:rPr>
      </w:pPr>
      <w:r w:rsidRPr="00C87322">
        <w:rPr>
          <w:sz w:val="16"/>
          <w:szCs w:val="16"/>
        </w:rPr>
        <w:t xml:space="preserve">Ex.: </w:t>
      </w:r>
      <w:proofErr w:type="spellStart"/>
      <w:r w:rsidRPr="00C87322">
        <w:rPr>
          <w:sz w:val="16"/>
          <w:szCs w:val="16"/>
        </w:rPr>
        <w:t>Dogotari</w:t>
      </w:r>
      <w:proofErr w:type="spellEnd"/>
      <w:r w:rsidRPr="00C87322">
        <w:rPr>
          <w:sz w:val="16"/>
          <w:szCs w:val="16"/>
        </w:rPr>
        <w:t xml:space="preserve"> </w:t>
      </w:r>
      <w:proofErr w:type="spellStart"/>
      <w:r w:rsidRPr="00C87322">
        <w:rPr>
          <w:sz w:val="16"/>
          <w:szCs w:val="16"/>
        </w:rPr>
        <w:t>Vasilii</w:t>
      </w:r>
      <w:proofErr w:type="spellEnd"/>
    </w:p>
    <w:p w:rsidR="00C87322" w:rsidRPr="00C87322" w:rsidRDefault="00C87322" w:rsidP="0085026A">
      <w:pPr>
        <w:rPr>
          <w:sz w:val="16"/>
          <w:szCs w:val="16"/>
        </w:rPr>
      </w:pPr>
      <w:r w:rsidRPr="00C87322">
        <w:rPr>
          <w:sz w:val="16"/>
          <w:szCs w:val="16"/>
        </w:rPr>
        <w:t>Tel.: 0(22) 204578</w:t>
      </w:r>
    </w:p>
    <w:p w:rsidR="00C87322" w:rsidRPr="00C87322" w:rsidRDefault="00C87322" w:rsidP="00C87322">
      <w:pPr>
        <w:tabs>
          <w:tab w:val="left" w:pos="9356"/>
        </w:tabs>
        <w:rPr>
          <w:b/>
          <w:lang w:val="ro-RO"/>
        </w:rPr>
      </w:pPr>
    </w:p>
    <w:sectPr w:rsidR="00C87322" w:rsidRPr="00C87322" w:rsidSect="002003E6">
      <w:pgSz w:w="16840" w:h="11907" w:orient="landscape" w:code="9"/>
      <w:pgMar w:top="567" w:right="1440" w:bottom="1440" w:left="144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7088D"/>
    <w:multiLevelType w:val="hybridMultilevel"/>
    <w:tmpl w:val="8B9EBE30"/>
    <w:lvl w:ilvl="0" w:tplc="E8C46D38">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28"/>
    <w:rsid w:val="00042F7F"/>
    <w:rsid w:val="00096039"/>
    <w:rsid w:val="000D513B"/>
    <w:rsid w:val="001660A1"/>
    <w:rsid w:val="001A6D1B"/>
    <w:rsid w:val="001F53FA"/>
    <w:rsid w:val="002003E6"/>
    <w:rsid w:val="0022642F"/>
    <w:rsid w:val="002832D0"/>
    <w:rsid w:val="003705A3"/>
    <w:rsid w:val="0037657E"/>
    <w:rsid w:val="00382537"/>
    <w:rsid w:val="00430AA8"/>
    <w:rsid w:val="004C4589"/>
    <w:rsid w:val="00525DD0"/>
    <w:rsid w:val="00574D8F"/>
    <w:rsid w:val="00594AF3"/>
    <w:rsid w:val="00667F61"/>
    <w:rsid w:val="00707903"/>
    <w:rsid w:val="0071543A"/>
    <w:rsid w:val="0078151F"/>
    <w:rsid w:val="00793F28"/>
    <w:rsid w:val="0084270C"/>
    <w:rsid w:val="0086283D"/>
    <w:rsid w:val="00877BF5"/>
    <w:rsid w:val="008D17FB"/>
    <w:rsid w:val="00991D07"/>
    <w:rsid w:val="00996382"/>
    <w:rsid w:val="009E3245"/>
    <w:rsid w:val="00A83A8E"/>
    <w:rsid w:val="00A8418C"/>
    <w:rsid w:val="00A85569"/>
    <w:rsid w:val="00AC6CE6"/>
    <w:rsid w:val="00C87322"/>
    <w:rsid w:val="00D06457"/>
    <w:rsid w:val="00E7650A"/>
    <w:rsid w:val="00F9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28"/>
    <w:pPr>
      <w:jc w:val="left"/>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3F28"/>
    <w:pPr>
      <w:autoSpaceDE w:val="0"/>
      <w:autoSpaceDN w:val="0"/>
      <w:adjustRightInd w:val="0"/>
      <w:jc w:val="left"/>
    </w:pPr>
    <w:rPr>
      <w:rFonts w:eastAsia="Times New Roman" w:cs="Times New Roman"/>
      <w:color w:val="000000"/>
      <w:sz w:val="24"/>
      <w:szCs w:val="24"/>
    </w:rPr>
  </w:style>
  <w:style w:type="paragraph" w:customStyle="1" w:styleId="title-doc-first">
    <w:name w:val="title-doc-first"/>
    <w:basedOn w:val="a"/>
    <w:rsid w:val="00793F28"/>
    <w:pPr>
      <w:spacing w:before="100" w:beforeAutospacing="1" w:after="100" w:afterAutospacing="1"/>
    </w:pPr>
    <w:rPr>
      <w:lang w:val="ru-RU" w:eastAsia="ru-RU"/>
    </w:rPr>
  </w:style>
  <w:style w:type="character" w:styleId="a3">
    <w:name w:val="Hyperlink"/>
    <w:basedOn w:val="a0"/>
    <w:uiPriority w:val="99"/>
    <w:semiHidden/>
    <w:unhideWhenUsed/>
    <w:rsid w:val="00793F28"/>
    <w:rPr>
      <w:color w:val="0000FF"/>
      <w:u w:val="single"/>
    </w:rPr>
  </w:style>
  <w:style w:type="character" w:customStyle="1" w:styleId="apple-converted-space">
    <w:name w:val="apple-converted-space"/>
    <w:basedOn w:val="a0"/>
    <w:rsid w:val="00793F28"/>
  </w:style>
  <w:style w:type="character" w:styleId="a4">
    <w:name w:val="Strong"/>
    <w:basedOn w:val="a0"/>
    <w:uiPriority w:val="22"/>
    <w:qFormat/>
    <w:rsid w:val="00793F28"/>
    <w:rPr>
      <w:b/>
      <w:bCs/>
    </w:rPr>
  </w:style>
  <w:style w:type="paragraph" w:customStyle="1" w:styleId="ti-art">
    <w:name w:val="ti-art"/>
    <w:basedOn w:val="a"/>
    <w:rsid w:val="00430AA8"/>
    <w:pPr>
      <w:spacing w:before="100" w:beforeAutospacing="1" w:after="100" w:afterAutospacing="1"/>
    </w:pPr>
  </w:style>
  <w:style w:type="paragraph" w:customStyle="1" w:styleId="1">
    <w:name w:val="Обычный1"/>
    <w:basedOn w:val="a"/>
    <w:rsid w:val="00430AA8"/>
    <w:pPr>
      <w:spacing w:before="100" w:beforeAutospacing="1" w:after="100" w:afterAutospacing="1"/>
    </w:pPr>
  </w:style>
  <w:style w:type="character" w:customStyle="1" w:styleId="super">
    <w:name w:val="super"/>
    <w:basedOn w:val="a0"/>
    <w:rsid w:val="00430AA8"/>
  </w:style>
  <w:style w:type="character" w:customStyle="1" w:styleId="italic">
    <w:name w:val="italic"/>
    <w:basedOn w:val="a0"/>
    <w:rsid w:val="00430AA8"/>
  </w:style>
  <w:style w:type="paragraph" w:styleId="a5">
    <w:name w:val="List Paragraph"/>
    <w:basedOn w:val="a"/>
    <w:uiPriority w:val="34"/>
    <w:qFormat/>
    <w:rsid w:val="00996382"/>
    <w:pPr>
      <w:ind w:left="720"/>
      <w:contextualSpacing/>
    </w:pPr>
  </w:style>
  <w:style w:type="paragraph" w:customStyle="1" w:styleId="2">
    <w:name w:val="Обычный2"/>
    <w:basedOn w:val="a"/>
    <w:rsid w:val="00042F7F"/>
    <w:pPr>
      <w:spacing w:before="100" w:beforeAutospacing="1" w:after="100" w:afterAutospacing="1"/>
    </w:pPr>
  </w:style>
  <w:style w:type="paragraph" w:styleId="a6">
    <w:name w:val="Balloon Text"/>
    <w:basedOn w:val="a"/>
    <w:link w:val="a7"/>
    <w:uiPriority w:val="99"/>
    <w:semiHidden/>
    <w:unhideWhenUsed/>
    <w:rsid w:val="009E3245"/>
    <w:rPr>
      <w:rFonts w:ascii="Tahoma" w:hAnsi="Tahoma" w:cs="Tahoma"/>
      <w:sz w:val="16"/>
      <w:szCs w:val="16"/>
    </w:rPr>
  </w:style>
  <w:style w:type="character" w:customStyle="1" w:styleId="a7">
    <w:name w:val="Текст выноски Знак"/>
    <w:basedOn w:val="a0"/>
    <w:link w:val="a6"/>
    <w:uiPriority w:val="99"/>
    <w:semiHidden/>
    <w:rsid w:val="009E3245"/>
    <w:rPr>
      <w:rFonts w:ascii="Tahoma" w:eastAsia="Times New Roman" w:hAnsi="Tahoma" w:cs="Tahoma"/>
      <w:sz w:val="16"/>
      <w:szCs w:val="16"/>
    </w:rPr>
  </w:style>
  <w:style w:type="paragraph" w:customStyle="1" w:styleId="ti-grseq-1">
    <w:name w:val="ti-grseq-1"/>
    <w:basedOn w:val="a"/>
    <w:rsid w:val="009E324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28"/>
    <w:pPr>
      <w:jc w:val="left"/>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3F28"/>
    <w:pPr>
      <w:autoSpaceDE w:val="0"/>
      <w:autoSpaceDN w:val="0"/>
      <w:adjustRightInd w:val="0"/>
      <w:jc w:val="left"/>
    </w:pPr>
    <w:rPr>
      <w:rFonts w:eastAsia="Times New Roman" w:cs="Times New Roman"/>
      <w:color w:val="000000"/>
      <w:sz w:val="24"/>
      <w:szCs w:val="24"/>
    </w:rPr>
  </w:style>
  <w:style w:type="paragraph" w:customStyle="1" w:styleId="title-doc-first">
    <w:name w:val="title-doc-first"/>
    <w:basedOn w:val="a"/>
    <w:rsid w:val="00793F28"/>
    <w:pPr>
      <w:spacing w:before="100" w:beforeAutospacing="1" w:after="100" w:afterAutospacing="1"/>
    </w:pPr>
    <w:rPr>
      <w:lang w:val="ru-RU" w:eastAsia="ru-RU"/>
    </w:rPr>
  </w:style>
  <w:style w:type="character" w:styleId="a3">
    <w:name w:val="Hyperlink"/>
    <w:basedOn w:val="a0"/>
    <w:uiPriority w:val="99"/>
    <w:semiHidden/>
    <w:unhideWhenUsed/>
    <w:rsid w:val="00793F28"/>
    <w:rPr>
      <w:color w:val="0000FF"/>
      <w:u w:val="single"/>
    </w:rPr>
  </w:style>
  <w:style w:type="character" w:customStyle="1" w:styleId="apple-converted-space">
    <w:name w:val="apple-converted-space"/>
    <w:basedOn w:val="a0"/>
    <w:rsid w:val="00793F28"/>
  </w:style>
  <w:style w:type="character" w:styleId="a4">
    <w:name w:val="Strong"/>
    <w:basedOn w:val="a0"/>
    <w:uiPriority w:val="22"/>
    <w:qFormat/>
    <w:rsid w:val="00793F28"/>
    <w:rPr>
      <w:b/>
      <w:bCs/>
    </w:rPr>
  </w:style>
  <w:style w:type="paragraph" w:customStyle="1" w:styleId="ti-art">
    <w:name w:val="ti-art"/>
    <w:basedOn w:val="a"/>
    <w:rsid w:val="00430AA8"/>
    <w:pPr>
      <w:spacing w:before="100" w:beforeAutospacing="1" w:after="100" w:afterAutospacing="1"/>
    </w:pPr>
  </w:style>
  <w:style w:type="paragraph" w:customStyle="1" w:styleId="1">
    <w:name w:val="Обычный1"/>
    <w:basedOn w:val="a"/>
    <w:rsid w:val="00430AA8"/>
    <w:pPr>
      <w:spacing w:before="100" w:beforeAutospacing="1" w:after="100" w:afterAutospacing="1"/>
    </w:pPr>
  </w:style>
  <w:style w:type="character" w:customStyle="1" w:styleId="super">
    <w:name w:val="super"/>
    <w:basedOn w:val="a0"/>
    <w:rsid w:val="00430AA8"/>
  </w:style>
  <w:style w:type="character" w:customStyle="1" w:styleId="italic">
    <w:name w:val="italic"/>
    <w:basedOn w:val="a0"/>
    <w:rsid w:val="00430AA8"/>
  </w:style>
  <w:style w:type="paragraph" w:styleId="a5">
    <w:name w:val="List Paragraph"/>
    <w:basedOn w:val="a"/>
    <w:uiPriority w:val="34"/>
    <w:qFormat/>
    <w:rsid w:val="00996382"/>
    <w:pPr>
      <w:ind w:left="720"/>
      <w:contextualSpacing/>
    </w:pPr>
  </w:style>
  <w:style w:type="paragraph" w:customStyle="1" w:styleId="2">
    <w:name w:val="Обычный2"/>
    <w:basedOn w:val="a"/>
    <w:rsid w:val="00042F7F"/>
    <w:pPr>
      <w:spacing w:before="100" w:beforeAutospacing="1" w:after="100" w:afterAutospacing="1"/>
    </w:pPr>
  </w:style>
  <w:style w:type="paragraph" w:styleId="a6">
    <w:name w:val="Balloon Text"/>
    <w:basedOn w:val="a"/>
    <w:link w:val="a7"/>
    <w:uiPriority w:val="99"/>
    <w:semiHidden/>
    <w:unhideWhenUsed/>
    <w:rsid w:val="009E3245"/>
    <w:rPr>
      <w:rFonts w:ascii="Tahoma" w:hAnsi="Tahoma" w:cs="Tahoma"/>
      <w:sz w:val="16"/>
      <w:szCs w:val="16"/>
    </w:rPr>
  </w:style>
  <w:style w:type="character" w:customStyle="1" w:styleId="a7">
    <w:name w:val="Текст выноски Знак"/>
    <w:basedOn w:val="a0"/>
    <w:link w:val="a6"/>
    <w:uiPriority w:val="99"/>
    <w:semiHidden/>
    <w:rsid w:val="009E3245"/>
    <w:rPr>
      <w:rFonts w:ascii="Tahoma" w:eastAsia="Times New Roman" w:hAnsi="Tahoma" w:cs="Tahoma"/>
      <w:sz w:val="16"/>
      <w:szCs w:val="16"/>
    </w:rPr>
  </w:style>
  <w:style w:type="paragraph" w:customStyle="1" w:styleId="ti-grseq-1">
    <w:name w:val="ti-grseq-1"/>
    <w:basedOn w:val="a"/>
    <w:rsid w:val="009E32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1036">
      <w:bodyDiv w:val="1"/>
      <w:marLeft w:val="0"/>
      <w:marRight w:val="0"/>
      <w:marTop w:val="0"/>
      <w:marBottom w:val="0"/>
      <w:divBdr>
        <w:top w:val="none" w:sz="0" w:space="0" w:color="auto"/>
        <w:left w:val="none" w:sz="0" w:space="0" w:color="auto"/>
        <w:bottom w:val="none" w:sz="0" w:space="0" w:color="auto"/>
        <w:right w:val="none" w:sz="0" w:space="0" w:color="auto"/>
      </w:divBdr>
    </w:div>
    <w:div w:id="87390667">
      <w:bodyDiv w:val="1"/>
      <w:marLeft w:val="0"/>
      <w:marRight w:val="0"/>
      <w:marTop w:val="0"/>
      <w:marBottom w:val="0"/>
      <w:divBdr>
        <w:top w:val="none" w:sz="0" w:space="0" w:color="auto"/>
        <w:left w:val="none" w:sz="0" w:space="0" w:color="auto"/>
        <w:bottom w:val="none" w:sz="0" w:space="0" w:color="auto"/>
        <w:right w:val="none" w:sz="0" w:space="0" w:color="auto"/>
      </w:divBdr>
    </w:div>
    <w:div w:id="88432353">
      <w:bodyDiv w:val="1"/>
      <w:marLeft w:val="0"/>
      <w:marRight w:val="0"/>
      <w:marTop w:val="0"/>
      <w:marBottom w:val="0"/>
      <w:divBdr>
        <w:top w:val="none" w:sz="0" w:space="0" w:color="auto"/>
        <w:left w:val="none" w:sz="0" w:space="0" w:color="auto"/>
        <w:bottom w:val="none" w:sz="0" w:space="0" w:color="auto"/>
        <w:right w:val="none" w:sz="0" w:space="0" w:color="auto"/>
      </w:divBdr>
    </w:div>
    <w:div w:id="347411747">
      <w:bodyDiv w:val="1"/>
      <w:marLeft w:val="0"/>
      <w:marRight w:val="0"/>
      <w:marTop w:val="0"/>
      <w:marBottom w:val="0"/>
      <w:divBdr>
        <w:top w:val="none" w:sz="0" w:space="0" w:color="auto"/>
        <w:left w:val="none" w:sz="0" w:space="0" w:color="auto"/>
        <w:bottom w:val="none" w:sz="0" w:space="0" w:color="auto"/>
        <w:right w:val="none" w:sz="0" w:space="0" w:color="auto"/>
      </w:divBdr>
    </w:div>
    <w:div w:id="559289430">
      <w:bodyDiv w:val="1"/>
      <w:marLeft w:val="0"/>
      <w:marRight w:val="0"/>
      <w:marTop w:val="0"/>
      <w:marBottom w:val="0"/>
      <w:divBdr>
        <w:top w:val="none" w:sz="0" w:space="0" w:color="auto"/>
        <w:left w:val="none" w:sz="0" w:space="0" w:color="auto"/>
        <w:bottom w:val="none" w:sz="0" w:space="0" w:color="auto"/>
        <w:right w:val="none" w:sz="0" w:space="0" w:color="auto"/>
      </w:divBdr>
    </w:div>
    <w:div w:id="1042438211">
      <w:bodyDiv w:val="1"/>
      <w:marLeft w:val="0"/>
      <w:marRight w:val="0"/>
      <w:marTop w:val="0"/>
      <w:marBottom w:val="0"/>
      <w:divBdr>
        <w:top w:val="none" w:sz="0" w:space="0" w:color="auto"/>
        <w:left w:val="none" w:sz="0" w:space="0" w:color="auto"/>
        <w:bottom w:val="none" w:sz="0" w:space="0" w:color="auto"/>
        <w:right w:val="none" w:sz="0" w:space="0" w:color="auto"/>
      </w:divBdr>
    </w:div>
    <w:div w:id="1236352212">
      <w:bodyDiv w:val="1"/>
      <w:marLeft w:val="0"/>
      <w:marRight w:val="0"/>
      <w:marTop w:val="0"/>
      <w:marBottom w:val="0"/>
      <w:divBdr>
        <w:top w:val="none" w:sz="0" w:space="0" w:color="auto"/>
        <w:left w:val="none" w:sz="0" w:space="0" w:color="auto"/>
        <w:bottom w:val="none" w:sz="0" w:space="0" w:color="auto"/>
        <w:right w:val="none" w:sz="0" w:space="0" w:color="auto"/>
      </w:divBdr>
    </w:div>
    <w:div w:id="1240023676">
      <w:bodyDiv w:val="1"/>
      <w:marLeft w:val="0"/>
      <w:marRight w:val="0"/>
      <w:marTop w:val="0"/>
      <w:marBottom w:val="0"/>
      <w:divBdr>
        <w:top w:val="none" w:sz="0" w:space="0" w:color="auto"/>
        <w:left w:val="none" w:sz="0" w:space="0" w:color="auto"/>
        <w:bottom w:val="none" w:sz="0" w:space="0" w:color="auto"/>
        <w:right w:val="none" w:sz="0" w:space="0" w:color="auto"/>
      </w:divBdr>
    </w:div>
    <w:div w:id="1261062841">
      <w:bodyDiv w:val="1"/>
      <w:marLeft w:val="0"/>
      <w:marRight w:val="0"/>
      <w:marTop w:val="0"/>
      <w:marBottom w:val="0"/>
      <w:divBdr>
        <w:top w:val="none" w:sz="0" w:space="0" w:color="auto"/>
        <w:left w:val="none" w:sz="0" w:space="0" w:color="auto"/>
        <w:bottom w:val="none" w:sz="0" w:space="0" w:color="auto"/>
        <w:right w:val="none" w:sz="0" w:space="0" w:color="auto"/>
      </w:divBdr>
      <w:divsChild>
        <w:div w:id="1277255999">
          <w:marLeft w:val="0"/>
          <w:marRight w:val="0"/>
          <w:marTop w:val="0"/>
          <w:marBottom w:val="0"/>
          <w:divBdr>
            <w:top w:val="none" w:sz="0" w:space="0" w:color="auto"/>
            <w:left w:val="none" w:sz="0" w:space="0" w:color="auto"/>
            <w:bottom w:val="none" w:sz="0" w:space="0" w:color="auto"/>
            <w:right w:val="none" w:sz="0" w:space="0" w:color="auto"/>
          </w:divBdr>
        </w:div>
      </w:divsChild>
    </w:div>
    <w:div w:id="1535994716">
      <w:bodyDiv w:val="1"/>
      <w:marLeft w:val="0"/>
      <w:marRight w:val="0"/>
      <w:marTop w:val="0"/>
      <w:marBottom w:val="0"/>
      <w:divBdr>
        <w:top w:val="none" w:sz="0" w:space="0" w:color="auto"/>
        <w:left w:val="none" w:sz="0" w:space="0" w:color="auto"/>
        <w:bottom w:val="none" w:sz="0" w:space="0" w:color="auto"/>
        <w:right w:val="none" w:sz="0" w:space="0" w:color="auto"/>
      </w:divBdr>
    </w:div>
    <w:div w:id="1629164739">
      <w:bodyDiv w:val="1"/>
      <w:marLeft w:val="0"/>
      <w:marRight w:val="0"/>
      <w:marTop w:val="0"/>
      <w:marBottom w:val="0"/>
      <w:divBdr>
        <w:top w:val="none" w:sz="0" w:space="0" w:color="auto"/>
        <w:left w:val="none" w:sz="0" w:space="0" w:color="auto"/>
        <w:bottom w:val="none" w:sz="0" w:space="0" w:color="auto"/>
        <w:right w:val="none" w:sz="0" w:space="0" w:color="auto"/>
      </w:divBdr>
    </w:div>
    <w:div w:id="1745911261">
      <w:bodyDiv w:val="1"/>
      <w:marLeft w:val="0"/>
      <w:marRight w:val="0"/>
      <w:marTop w:val="0"/>
      <w:marBottom w:val="0"/>
      <w:divBdr>
        <w:top w:val="none" w:sz="0" w:space="0" w:color="auto"/>
        <w:left w:val="none" w:sz="0" w:space="0" w:color="auto"/>
        <w:bottom w:val="none" w:sz="0" w:space="0" w:color="auto"/>
        <w:right w:val="none" w:sz="0" w:space="0" w:color="auto"/>
      </w:divBdr>
      <w:divsChild>
        <w:div w:id="1866096839">
          <w:marLeft w:val="0"/>
          <w:marRight w:val="0"/>
          <w:marTop w:val="0"/>
          <w:marBottom w:val="0"/>
          <w:divBdr>
            <w:top w:val="none" w:sz="0" w:space="0" w:color="auto"/>
            <w:left w:val="none" w:sz="0" w:space="0" w:color="auto"/>
            <w:bottom w:val="none" w:sz="0" w:space="0" w:color="auto"/>
            <w:right w:val="none" w:sz="0" w:space="0" w:color="auto"/>
          </w:divBdr>
        </w:div>
      </w:divsChild>
    </w:div>
    <w:div w:id="1783765075">
      <w:bodyDiv w:val="1"/>
      <w:marLeft w:val="0"/>
      <w:marRight w:val="0"/>
      <w:marTop w:val="0"/>
      <w:marBottom w:val="0"/>
      <w:divBdr>
        <w:top w:val="none" w:sz="0" w:space="0" w:color="auto"/>
        <w:left w:val="none" w:sz="0" w:space="0" w:color="auto"/>
        <w:bottom w:val="none" w:sz="0" w:space="0" w:color="auto"/>
        <w:right w:val="none" w:sz="0" w:space="0" w:color="auto"/>
      </w:divBdr>
    </w:div>
    <w:div w:id="20810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36A1-805B-4BE1-9113-2411CF2D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TotalTime>
  <Pages>14</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Vasilii Dogotari</cp:lastModifiedBy>
  <cp:revision>10</cp:revision>
  <cp:lastPrinted>2018-04-05T14:00:00Z</cp:lastPrinted>
  <dcterms:created xsi:type="dcterms:W3CDTF">2018-03-02T13:53:00Z</dcterms:created>
  <dcterms:modified xsi:type="dcterms:W3CDTF">2018-04-05T14:02:00Z</dcterms:modified>
</cp:coreProperties>
</file>