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5A" w:rsidRPr="00552DCA" w:rsidRDefault="007C235A" w:rsidP="007C235A">
      <w:pPr>
        <w:tabs>
          <w:tab w:val="left" w:pos="884"/>
          <w:tab w:val="left" w:pos="1196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552DCA">
        <w:rPr>
          <w:rFonts w:ascii="Times New Roman" w:hAnsi="Times New Roman"/>
          <w:b/>
          <w:sz w:val="26"/>
          <w:szCs w:val="26"/>
          <w:lang w:val="ro-RO"/>
        </w:rPr>
        <w:t>NOTĂ INFORMATIVĂ</w:t>
      </w:r>
    </w:p>
    <w:p w:rsidR="007C235A" w:rsidRPr="00552DCA" w:rsidRDefault="007C235A" w:rsidP="007C235A">
      <w:pPr>
        <w:tabs>
          <w:tab w:val="left" w:pos="884"/>
          <w:tab w:val="left" w:pos="1196"/>
        </w:tabs>
        <w:spacing w:after="0" w:line="240" w:lineRule="auto"/>
        <w:ind w:firstLine="702"/>
        <w:contextualSpacing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552DCA">
        <w:rPr>
          <w:rFonts w:ascii="Times New Roman" w:hAnsi="Times New Roman"/>
          <w:b/>
          <w:sz w:val="26"/>
          <w:szCs w:val="26"/>
          <w:lang w:val="ro-RO"/>
        </w:rPr>
        <w:t xml:space="preserve">la proiectul </w:t>
      </w:r>
      <w:proofErr w:type="spellStart"/>
      <w:r w:rsidRPr="00552DCA">
        <w:rPr>
          <w:rFonts w:ascii="Times New Roman" w:hAnsi="Times New Roman"/>
          <w:b/>
          <w:sz w:val="26"/>
          <w:szCs w:val="26"/>
          <w:lang w:val="ro-RO"/>
        </w:rPr>
        <w:t>Hotărîrii</w:t>
      </w:r>
      <w:proofErr w:type="spellEnd"/>
      <w:r w:rsidRPr="00552DCA">
        <w:rPr>
          <w:rFonts w:ascii="Times New Roman" w:hAnsi="Times New Roman"/>
          <w:b/>
          <w:sz w:val="26"/>
          <w:szCs w:val="26"/>
          <w:lang w:val="ro-RO"/>
        </w:rPr>
        <w:t xml:space="preserve"> de Guvern </w:t>
      </w:r>
      <w:r w:rsidR="00AF2B3A">
        <w:rPr>
          <w:rFonts w:ascii="Times New Roman" w:hAnsi="Times New Roman"/>
          <w:b/>
          <w:sz w:val="28"/>
          <w:szCs w:val="28"/>
          <w:lang w:val="ro-RO"/>
        </w:rPr>
        <w:t>p</w:t>
      </w:r>
      <w:r w:rsidR="00AF2B3A" w:rsidRPr="009F3EE8">
        <w:rPr>
          <w:rFonts w:ascii="Times New Roman" w:hAnsi="Times New Roman"/>
          <w:b/>
          <w:sz w:val="28"/>
          <w:szCs w:val="28"/>
          <w:lang w:val="ro-RO"/>
        </w:rPr>
        <w:t>entru aprobarea Metodologiei privind Instrumentul de monitorizare și evaluare a reformelor prioritare ale Guvernului (</w:t>
      </w:r>
      <w:proofErr w:type="spellStart"/>
      <w:r w:rsidR="00AF2B3A" w:rsidRPr="009F3EE8">
        <w:rPr>
          <w:rFonts w:ascii="Times New Roman" w:hAnsi="Times New Roman"/>
          <w:b/>
          <w:sz w:val="28"/>
          <w:szCs w:val="28"/>
          <w:lang w:val="ro-RO"/>
        </w:rPr>
        <w:t>Scorecard</w:t>
      </w:r>
      <w:proofErr w:type="spellEnd"/>
      <w:r w:rsidR="00AF2B3A" w:rsidRPr="009F3EE8">
        <w:rPr>
          <w:rFonts w:ascii="Times New Roman" w:hAnsi="Times New Roman"/>
          <w:b/>
          <w:sz w:val="28"/>
          <w:szCs w:val="28"/>
          <w:lang w:val="ro-RO"/>
        </w:rPr>
        <w:t>)</w:t>
      </w:r>
    </w:p>
    <w:p w:rsidR="000529A5" w:rsidRPr="00552DCA" w:rsidRDefault="000529A5" w:rsidP="000529A5">
      <w:pPr>
        <w:tabs>
          <w:tab w:val="left" w:pos="884"/>
          <w:tab w:val="left" w:pos="1196"/>
        </w:tabs>
        <w:spacing w:after="0" w:line="240" w:lineRule="auto"/>
        <w:contextualSpacing/>
        <w:rPr>
          <w:rFonts w:ascii="Times New Roman" w:hAnsi="Times New Roman"/>
          <w:sz w:val="26"/>
          <w:szCs w:val="26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7C235A" w:rsidRPr="0047671C" w:rsidTr="00A81DB3">
        <w:tc>
          <w:tcPr>
            <w:tcW w:w="5000" w:type="pct"/>
            <w:shd w:val="clear" w:color="auto" w:fill="D9D9D9"/>
          </w:tcPr>
          <w:p w:rsidR="007C235A" w:rsidRPr="00552DCA" w:rsidRDefault="007C235A" w:rsidP="000529A5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1. Condițiile ce au impus elaborarea proiectului de act normativ </w:t>
            </w:r>
          </w:p>
        </w:tc>
      </w:tr>
      <w:tr w:rsidR="007C235A" w:rsidRPr="0047671C" w:rsidTr="00A81DB3">
        <w:tc>
          <w:tcPr>
            <w:tcW w:w="5000" w:type="pct"/>
          </w:tcPr>
          <w:p w:rsidR="0071135C" w:rsidRPr="00552DCA" w:rsidRDefault="007C235A" w:rsidP="006E076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a fost elaborat </w:t>
            </w:r>
            <w:r w:rsidR="00AF2B3A">
              <w:rPr>
                <w:rFonts w:ascii="Times New Roman" w:hAnsi="Times New Roman"/>
                <w:sz w:val="24"/>
                <w:szCs w:val="24"/>
                <w:lang w:val="ro-RO"/>
              </w:rPr>
              <w:t>în vederea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asigurării transparenței datelor privind performanța autorităților publice, eficientiz</w:t>
            </w:r>
            <w:r w:rsidR="001F13EA">
              <w:rPr>
                <w:rFonts w:ascii="Times New Roman" w:hAnsi="Times New Roman"/>
                <w:sz w:val="24"/>
                <w:szCs w:val="24"/>
                <w:lang w:val="ro-RO"/>
              </w:rPr>
              <w:t>ării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procesului de monitorizare și responsabilizare a sectorului public. </w:t>
            </w:r>
          </w:p>
          <w:p w:rsidR="007C235A" w:rsidRPr="00552DCA" w:rsidRDefault="007C235A" w:rsidP="006E076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Angajame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ntele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creare și instituționalizare a Instrumentului de monitorizare și evaluare a reformelor prioritare ale Guvernului </w:t>
            </w:r>
            <w:r w:rsidRPr="004057E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</w:t>
            </w:r>
            <w:r w:rsidR="004057E4" w:rsidRPr="004057E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în continuare Instrumentul </w:t>
            </w:r>
            <w:proofErr w:type="spellStart"/>
            <w:r w:rsidRPr="004057E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Scorecard</w:t>
            </w:r>
            <w:proofErr w:type="spellEnd"/>
            <w:r w:rsidRPr="004057E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prevăzut în Planul de acțiuni pentru o guvernare deschisă pentru anii 2016-2018 (</w:t>
            </w:r>
            <w:proofErr w:type="spellStart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Hotărîrea</w:t>
            </w:r>
            <w:proofErr w:type="spellEnd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 nr. 1432 din 29.12.2016</w:t>
            </w:r>
            <w:r w:rsidR="0071135C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) și în Planul de acțiuni pe anii 2016-2018 pentru implementarea Strategiei privind reforma administrației publice pentru anii 2016-2020 (</w:t>
            </w:r>
            <w:proofErr w:type="spellStart"/>
            <w:r w:rsidR="0071135C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Hotărîrea</w:t>
            </w:r>
            <w:proofErr w:type="spellEnd"/>
            <w:r w:rsidR="0071135C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 nr. 1351 din  15 decembrie 2016).</w:t>
            </w:r>
          </w:p>
          <w:p w:rsidR="0071135C" w:rsidRPr="00552DCA" w:rsidRDefault="0071135C" w:rsidP="0047671C">
            <w:pPr>
              <w:tabs>
                <w:tab w:val="left" w:pos="567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Scopul Instrumentului </w:t>
            </w:r>
            <w:proofErr w:type="spellStart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Scorecard</w:t>
            </w:r>
            <w:proofErr w:type="spellEnd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monitorizarea și evaluarea reformelor guvernării pe domeniile selectate și comunicarea rezultatelor înregistrate publicului larg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într-un mod accesibil și transparent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Astfel, fiecare cetățean și reprezentant al societății civile </w:t>
            </w:r>
            <w:proofErr w:type="spellStart"/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>accesînd</w:t>
            </w:r>
            <w:proofErr w:type="spellEnd"/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platforma online a Instrumentului </w:t>
            </w:r>
            <w:proofErr w:type="spellStart"/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>Scorecard</w:t>
            </w:r>
            <w:proofErr w:type="spellEnd"/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 avea posibilitatea să </w:t>
            </w:r>
            <w:r w:rsidR="0047671C">
              <w:rPr>
                <w:rFonts w:ascii="Times New Roman" w:hAnsi="Times New Roman"/>
                <w:sz w:val="24"/>
                <w:szCs w:val="24"/>
                <w:lang w:val="ro-RO"/>
              </w:rPr>
              <w:t>urmărească</w:t>
            </w:r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actul de guvern</w:t>
            </w:r>
            <w:bookmarkStart w:id="0" w:name="_GoBack"/>
            <w:bookmarkEnd w:id="0"/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are. 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Acest instrument va contribui la </w:t>
            </w:r>
            <w:r w:rsidR="006E076C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implementarea și promovarea unei abordări centrate pe monitorizarea progresului în sectorul public, orientată spre rezultate măsurabile și raportate la obiectivele de reformă stabilite în documentele de politici.</w:t>
            </w:r>
            <w:r w:rsidR="00AA67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7C235A" w:rsidRPr="0047671C" w:rsidTr="00A81DB3">
        <w:tc>
          <w:tcPr>
            <w:tcW w:w="5000" w:type="pct"/>
            <w:shd w:val="clear" w:color="auto" w:fill="D9D9D9"/>
          </w:tcPr>
          <w:p w:rsidR="007C235A" w:rsidRPr="00552DCA" w:rsidRDefault="007C235A" w:rsidP="000529A5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 Descrierea gradului de compatibilitate cu legislaţia Uniunii Europene</w:t>
            </w:r>
          </w:p>
        </w:tc>
      </w:tr>
      <w:tr w:rsidR="007C235A" w:rsidRPr="0047671C" w:rsidTr="00A81DB3">
        <w:tc>
          <w:tcPr>
            <w:tcW w:w="5000" w:type="pct"/>
          </w:tcPr>
          <w:p w:rsidR="007C235A" w:rsidRPr="00552DCA" w:rsidRDefault="0092656C" w:rsidP="00E30992">
            <w:pPr>
              <w:tabs>
                <w:tab w:val="left" w:pos="884"/>
                <w:tab w:val="left" w:pos="1196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Prezentul proiect de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hotărîre</w:t>
            </w:r>
            <w:proofErr w:type="spellEnd"/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Guvernului nu contravine legislației 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Uniunii Europene.</w:t>
            </w:r>
          </w:p>
        </w:tc>
      </w:tr>
      <w:tr w:rsidR="007C235A" w:rsidRPr="0047671C" w:rsidTr="00A81DB3">
        <w:tc>
          <w:tcPr>
            <w:tcW w:w="5000" w:type="pct"/>
            <w:shd w:val="clear" w:color="auto" w:fill="D9D9D9"/>
          </w:tcPr>
          <w:p w:rsidR="007C235A" w:rsidRPr="00552DCA" w:rsidRDefault="007C235A" w:rsidP="00A81DB3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 w:rsidR="000529A5"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Principalele prevederi ale proiectului şi evidențierea elementelor noi</w:t>
            </w:r>
          </w:p>
        </w:tc>
      </w:tr>
      <w:tr w:rsidR="007C235A" w:rsidRPr="0047671C" w:rsidTr="00A81DB3">
        <w:tc>
          <w:tcPr>
            <w:tcW w:w="5000" w:type="pct"/>
          </w:tcPr>
          <w:p w:rsidR="007C235A" w:rsidRPr="00552DCA" w:rsidRDefault="006E076C" w:rsidP="00E30992">
            <w:pPr>
              <w:tabs>
                <w:tab w:val="left" w:pos="884"/>
                <w:tab w:val="left" w:pos="1196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Proiectul este elaborat pentru îmbunătățirea calității politicilor publice, prin fortificarea sistemului de monitorizare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a reformelor guvernării</w:t>
            </w:r>
            <w:r w:rsidR="001F13E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6E076C" w:rsidRPr="00552DCA" w:rsidRDefault="006E076C" w:rsidP="00E30992">
            <w:pPr>
              <w:tabs>
                <w:tab w:val="left" w:pos="884"/>
                <w:tab w:val="left" w:pos="1196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Proi</w:t>
            </w:r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ectul </w:t>
            </w:r>
            <w:proofErr w:type="spellStart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 conține 2 anexe. Anexa nr. 1 reglementează metodologia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52ADF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Instrume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ntului </w:t>
            </w:r>
            <w:proofErr w:type="spellStart"/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Scorecard</w:t>
            </w:r>
            <w:proofErr w:type="spellEnd"/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, care</w:t>
            </w:r>
            <w:r w:rsidR="00452ADF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descrie</w:t>
            </w:r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: i)</w:t>
            </w:r>
            <w:r w:rsidR="00452ADF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ceptul Instrumentului;</w:t>
            </w:r>
            <w:r w:rsidR="00452ADF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ii) </w:t>
            </w:r>
            <w:r w:rsidR="00452ADF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mecanismul de identificare și colectare a indicatorilor de performanță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  <w:proofErr w:type="spellEnd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cadrul instituțional și responsabilitățile autorităților implicare în 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proces;</w:t>
            </w:r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iv</w:t>
            </w:r>
            <w:proofErr w:type="spellEnd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activitățile de administrare a Instrumentului </w:t>
            </w:r>
            <w:proofErr w:type="spellStart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Scorecard</w:t>
            </w:r>
            <w:proofErr w:type="spellEnd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; v) prevederi privind aplicația on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line</w:t>
            </w:r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30992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Scorecard</w:t>
            </w:r>
            <w:proofErr w:type="spellEnd"/>
            <w:r w:rsidR="00452ADF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:rsidR="00E30992" w:rsidRPr="00552DCA" w:rsidRDefault="00E30992" w:rsidP="001F13EA">
            <w:pPr>
              <w:tabs>
                <w:tab w:val="left" w:pos="884"/>
                <w:tab w:val="left" w:pos="1196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nr. 2 la proiectul </w:t>
            </w:r>
            <w:proofErr w:type="spellStart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include lista indicatorilor monitorizați cu suportul Instrumentului </w:t>
            </w:r>
            <w:proofErr w:type="spellStart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Scorecard</w:t>
            </w:r>
            <w:proofErr w:type="spellEnd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0529A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Tabelul 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prevede</w:t>
            </w:r>
            <w:r w:rsidR="000529A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35 de indicatori de performanță</w:t>
            </w:r>
            <w:r w:rsidR="001F13E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clasificați pe </w:t>
            </w:r>
            <w:r w:rsidR="000529A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trei dimensiuni 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prioritare, și anume: </w:t>
            </w:r>
            <w:r w:rsidR="000529A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a) reforma administrației publice central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0529A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>; b) mediul de afaceri; c) domeniul social.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529A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asemenea, </w:t>
            </w:r>
            <w:r w:rsidR="001F13EA">
              <w:rPr>
                <w:rFonts w:ascii="Times New Roman" w:hAnsi="Times New Roman"/>
                <w:sz w:val="24"/>
                <w:szCs w:val="24"/>
                <w:lang w:val="ro-RO"/>
              </w:rPr>
              <w:t>tabelul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conține definiții</w:t>
            </w:r>
            <w:r w:rsidR="00B9738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="004057E4">
              <w:rPr>
                <w:rFonts w:ascii="Times New Roman" w:hAnsi="Times New Roman"/>
                <w:sz w:val="24"/>
                <w:szCs w:val="24"/>
                <w:lang w:val="ro-RO"/>
              </w:rPr>
              <w:t>le indicatorilor</w:t>
            </w:r>
            <w:r w:rsidR="00B9738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termenul de raportare, sursa datelor, precum și autoritatea responsabilă pentru </w:t>
            </w:r>
            <w:r w:rsidR="001F13EA">
              <w:rPr>
                <w:rFonts w:ascii="Times New Roman" w:hAnsi="Times New Roman"/>
                <w:sz w:val="24"/>
                <w:szCs w:val="24"/>
                <w:lang w:val="ro-RO"/>
              </w:rPr>
              <w:t>colectarea</w:t>
            </w:r>
            <w:r w:rsidR="00B97385"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datelor. </w:t>
            </w:r>
          </w:p>
        </w:tc>
      </w:tr>
      <w:tr w:rsidR="007C235A" w:rsidRPr="00552DCA" w:rsidTr="00A81DB3">
        <w:tc>
          <w:tcPr>
            <w:tcW w:w="5000" w:type="pct"/>
            <w:shd w:val="clear" w:color="auto" w:fill="D9D9D9"/>
          </w:tcPr>
          <w:p w:rsidR="007C235A" w:rsidRPr="00552DCA" w:rsidRDefault="007C235A" w:rsidP="00A81DB3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 Fundamentarea economico-financiară</w:t>
            </w:r>
          </w:p>
        </w:tc>
      </w:tr>
      <w:tr w:rsidR="007C235A" w:rsidRPr="0047671C" w:rsidTr="000529A5">
        <w:trPr>
          <w:trHeight w:val="557"/>
        </w:trPr>
        <w:tc>
          <w:tcPr>
            <w:tcW w:w="5000" w:type="pct"/>
          </w:tcPr>
          <w:p w:rsidR="007C235A" w:rsidRPr="00552DCA" w:rsidRDefault="0092656C" w:rsidP="004057E4">
            <w:pPr>
              <w:tabs>
                <w:tab w:val="left" w:pos="884"/>
                <w:tab w:val="left" w:pos="1196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Implementarea prevederilor proiectului nu necesită cheltuieli financiare suplimentare din bugetul de stat.</w:t>
            </w:r>
          </w:p>
        </w:tc>
      </w:tr>
      <w:tr w:rsidR="007C235A" w:rsidRPr="0047671C" w:rsidTr="00A81DB3">
        <w:tc>
          <w:tcPr>
            <w:tcW w:w="5000" w:type="pct"/>
            <w:shd w:val="clear" w:color="auto" w:fill="D9D9D9"/>
          </w:tcPr>
          <w:p w:rsidR="007C235A" w:rsidRPr="00552DCA" w:rsidRDefault="000529A5" w:rsidP="00A81DB3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highlight w:val="green"/>
                <w:lang w:val="ro-RO"/>
              </w:rPr>
            </w:pPr>
            <w:r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="007C235A" w:rsidRPr="00552DC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 Avizarea și consultarea publică a proiectului</w:t>
            </w:r>
          </w:p>
        </w:tc>
      </w:tr>
      <w:tr w:rsidR="007C235A" w:rsidRPr="0047671C" w:rsidTr="00A81DB3">
        <w:tc>
          <w:tcPr>
            <w:tcW w:w="5000" w:type="pct"/>
          </w:tcPr>
          <w:p w:rsidR="007C235A" w:rsidRPr="00552DCA" w:rsidRDefault="007C235A" w:rsidP="004057E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val="ro-RO"/>
              </w:rPr>
            </w:pP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scopul respectării prevederilor Legii nr. 239 din 13 noiembrie 2008 privind transparența în procesul decizional, proiectul </w:t>
            </w:r>
            <w:proofErr w:type="spellStart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 a fost plasat pe pagina web oficială a Cancelariei de Stat </w:t>
            </w:r>
            <w:hyperlink r:id="rId8" w:history="1">
              <w:r w:rsidRPr="00552DCA">
                <w:rPr>
                  <w:rStyle w:val="a6"/>
                  <w:rFonts w:ascii="Times New Roman" w:hAnsi="Times New Roman"/>
                  <w:sz w:val="24"/>
                  <w:szCs w:val="24"/>
                  <w:lang w:val="ro-RO"/>
                </w:rPr>
                <w:t>www.cancelaria.gov.md</w:t>
              </w:r>
            </w:hyperlink>
            <w:r w:rsidR="001F13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compartimentul ”Transparența decizională”, rubrica ”Proiecte supuse consultărilor publice”, precum și pe platforma </w:t>
            </w:r>
            <w:hyperlink r:id="rId9" w:history="1">
              <w:r w:rsidRPr="00552DCA">
                <w:rPr>
                  <w:rStyle w:val="a6"/>
                  <w:rFonts w:ascii="Times New Roman" w:hAnsi="Times New Roman"/>
                  <w:sz w:val="24"/>
                  <w:szCs w:val="24"/>
                  <w:lang w:val="ro-RO"/>
                </w:rPr>
                <w:t>www.particip.gov.md</w:t>
              </w:r>
            </w:hyperlink>
            <w:r w:rsidRPr="00552D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</w:tc>
      </w:tr>
    </w:tbl>
    <w:p w:rsidR="000529A5" w:rsidRPr="00552DCA" w:rsidRDefault="000529A5">
      <w:pPr>
        <w:rPr>
          <w:lang w:val="ro-RO"/>
        </w:rPr>
      </w:pPr>
    </w:p>
    <w:p w:rsidR="000529A5" w:rsidRPr="00552DCA" w:rsidRDefault="000529A5" w:rsidP="000529A5">
      <w:pPr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552DCA">
        <w:rPr>
          <w:rFonts w:ascii="Times New Roman" w:hAnsi="Times New Roman"/>
          <w:b/>
          <w:sz w:val="26"/>
          <w:szCs w:val="26"/>
          <w:lang w:val="ro-RO"/>
        </w:rPr>
        <w:t xml:space="preserve">Secretar general al Guvernului     </w:t>
      </w:r>
      <w:r w:rsidR="001F13EA">
        <w:rPr>
          <w:rFonts w:ascii="Times New Roman" w:hAnsi="Times New Roman"/>
          <w:b/>
          <w:sz w:val="26"/>
          <w:szCs w:val="26"/>
          <w:lang w:val="ro-RO"/>
        </w:rPr>
        <w:t xml:space="preserve">                     </w:t>
      </w:r>
      <w:r w:rsidRPr="00552DCA">
        <w:rPr>
          <w:rFonts w:ascii="Times New Roman" w:hAnsi="Times New Roman"/>
          <w:b/>
          <w:sz w:val="26"/>
          <w:szCs w:val="26"/>
          <w:lang w:val="ro-RO"/>
        </w:rPr>
        <w:t xml:space="preserve">                                          Lilia PALII</w:t>
      </w:r>
    </w:p>
    <w:sectPr w:rsidR="000529A5" w:rsidRPr="00552DCA" w:rsidSect="000529A5">
      <w:pgSz w:w="12240" w:h="15840" w:code="1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5E" w:rsidRDefault="008F745E" w:rsidP="007C235A">
      <w:pPr>
        <w:spacing w:after="0" w:line="240" w:lineRule="auto"/>
      </w:pPr>
      <w:r>
        <w:separator/>
      </w:r>
    </w:p>
  </w:endnote>
  <w:endnote w:type="continuationSeparator" w:id="0">
    <w:p w:rsidR="008F745E" w:rsidRDefault="008F745E" w:rsidP="007C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5E" w:rsidRDefault="008F745E" w:rsidP="007C235A">
      <w:pPr>
        <w:spacing w:after="0" w:line="240" w:lineRule="auto"/>
      </w:pPr>
      <w:r>
        <w:separator/>
      </w:r>
    </w:p>
  </w:footnote>
  <w:footnote w:type="continuationSeparator" w:id="0">
    <w:p w:rsidR="008F745E" w:rsidRDefault="008F745E" w:rsidP="007C2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6CDD"/>
    <w:multiLevelType w:val="hybridMultilevel"/>
    <w:tmpl w:val="FA1C9398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02C5B"/>
    <w:multiLevelType w:val="hybridMultilevel"/>
    <w:tmpl w:val="CBF6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D0570"/>
    <w:multiLevelType w:val="hybridMultilevel"/>
    <w:tmpl w:val="A90014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5A"/>
    <w:rsid w:val="000529A5"/>
    <w:rsid w:val="001F13EA"/>
    <w:rsid w:val="003A285E"/>
    <w:rsid w:val="003D4F09"/>
    <w:rsid w:val="004057E4"/>
    <w:rsid w:val="00452ADF"/>
    <w:rsid w:val="0047671C"/>
    <w:rsid w:val="00552DCA"/>
    <w:rsid w:val="006B1D7D"/>
    <w:rsid w:val="006E076C"/>
    <w:rsid w:val="0071135C"/>
    <w:rsid w:val="007C235A"/>
    <w:rsid w:val="00825D5C"/>
    <w:rsid w:val="008F745E"/>
    <w:rsid w:val="0092656C"/>
    <w:rsid w:val="00997F6B"/>
    <w:rsid w:val="00A17E87"/>
    <w:rsid w:val="00A336FD"/>
    <w:rsid w:val="00A46129"/>
    <w:rsid w:val="00A87F6E"/>
    <w:rsid w:val="00AA677F"/>
    <w:rsid w:val="00AF2B3A"/>
    <w:rsid w:val="00B32625"/>
    <w:rsid w:val="00B97385"/>
    <w:rsid w:val="00BC06A6"/>
    <w:rsid w:val="00CE65DC"/>
    <w:rsid w:val="00E3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23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235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235A"/>
    <w:rPr>
      <w:vertAlign w:val="superscript"/>
    </w:rPr>
  </w:style>
  <w:style w:type="character" w:styleId="a6">
    <w:name w:val="Hyperlink"/>
    <w:uiPriority w:val="99"/>
    <w:unhideWhenUsed/>
    <w:rsid w:val="007C235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7113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23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235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235A"/>
    <w:rPr>
      <w:vertAlign w:val="superscript"/>
    </w:rPr>
  </w:style>
  <w:style w:type="character" w:styleId="a6">
    <w:name w:val="Hyperlink"/>
    <w:uiPriority w:val="99"/>
    <w:unhideWhenUsed/>
    <w:rsid w:val="007C235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7113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laria.gov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Bejenar</dc:creator>
  <cp:lastModifiedBy>Natalia Bejenar</cp:lastModifiedBy>
  <cp:revision>5</cp:revision>
  <cp:lastPrinted>2018-02-05T06:21:00Z</cp:lastPrinted>
  <dcterms:created xsi:type="dcterms:W3CDTF">2018-01-25T07:29:00Z</dcterms:created>
  <dcterms:modified xsi:type="dcterms:W3CDTF">2018-02-07T06:32:00Z</dcterms:modified>
</cp:coreProperties>
</file>