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00" w:rsidRPr="00E77D26" w:rsidRDefault="00F41900" w:rsidP="00F41900">
      <w:pPr>
        <w:jc w:val="right"/>
        <w:rPr>
          <w:rStyle w:val="a3"/>
          <w:bCs/>
          <w:i/>
          <w:sz w:val="18"/>
          <w:szCs w:val="18"/>
        </w:rPr>
      </w:pPr>
      <w:r w:rsidRPr="00E77D26">
        <w:rPr>
          <w:rStyle w:val="a3"/>
          <w:bCs/>
          <w:i/>
          <w:sz w:val="18"/>
          <w:szCs w:val="18"/>
        </w:rPr>
        <w:t>ПРОЕКТ</w:t>
      </w:r>
    </w:p>
    <w:p w:rsidR="00F41900" w:rsidRPr="00E77D26" w:rsidRDefault="00F41900" w:rsidP="00F41900">
      <w:pPr>
        <w:jc w:val="center"/>
        <w:rPr>
          <w:rStyle w:val="a3"/>
          <w:b/>
          <w:bCs/>
          <w:sz w:val="28"/>
          <w:szCs w:val="28"/>
        </w:rPr>
      </w:pPr>
      <w:r w:rsidRPr="00E77D26">
        <w:rPr>
          <w:rStyle w:val="a3"/>
          <w:b/>
          <w:bCs/>
          <w:sz w:val="28"/>
          <w:szCs w:val="28"/>
        </w:rPr>
        <w:t>СОГЛАШЕНИЕ</w:t>
      </w: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  <w:bookmarkStart w:id="0" w:name="OLE_LINK1"/>
      <w:bookmarkStart w:id="1" w:name="OLE_LINK2"/>
      <w:r w:rsidRPr="00E77D26">
        <w:rPr>
          <w:b/>
          <w:bCs/>
          <w:sz w:val="28"/>
          <w:szCs w:val="28"/>
        </w:rPr>
        <w:t xml:space="preserve">между </w:t>
      </w:r>
      <w:r w:rsidR="007D4744" w:rsidRPr="00E77D26">
        <w:rPr>
          <w:b/>
          <w:bCs/>
          <w:sz w:val="28"/>
          <w:szCs w:val="28"/>
        </w:rPr>
        <w:t xml:space="preserve">Правительством Республики Молдова и </w:t>
      </w:r>
      <w:r w:rsidRPr="00E77D26">
        <w:rPr>
          <w:b/>
          <w:bCs/>
          <w:sz w:val="28"/>
          <w:szCs w:val="28"/>
        </w:rPr>
        <w:t>Кабинетом Министров Украины о сотрудничестве в сфере карантина и защиты растений</w:t>
      </w: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bookmarkEnd w:id="0"/>
    <w:bookmarkEnd w:id="1"/>
    <w:p w:rsidR="00F41900" w:rsidRPr="00E77D26" w:rsidRDefault="00EB4FBF" w:rsidP="00F41900">
      <w:pPr>
        <w:ind w:firstLine="540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Правительство Республики Молдова и </w:t>
      </w:r>
      <w:r w:rsidR="00F41900" w:rsidRPr="00E77D26">
        <w:rPr>
          <w:sz w:val="28"/>
          <w:szCs w:val="28"/>
        </w:rPr>
        <w:t>Кабинет Министров Украины, именуемые в дальнейшем Договаривающимися Сторонами,</w:t>
      </w: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признавая важность сотрудничества в предотвращении ввоза и распространения регулируемых вредных организмов,</w:t>
      </w: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руководствуясь желанием в будущем продолжать и расширять сотрудничество в сфере карантина и защиты растений и обеспечить координацию государственных фитосанитарных мер,</w:t>
      </w: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40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руководствуясь Международными стандартами по фитосанитарным мерам (МСФМ), Международной конвенции по защите растений (МКЗР) от 6 декабря 1951 года, в редакции 1997 года,</w:t>
      </w:r>
    </w:p>
    <w:p w:rsidR="00F41900" w:rsidRPr="00E77D26" w:rsidRDefault="00F41900" w:rsidP="00F4190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</w:p>
    <w:p w:rsidR="00F41900" w:rsidRPr="00E77D26" w:rsidRDefault="00F41900" w:rsidP="00F4190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учитывая интересы взаимной охраны территории государств Договаривающихся Сторон от проникновения и распространения регулированных вредных организмов и развития хозяйственных и торговых связей между Договаривающимися Сторонами, </w:t>
      </w:r>
    </w:p>
    <w:p w:rsidR="00F41900" w:rsidRPr="00E77D26" w:rsidRDefault="00F41900" w:rsidP="00F41900">
      <w:pPr>
        <w:pStyle w:val="2"/>
        <w:spacing w:after="0" w:line="240" w:lineRule="auto"/>
        <w:ind w:firstLine="540"/>
        <w:rPr>
          <w:sz w:val="28"/>
          <w:szCs w:val="28"/>
        </w:rPr>
      </w:pPr>
    </w:p>
    <w:p w:rsidR="00F41900" w:rsidRPr="00E77D26" w:rsidRDefault="00F41900" w:rsidP="00F41900">
      <w:pPr>
        <w:pStyle w:val="2"/>
        <w:spacing w:after="0" w:line="240" w:lineRule="auto"/>
        <w:ind w:firstLine="540"/>
        <w:rPr>
          <w:sz w:val="28"/>
          <w:szCs w:val="28"/>
        </w:rPr>
      </w:pPr>
      <w:r w:rsidRPr="00E77D26">
        <w:rPr>
          <w:sz w:val="28"/>
          <w:szCs w:val="28"/>
        </w:rPr>
        <w:t>договорились о нижеследующем:</w:t>
      </w:r>
    </w:p>
    <w:p w:rsidR="00F41900" w:rsidRPr="00E77D26" w:rsidRDefault="00F41900" w:rsidP="00F41900">
      <w:pPr>
        <w:pStyle w:val="2"/>
        <w:spacing w:after="0" w:line="240" w:lineRule="auto"/>
        <w:ind w:firstLine="927"/>
        <w:rPr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1</w:t>
      </w: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В контексте настоящего Соглашения, использованные в нем термины, имеют следующие значения: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</w:p>
    <w:p w:rsidR="00F41900" w:rsidRPr="00E77D26" w:rsidRDefault="00FA4B50" w:rsidP="00F41900">
      <w:pPr>
        <w:ind w:firstLine="567"/>
        <w:jc w:val="both"/>
        <w:rPr>
          <w:sz w:val="28"/>
          <w:szCs w:val="28"/>
        </w:rPr>
      </w:pPr>
      <w:r w:rsidRPr="00E77D26">
        <w:rPr>
          <w:b/>
          <w:bCs/>
          <w:iCs/>
          <w:sz w:val="28"/>
          <w:szCs w:val="28"/>
        </w:rPr>
        <w:t>Р</w:t>
      </w:r>
      <w:r w:rsidR="00F41900" w:rsidRPr="00E77D26">
        <w:rPr>
          <w:b/>
          <w:bCs/>
          <w:iCs/>
          <w:sz w:val="28"/>
          <w:szCs w:val="28"/>
        </w:rPr>
        <w:t>астения</w:t>
      </w:r>
      <w:r w:rsidRPr="00FA4B50">
        <w:rPr>
          <w:b/>
          <w:bCs/>
          <w:iCs/>
          <w:sz w:val="28"/>
          <w:szCs w:val="28"/>
        </w:rPr>
        <w:t xml:space="preserve"> </w:t>
      </w:r>
      <w:r w:rsidR="00F41900" w:rsidRPr="00E77D26">
        <w:rPr>
          <w:sz w:val="28"/>
          <w:szCs w:val="28"/>
        </w:rPr>
        <w:t>- живые растения и их части, включая семена и генетический материал;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b/>
          <w:bCs/>
          <w:iCs/>
          <w:sz w:val="28"/>
          <w:szCs w:val="28"/>
        </w:rPr>
        <w:t>растительные продукты</w:t>
      </w:r>
      <w:r w:rsidR="00FA4B50" w:rsidRPr="00FA4B50">
        <w:rPr>
          <w:b/>
          <w:bCs/>
          <w:iCs/>
          <w:sz w:val="28"/>
          <w:szCs w:val="28"/>
        </w:rPr>
        <w:t xml:space="preserve"> </w:t>
      </w:r>
      <w:r w:rsidRPr="00E77D26">
        <w:rPr>
          <w:sz w:val="28"/>
          <w:szCs w:val="28"/>
        </w:rPr>
        <w:t xml:space="preserve">– </w:t>
      </w:r>
      <w:proofErr w:type="spellStart"/>
      <w:r w:rsidRPr="00E77D26">
        <w:rPr>
          <w:sz w:val="28"/>
          <w:szCs w:val="28"/>
        </w:rPr>
        <w:t>непереработанный</w:t>
      </w:r>
      <w:proofErr w:type="spellEnd"/>
      <w:r w:rsidRPr="00E77D26">
        <w:rPr>
          <w:sz w:val="28"/>
          <w:szCs w:val="28"/>
        </w:rPr>
        <w:t xml:space="preserve"> материал растительного происхождения (включая зерно), а также переработанные продукты, которые по своей природе или по способу своей переработки могут создавать риск интродукции и распространения вредных организмов; 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b/>
          <w:bCs/>
          <w:iCs/>
          <w:sz w:val="28"/>
          <w:szCs w:val="28"/>
        </w:rPr>
        <w:t>вредный организм</w:t>
      </w:r>
      <w:r w:rsidRPr="00E77D26">
        <w:rPr>
          <w:sz w:val="28"/>
          <w:szCs w:val="28"/>
        </w:rPr>
        <w:t xml:space="preserve"> – любой вид, разновидность или биотип растений, животных или патогенных агентов, вредный для растений или растительных продуктов;</w:t>
      </w:r>
    </w:p>
    <w:p w:rsidR="00F41900" w:rsidRPr="00E77D26" w:rsidRDefault="00F41900" w:rsidP="00F41900">
      <w:pPr>
        <w:ind w:firstLine="567"/>
        <w:jc w:val="both"/>
        <w:rPr>
          <w:i/>
          <w:iCs/>
          <w:sz w:val="28"/>
          <w:szCs w:val="28"/>
        </w:rPr>
      </w:pP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 xml:space="preserve">карантинный вредный организм </w:t>
      </w: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- вредный организм, имеющий потенциальное экономическое значение для зоны, подверженной опасности, </w:t>
      </w: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lastRenderedPageBreak/>
        <w:t>в которой он пока отсутствует или присутствует, но ограниченно распространен  и  служит объектом официальной борьбы;</w:t>
      </w: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</w:pP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uk-UA"/>
        </w:rPr>
      </w:pPr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>регулируемый вредный организм</w:t>
      </w:r>
      <w:r w:rsidRPr="00E77D26"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eastAsia="uk-UA"/>
        </w:rPr>
        <w:t xml:space="preserve"> – </w:t>
      </w:r>
      <w:r w:rsidRPr="00E77D2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 xml:space="preserve">карантинный вредный организм или регулируемый </w:t>
      </w:r>
      <w:proofErr w:type="spellStart"/>
      <w:r w:rsidRPr="00E77D2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>некарантинный</w:t>
      </w:r>
      <w:proofErr w:type="spellEnd"/>
      <w:r w:rsidRPr="00E77D2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 xml:space="preserve"> вредный организм;</w:t>
      </w: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uk-UA"/>
        </w:rPr>
      </w:pP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 xml:space="preserve">регулируемый </w:t>
      </w:r>
      <w:proofErr w:type="spellStart"/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>некарантинный</w:t>
      </w:r>
      <w:proofErr w:type="spellEnd"/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 xml:space="preserve"> вредный организм </w:t>
      </w:r>
      <w:r w:rsidRPr="00E77D26">
        <w:rPr>
          <w:rStyle w:val="FontStyle11"/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- </w:t>
      </w:r>
      <w:proofErr w:type="spellStart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некарантинный</w:t>
      </w:r>
      <w:proofErr w:type="spellEnd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 вредный организм, присутствие которого в посевном и посадочном материале оказывает экономически неприемлемое воздействие на предполагаемое использование этих растений и, вследствие этого, регулируется на территории импортирующего государства Договаривающейся Стороны;</w:t>
      </w:r>
    </w:p>
    <w:p w:rsidR="00F41900" w:rsidRPr="00E77D26" w:rsidRDefault="00F41900" w:rsidP="00F41900">
      <w:pPr>
        <w:pStyle w:val="Style3"/>
        <w:widowControl/>
        <w:tabs>
          <w:tab w:val="left" w:pos="672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  <w:lang w:eastAsia="uk-UA"/>
        </w:rPr>
      </w:pPr>
    </w:p>
    <w:p w:rsidR="00F41900" w:rsidRPr="00E77D26" w:rsidRDefault="00F41900" w:rsidP="00F41900">
      <w:pPr>
        <w:pStyle w:val="Style3"/>
        <w:widowControl/>
        <w:tabs>
          <w:tab w:val="left" w:pos="0"/>
        </w:tabs>
        <w:spacing w:line="240" w:lineRule="auto"/>
        <w:ind w:firstLine="567"/>
        <w:rPr>
          <w:rStyle w:val="a7"/>
          <w:sz w:val="28"/>
          <w:szCs w:val="28"/>
        </w:rPr>
      </w:pPr>
      <w:proofErr w:type="spellStart"/>
      <w:r w:rsidRPr="00E77D26">
        <w:rPr>
          <w:rStyle w:val="FontStyle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подкарантинный</w:t>
      </w:r>
      <w:proofErr w:type="spellEnd"/>
      <w:r w:rsidRPr="00E77D26">
        <w:rPr>
          <w:rStyle w:val="FontStyle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материал</w:t>
      </w:r>
      <w:r w:rsidRPr="00E77D26">
        <w:rPr>
          <w:rStyle w:val="FontStyle12"/>
          <w:rFonts w:ascii="Times New Roman" w:hAnsi="Times New Roman" w:cs="Times New Roman"/>
          <w:iCs/>
          <w:sz w:val="28"/>
          <w:szCs w:val="28"/>
          <w:lang w:eastAsia="uk-UA"/>
        </w:rPr>
        <w:t xml:space="preserve"> (объект регулирования</w:t>
      </w: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) - </w:t>
      </w:r>
      <w:r w:rsidRPr="00E77D26">
        <w:rPr>
          <w:rStyle w:val="a7"/>
          <w:sz w:val="28"/>
          <w:szCs w:val="28"/>
        </w:rPr>
        <w:t>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способный служить местом укрытия вредных организмов или способствовать их распространению, в отношении которого необходимо принятие фитосанитарных мер, особенно в тех случаях, когда дело касается международных перевозок.</w:t>
      </w:r>
    </w:p>
    <w:p w:rsidR="00F41900" w:rsidRPr="00E77D26" w:rsidRDefault="00F41900" w:rsidP="00F41900">
      <w:pPr>
        <w:ind w:firstLine="567"/>
        <w:jc w:val="both"/>
        <w:rPr>
          <w:strike/>
          <w:sz w:val="28"/>
          <w:szCs w:val="28"/>
        </w:rPr>
      </w:pPr>
    </w:p>
    <w:p w:rsidR="00F41900" w:rsidRPr="00E77D26" w:rsidRDefault="00F41900" w:rsidP="00F41900">
      <w:pPr>
        <w:ind w:firstLine="567"/>
        <w:jc w:val="center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 2</w:t>
      </w: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6E6168" w:rsidRDefault="00F41900" w:rsidP="00F41900">
      <w:pPr>
        <w:ind w:firstLine="567"/>
        <w:jc w:val="both"/>
        <w:rPr>
          <w:sz w:val="28"/>
          <w:szCs w:val="28"/>
        </w:rPr>
      </w:pPr>
      <w:r w:rsidRPr="006E6168">
        <w:rPr>
          <w:sz w:val="28"/>
          <w:szCs w:val="28"/>
        </w:rPr>
        <w:t xml:space="preserve">Для реализации и координации положений настоящего Соглашения компетентными органами Договаривающихся Сторон, являются: </w:t>
      </w:r>
    </w:p>
    <w:p w:rsidR="007D4744" w:rsidRPr="007D4744" w:rsidRDefault="007D4744" w:rsidP="007D4744">
      <w:pPr>
        <w:ind w:firstLine="567"/>
        <w:jc w:val="both"/>
        <w:rPr>
          <w:sz w:val="28"/>
          <w:szCs w:val="28"/>
          <w:lang w:val="ro-RO"/>
        </w:rPr>
      </w:pPr>
      <w:r w:rsidRPr="006E6168">
        <w:rPr>
          <w:sz w:val="28"/>
          <w:szCs w:val="28"/>
        </w:rPr>
        <w:t>С Молдавской Стороны – Национальное Агентство по безопасности пищевых пр</w:t>
      </w:r>
      <w:r>
        <w:rPr>
          <w:sz w:val="28"/>
          <w:szCs w:val="28"/>
        </w:rPr>
        <w:t>одуктов</w:t>
      </w:r>
      <w:r>
        <w:rPr>
          <w:sz w:val="28"/>
          <w:szCs w:val="28"/>
          <w:lang w:val="ro-RO"/>
        </w:rPr>
        <w:t>;</w:t>
      </w:r>
    </w:p>
    <w:p w:rsidR="00F41900" w:rsidRPr="007D4744" w:rsidRDefault="00F41900" w:rsidP="00F41900">
      <w:pPr>
        <w:ind w:firstLine="567"/>
        <w:jc w:val="both"/>
        <w:rPr>
          <w:b/>
          <w:sz w:val="28"/>
          <w:szCs w:val="28"/>
          <w:lang w:val="ro-RO"/>
        </w:rPr>
      </w:pPr>
      <w:r w:rsidRPr="006E6168">
        <w:rPr>
          <w:sz w:val="28"/>
          <w:szCs w:val="28"/>
        </w:rPr>
        <w:t>С Украинской Стороны – Государственная служба Украины по вопросам безопасности продукто</w:t>
      </w:r>
      <w:r w:rsidR="007D4744">
        <w:rPr>
          <w:sz w:val="28"/>
          <w:szCs w:val="28"/>
        </w:rPr>
        <w:t>в питания и защиты потребителей</w:t>
      </w:r>
      <w:r w:rsidR="007D4744">
        <w:rPr>
          <w:sz w:val="28"/>
          <w:szCs w:val="28"/>
          <w:lang w:val="ro-RO"/>
        </w:rPr>
        <w:t>.</w:t>
      </w:r>
    </w:p>
    <w:p w:rsidR="00F41900" w:rsidRPr="00E77D26" w:rsidRDefault="00F41900" w:rsidP="00F41900">
      <w:pPr>
        <w:ind w:firstLine="567"/>
        <w:jc w:val="both"/>
        <w:rPr>
          <w:b/>
          <w:bCs/>
          <w:sz w:val="28"/>
          <w:szCs w:val="28"/>
        </w:rPr>
      </w:pPr>
    </w:p>
    <w:p w:rsidR="00F41900" w:rsidRPr="00E77D26" w:rsidRDefault="00840FF7" w:rsidP="00F419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  <w:lang w:val="ro-RO"/>
        </w:rPr>
        <w:t xml:space="preserve"> </w:t>
      </w:r>
      <w:r w:rsidR="00F41900" w:rsidRPr="00E77D26">
        <w:rPr>
          <w:b/>
          <w:bCs/>
          <w:sz w:val="28"/>
          <w:szCs w:val="28"/>
        </w:rPr>
        <w:t>3</w:t>
      </w:r>
    </w:p>
    <w:p w:rsidR="00F41900" w:rsidRPr="009C3551" w:rsidRDefault="00F41900" w:rsidP="00F41900">
      <w:pPr>
        <w:ind w:firstLine="567"/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Карантинный досмотр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будет проводиться в пу</w:t>
      </w:r>
      <w:r>
        <w:rPr>
          <w:sz w:val="28"/>
          <w:szCs w:val="28"/>
        </w:rPr>
        <w:t>нктах</w:t>
      </w:r>
      <w:r w:rsidRPr="00E77D26">
        <w:rPr>
          <w:sz w:val="28"/>
          <w:szCs w:val="28"/>
        </w:rPr>
        <w:t xml:space="preserve"> </w:t>
      </w:r>
      <w:r w:rsidRPr="006E6168">
        <w:rPr>
          <w:sz w:val="28"/>
          <w:szCs w:val="28"/>
        </w:rPr>
        <w:t>фитосанитарного контроля</w:t>
      </w:r>
      <w:r>
        <w:rPr>
          <w:sz w:val="28"/>
          <w:szCs w:val="28"/>
        </w:rPr>
        <w:t xml:space="preserve"> </w:t>
      </w:r>
      <w:r w:rsidRPr="00E77D26">
        <w:rPr>
          <w:sz w:val="28"/>
          <w:szCs w:val="28"/>
        </w:rPr>
        <w:t>растений Национальной Организации по Карантину и Защите Растений (НОКЗР) Договаривающихся Сторон.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 Договаривающиеся Стороны обмениваются Перечнями </w:t>
      </w:r>
      <w:r w:rsidRPr="00E77D26">
        <w:rPr>
          <w:b/>
          <w:i/>
          <w:sz w:val="28"/>
          <w:szCs w:val="28"/>
        </w:rPr>
        <w:t xml:space="preserve">регулируемых </w:t>
      </w:r>
      <w:r w:rsidRPr="00E77D26">
        <w:rPr>
          <w:sz w:val="28"/>
          <w:szCs w:val="28"/>
        </w:rPr>
        <w:t>вредных организмов (Приложениями 1 и 2), являющимися неотъемлемой частью настоящего Соглашения.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E77D26">
        <w:rPr>
          <w:sz w:val="28"/>
          <w:szCs w:val="28"/>
        </w:rPr>
        <w:t xml:space="preserve">смене своих компетентных органов Стороны обмениваются через дипломатические каналы. </w:t>
      </w:r>
    </w:p>
    <w:p w:rsidR="00F41900" w:rsidRPr="00E77D26" w:rsidRDefault="00F41900" w:rsidP="00F41900">
      <w:pPr>
        <w:pStyle w:val="Style1"/>
        <w:widowControl/>
        <w:spacing w:line="240" w:lineRule="auto"/>
        <w:ind w:firstLine="709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Все расходы по проверке грузов с </w:t>
      </w:r>
      <w:proofErr w:type="spellStart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подкарантинными</w:t>
      </w:r>
      <w:proofErr w:type="spellEnd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 материалами несет владелец груза или представитель владельца, в соответствии с действующими тарифами на территориях государств Договаривающихся Сторон. </w:t>
      </w:r>
    </w:p>
    <w:p w:rsidR="00F41900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 4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Компетентные органы Договаривающихся Сторон будут проводить инспектирование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в процессе их производства, </w:t>
      </w:r>
      <w:r w:rsidRPr="00E77D26">
        <w:rPr>
          <w:sz w:val="28"/>
          <w:szCs w:val="28"/>
        </w:rPr>
        <w:lastRenderedPageBreak/>
        <w:t xml:space="preserve">обработки, перевозки, а также хранения с целью определения присутствия или отсутствия регулируемых вредных организмов, которые наносят вред растениям и растительным продуктам. </w:t>
      </w:r>
    </w:p>
    <w:p w:rsidR="00F41900" w:rsidRPr="00E77D26" w:rsidRDefault="00F41900" w:rsidP="00F41900">
      <w:pPr>
        <w:ind w:firstLine="567"/>
        <w:jc w:val="both"/>
        <w:rPr>
          <w:rStyle w:val="FontStyle11"/>
          <w:sz w:val="28"/>
          <w:szCs w:val="28"/>
        </w:rPr>
      </w:pPr>
      <w:r w:rsidRPr="00E77D26">
        <w:rPr>
          <w:sz w:val="28"/>
          <w:szCs w:val="28"/>
        </w:rPr>
        <w:t xml:space="preserve">Договаривающиеся Стороны обязуются придерживаться утвержденных согласно действующему законодательству своих государств фитосанитарных правил по импорту, экспорту, реэкспорту и транзиту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материалов, которые перевозятся с территории государства одной Договаривающейся Стороны на территорию государства другой Договаривающейся Стороны</w:t>
      </w:r>
      <w:r w:rsidRPr="00E77D26">
        <w:rPr>
          <w:rStyle w:val="FontStyle11"/>
          <w:sz w:val="28"/>
          <w:szCs w:val="28"/>
        </w:rPr>
        <w:t xml:space="preserve">. </w:t>
      </w: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</w:t>
      </w:r>
      <w:r w:rsidR="00FA4B50">
        <w:rPr>
          <w:b/>
          <w:bCs/>
          <w:sz w:val="28"/>
          <w:szCs w:val="28"/>
        </w:rPr>
        <w:t>ТАТЬЯ</w:t>
      </w:r>
      <w:r w:rsidRPr="00E77D26">
        <w:rPr>
          <w:b/>
          <w:bCs/>
          <w:sz w:val="28"/>
          <w:szCs w:val="28"/>
        </w:rPr>
        <w:t xml:space="preserve"> 5</w:t>
      </w:r>
    </w:p>
    <w:p w:rsidR="00F41900" w:rsidRPr="00E77D26" w:rsidRDefault="00F41900" w:rsidP="00F41900">
      <w:pPr>
        <w:ind w:firstLine="567"/>
        <w:jc w:val="center"/>
        <w:rPr>
          <w:b/>
          <w:bCs/>
          <w:sz w:val="28"/>
          <w:szCs w:val="28"/>
        </w:rPr>
      </w:pPr>
    </w:p>
    <w:p w:rsidR="00F41900" w:rsidRPr="00E77D26" w:rsidRDefault="00F41900" w:rsidP="00F41900">
      <w:pPr>
        <w:pStyle w:val="Style2"/>
        <w:widowControl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В целях обеспечения эффективного </w:t>
      </w:r>
      <w:proofErr w:type="gramStart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сотрудничества</w:t>
      </w:r>
      <w:proofErr w:type="gramEnd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 в сфере карантина растений Договаривающиеся Стороны согласно национальному законодательству обязуются:</w:t>
      </w:r>
    </w:p>
    <w:p w:rsidR="00F41900" w:rsidRPr="00E77D26" w:rsidRDefault="00F41900" w:rsidP="00F41900">
      <w:pPr>
        <w:pStyle w:val="Style3"/>
        <w:widowControl/>
        <w:tabs>
          <w:tab w:val="left" w:pos="706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принимать все необходимые меры по предотвращению проникновения вредных организмов с территории государства одной Договаривающейся Стороны на территорию государства другой Договаривающейся Стороны при импорте, экспорте, реэкспорте и транзите;</w:t>
      </w:r>
    </w:p>
    <w:p w:rsidR="00F41900" w:rsidRPr="00E77D26" w:rsidRDefault="00F41900" w:rsidP="00F41900">
      <w:pPr>
        <w:pStyle w:val="Style3"/>
        <w:widowControl/>
        <w:tabs>
          <w:tab w:val="left" w:pos="706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обмениваться правилами, положениями, которые регулируют на территориях государств Договаривающихся Сторон мероприятия по карантину растений;</w:t>
      </w:r>
    </w:p>
    <w:p w:rsidR="00F41900" w:rsidRPr="00E77D26" w:rsidRDefault="00F41900" w:rsidP="00F41900">
      <w:pPr>
        <w:pStyle w:val="Style3"/>
        <w:widowControl/>
        <w:tabs>
          <w:tab w:val="left" w:pos="725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обмениваться информацией о появлении и распространении вредных организмов, имеющих карантинное значение на территории государств Договаривающих Сторон;</w:t>
      </w:r>
    </w:p>
    <w:p w:rsidR="00F41900" w:rsidRPr="00E77D26" w:rsidRDefault="00F41900" w:rsidP="00F41900">
      <w:pPr>
        <w:pStyle w:val="Style3"/>
        <w:widowControl/>
        <w:tabs>
          <w:tab w:val="left" w:pos="725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обмениваться информацией о научно-исследовательских работах в сфере карантина растений;</w:t>
      </w:r>
    </w:p>
    <w:p w:rsidR="00F41900" w:rsidRPr="00E77D26" w:rsidRDefault="00F41900" w:rsidP="00F41900">
      <w:pPr>
        <w:pStyle w:val="Style3"/>
        <w:widowControl/>
        <w:tabs>
          <w:tab w:val="left" w:pos="706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оказывать взаимную научную, техническую и другую помощь в проведении мероприятий по карантину растений, связанных с выявлением, локализацией и ликвидацией очагов карантинных организмов, обеззараживании и др.;</w:t>
      </w:r>
    </w:p>
    <w:p w:rsidR="00F41900" w:rsidRPr="00E77D26" w:rsidRDefault="00F41900" w:rsidP="00F41900">
      <w:pPr>
        <w:pStyle w:val="Style3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7D26">
        <w:rPr>
          <w:rFonts w:ascii="Times New Roman" w:hAnsi="Times New Roman" w:cs="Times New Roman"/>
          <w:sz w:val="28"/>
          <w:szCs w:val="28"/>
        </w:rPr>
        <w:t xml:space="preserve">обмениваться специалистами путем их командирования в целях осуществления фитосанитарного контроля </w:t>
      </w:r>
      <w:proofErr w:type="spellStart"/>
      <w:r w:rsidRPr="00E77D26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Pr="00E77D26">
        <w:rPr>
          <w:rFonts w:ascii="Times New Roman" w:hAnsi="Times New Roman" w:cs="Times New Roman"/>
          <w:sz w:val="28"/>
          <w:szCs w:val="28"/>
        </w:rPr>
        <w:t xml:space="preserve"> продукции в местах  производства, заготовки для оперативного решения вопросов карантина растений, а также в целях изучения достижений науки и практики в области карантина растений;</w:t>
      </w:r>
    </w:p>
    <w:p w:rsidR="00F41900" w:rsidRPr="00E77D26" w:rsidRDefault="00F41900" w:rsidP="00F41900">
      <w:pPr>
        <w:pStyle w:val="Style3"/>
        <w:widowControl/>
        <w:tabs>
          <w:tab w:val="left" w:pos="677"/>
        </w:tabs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обмениваться </w:t>
      </w:r>
      <w:proofErr w:type="spellStart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нотификационными</w:t>
      </w:r>
      <w:proofErr w:type="spellEnd"/>
      <w:r w:rsidRPr="00E77D26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 сообщениями  о несоответствии фитосанитарных мер и соответствующими документами, подтверждающими факты несоответствия.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6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6E6168" w:rsidRDefault="00F41900" w:rsidP="00F41900">
      <w:pPr>
        <w:pStyle w:val="a4"/>
        <w:spacing w:after="0"/>
        <w:ind w:left="0" w:firstLine="567"/>
        <w:jc w:val="both"/>
        <w:rPr>
          <w:sz w:val="28"/>
          <w:szCs w:val="28"/>
        </w:rPr>
      </w:pPr>
      <w:proofErr w:type="spellStart"/>
      <w:proofErr w:type="gramStart"/>
      <w:r w:rsidRPr="006E6168">
        <w:rPr>
          <w:sz w:val="28"/>
          <w:szCs w:val="28"/>
        </w:rPr>
        <w:t>Подкарантинные</w:t>
      </w:r>
      <w:proofErr w:type="spellEnd"/>
      <w:r w:rsidRPr="006E6168">
        <w:rPr>
          <w:sz w:val="28"/>
          <w:szCs w:val="28"/>
        </w:rPr>
        <w:t xml:space="preserve"> материалы, которые вывозятся с территории государства одной Договаривающейся Стороны на территорию государства другой Договаривающейся Стороны, либо которые перевозятся транзитом по территории государства одной Договаривающейся Стороны на территорию государства другой Договаривающейся Стороны, либо </w:t>
      </w:r>
      <w:proofErr w:type="spellStart"/>
      <w:r w:rsidRPr="006E6168">
        <w:rPr>
          <w:color w:val="000000"/>
          <w:sz w:val="28"/>
          <w:szCs w:val="28"/>
        </w:rPr>
        <w:t>подкарантинные</w:t>
      </w:r>
      <w:proofErr w:type="spellEnd"/>
      <w:r w:rsidRPr="006E6168">
        <w:rPr>
          <w:color w:val="000000"/>
          <w:sz w:val="28"/>
          <w:szCs w:val="28"/>
        </w:rPr>
        <w:t xml:space="preserve"> </w:t>
      </w:r>
      <w:r w:rsidRPr="006E6168">
        <w:rPr>
          <w:color w:val="000000"/>
          <w:sz w:val="28"/>
          <w:szCs w:val="28"/>
        </w:rPr>
        <w:lastRenderedPageBreak/>
        <w:t>материалы происхождением из третьих стран</w:t>
      </w:r>
      <w:r w:rsidRPr="006E6168">
        <w:rPr>
          <w:sz w:val="28"/>
          <w:szCs w:val="28"/>
        </w:rPr>
        <w:t>, подвергшиеся на территории государства одной из Договаривающихся Сторон переупаковке, перегрузке или разделению на части, должны сопровождаться фитосанитарным сертификатом (оригинал) или реэкспортным</w:t>
      </w:r>
      <w:proofErr w:type="gramEnd"/>
      <w:r w:rsidRPr="006E6168">
        <w:rPr>
          <w:sz w:val="28"/>
          <w:szCs w:val="28"/>
        </w:rPr>
        <w:t xml:space="preserve"> фитосанитарным сертификатом. </w:t>
      </w:r>
    </w:p>
    <w:p w:rsidR="00F41900" w:rsidRPr="00E77D26" w:rsidRDefault="00F41900" w:rsidP="00F41900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В целях идентификации партий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в фитосанитарных сертификатах указывается номер (название) транспортного средства, перевозящего эту партию. Фитосанитарные сертификаты оформляются в соответствии с Международным стандартом по фитосанитарным мерам (МСФМ № 12).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Наличие фитосанитарного сертификата не исключает права компетентных органов Договаривающихся Сторон проводить фитосанитарный контроль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в соответствии с законодательством своих государств. </w:t>
      </w:r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proofErr w:type="gramStart"/>
      <w:r w:rsidRPr="00E77D26">
        <w:rPr>
          <w:sz w:val="28"/>
          <w:szCs w:val="28"/>
        </w:rPr>
        <w:t xml:space="preserve">В случае обнаружения регулированных вредных организмов при проведении фитосанитарного контроля или других нарушений фитосанитарных мер, компетентные органы импортирующей Договаривающейся Стороны имеют право на обеззараживание партии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материалов, ее уничтожение или возврат экспортеру, с уведомлением компетентных органов другой Договаривающейся Стороны о принятых фитосанитарных мерах с указанием их причины в соответствии с Международным стандартом по фитосанитарным мерами (МСФМ № 13). </w:t>
      </w:r>
      <w:proofErr w:type="gramEnd"/>
    </w:p>
    <w:p w:rsidR="00F41900" w:rsidRPr="00E77D26" w:rsidRDefault="00F41900" w:rsidP="00F41900">
      <w:pPr>
        <w:ind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Если обеззараживание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проводилось на территории государства одной Договаривающейся Стороны, ввоз указанной  продукции на территорию государства другой Договаривающиеся Стороны разрешается после ее дегазации (искусственного устранения газов из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материалов), или дегазации на территории государства Договаривающейся Стороны, которая принимает </w:t>
      </w:r>
      <w:proofErr w:type="spellStart"/>
      <w:r w:rsidRPr="00E77D26">
        <w:rPr>
          <w:sz w:val="28"/>
          <w:szCs w:val="28"/>
        </w:rPr>
        <w:t>подкарантинный</w:t>
      </w:r>
      <w:proofErr w:type="spellEnd"/>
      <w:r w:rsidRPr="00E77D26">
        <w:rPr>
          <w:sz w:val="28"/>
          <w:szCs w:val="28"/>
        </w:rPr>
        <w:t xml:space="preserve"> материал по предварительной договоренности с НОКЗР.</w:t>
      </w:r>
    </w:p>
    <w:p w:rsidR="00F41900" w:rsidRDefault="00F41900" w:rsidP="00F41900">
      <w:pPr>
        <w:ind w:firstLine="709"/>
        <w:jc w:val="both"/>
        <w:rPr>
          <w:sz w:val="28"/>
          <w:szCs w:val="28"/>
          <w:lang w:val="ro-RO"/>
        </w:rPr>
      </w:pPr>
      <w:r w:rsidRPr="00E77D26">
        <w:rPr>
          <w:sz w:val="28"/>
          <w:szCs w:val="28"/>
        </w:rPr>
        <w:t xml:space="preserve">Во всех случаях осуществления реэкспорта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Договаривающиеся Стороны проводят фитосанитарный контроль и при отсутствии карантинных вредных организмов оформляют фитосанитарный сертификат или реэкспортный фитосанитарный сертификат, сопровождающий </w:t>
      </w:r>
      <w:proofErr w:type="spellStart"/>
      <w:r w:rsidRPr="00E77D26">
        <w:rPr>
          <w:sz w:val="28"/>
          <w:szCs w:val="28"/>
        </w:rPr>
        <w:t>подкарантинные</w:t>
      </w:r>
      <w:proofErr w:type="spellEnd"/>
      <w:r w:rsidRPr="00E77D26">
        <w:rPr>
          <w:sz w:val="28"/>
          <w:szCs w:val="28"/>
        </w:rPr>
        <w:t xml:space="preserve"> материалы к месту назначения груза, с приложением фитосанитарного сертификата страны-экспортера (или его заверенной копией). </w:t>
      </w:r>
    </w:p>
    <w:p w:rsidR="00840FF7" w:rsidRPr="00AD597B" w:rsidRDefault="00840FF7" w:rsidP="00F41900">
      <w:pPr>
        <w:ind w:firstLine="709"/>
        <w:jc w:val="both"/>
        <w:rPr>
          <w:color w:val="FF0000"/>
          <w:sz w:val="28"/>
          <w:szCs w:val="28"/>
        </w:rPr>
      </w:pPr>
      <w:r w:rsidRPr="00AD597B">
        <w:rPr>
          <w:color w:val="FF0000"/>
          <w:sz w:val="28"/>
          <w:szCs w:val="28"/>
        </w:rPr>
        <w:t>В случае если импортный или транзитный груз с</w:t>
      </w:r>
      <w:r w:rsidRPr="00AD597B">
        <w:rPr>
          <w:color w:val="FF0000"/>
        </w:rPr>
        <w:t xml:space="preserve"> </w:t>
      </w:r>
      <w:proofErr w:type="spellStart"/>
      <w:r w:rsidRPr="00AD597B">
        <w:rPr>
          <w:color w:val="FF0000"/>
          <w:sz w:val="28"/>
          <w:szCs w:val="28"/>
        </w:rPr>
        <w:t>подкарантинными</w:t>
      </w:r>
      <w:proofErr w:type="spellEnd"/>
      <w:r w:rsidRPr="00AD597B">
        <w:rPr>
          <w:color w:val="FF0000"/>
          <w:sz w:val="28"/>
          <w:szCs w:val="28"/>
        </w:rPr>
        <w:t xml:space="preserve"> материалами был доставлен или хранился, переупаковывался или разделялся на территориях Договаривающихся </w:t>
      </w:r>
      <w:r w:rsidR="00AD597B">
        <w:rPr>
          <w:color w:val="FF0000"/>
          <w:sz w:val="28"/>
          <w:szCs w:val="28"/>
        </w:rPr>
        <w:t>с</w:t>
      </w:r>
      <w:r w:rsidRPr="00AD597B">
        <w:rPr>
          <w:color w:val="FF0000"/>
          <w:sz w:val="28"/>
          <w:szCs w:val="28"/>
        </w:rPr>
        <w:t>торон, кроме оригинала фитосанитарного сертифи</w:t>
      </w:r>
      <w:r w:rsidR="00683546" w:rsidRPr="00AD597B">
        <w:rPr>
          <w:color w:val="FF0000"/>
          <w:sz w:val="28"/>
          <w:szCs w:val="28"/>
        </w:rPr>
        <w:t>ката на реэкспорт он сопровождается оригиналом международного фитосанитарного сертификата страны происхождения (или его заверенной копией).</w:t>
      </w:r>
    </w:p>
    <w:p w:rsidR="00AD597B" w:rsidRPr="00AD597B" w:rsidRDefault="00683546" w:rsidP="00AD597B">
      <w:pPr>
        <w:ind w:firstLine="708"/>
        <w:jc w:val="both"/>
        <w:outlineLvl w:val="0"/>
        <w:rPr>
          <w:b/>
          <w:bCs/>
          <w:color w:val="FF0000"/>
          <w:sz w:val="28"/>
          <w:szCs w:val="28"/>
        </w:rPr>
      </w:pPr>
      <w:r w:rsidRPr="00AD597B">
        <w:rPr>
          <w:color w:val="FF0000"/>
          <w:sz w:val="28"/>
          <w:szCs w:val="28"/>
        </w:rPr>
        <w:t xml:space="preserve">Если в отличие от страны назначения страна реэкспорта не требует </w:t>
      </w:r>
      <w:r w:rsidR="00AD597B" w:rsidRPr="00AD597B">
        <w:rPr>
          <w:color w:val="FF0000"/>
          <w:sz w:val="28"/>
          <w:szCs w:val="28"/>
        </w:rPr>
        <w:t>фитосанитарного сертификата страны происхождения на соответствующий груз, то он сопровождается оригиналом фитосанитарного сертификата на реэкспорт.</w:t>
      </w:r>
    </w:p>
    <w:p w:rsidR="00683546" w:rsidRPr="00AD597B" w:rsidRDefault="00683546" w:rsidP="00AD597B">
      <w:pPr>
        <w:ind w:firstLine="709"/>
        <w:jc w:val="both"/>
        <w:rPr>
          <w:color w:val="FF0000"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7</w:t>
      </w:r>
    </w:p>
    <w:p w:rsidR="00F41900" w:rsidRPr="00E77D26" w:rsidRDefault="00F41900" w:rsidP="00F41900">
      <w:pPr>
        <w:ind w:firstLine="709"/>
        <w:jc w:val="both"/>
        <w:outlineLvl w:val="0"/>
        <w:rPr>
          <w:sz w:val="28"/>
          <w:szCs w:val="28"/>
        </w:rPr>
      </w:pPr>
    </w:p>
    <w:p w:rsidR="00F41900" w:rsidRPr="00E77D26" w:rsidRDefault="00F41900" w:rsidP="00F41900">
      <w:pPr>
        <w:ind w:firstLine="709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При экспорте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с территории государства одной Договаривающейся Стороны на территорию государства другой Договаривающейся Стороны в качестве упаковочного материала будут применяться древесные упаковочные материалы, прошедшие специальную обработку в соответствии с Международным стандартом по фитосанитарным мерам (МСФМ № 15). Растительные материалы (сено, солома, мякина, листья), которые могут быть переносчиками карантинных вредных организмов, не будут использоваться в качестве дополнительного упаковочного материала без предварительного согласия Договаривающейся Стороны. Другие упаковочные материалы должны быть свободны от почвы. </w:t>
      </w:r>
    </w:p>
    <w:p w:rsidR="00F41900" w:rsidRPr="00E77D26" w:rsidRDefault="00F41900" w:rsidP="00F41900">
      <w:pPr>
        <w:ind w:firstLine="709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Компетентные органы Договаривающихся Сторон запрещают импорт живых укорененных растений с почвой, которые могут быть переносчиками регулируемых вредных организмов.</w:t>
      </w:r>
    </w:p>
    <w:p w:rsidR="00F41900" w:rsidRPr="00E77D26" w:rsidRDefault="00F41900" w:rsidP="00F41900">
      <w:pPr>
        <w:ind w:firstLine="709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Транспортные средства, используемые одной Договаривающейся Стороной для перевозки </w:t>
      </w:r>
      <w:proofErr w:type="spellStart"/>
      <w:r w:rsidRPr="00E77D26">
        <w:rPr>
          <w:sz w:val="28"/>
          <w:szCs w:val="28"/>
        </w:rPr>
        <w:t>подкарантинных</w:t>
      </w:r>
      <w:proofErr w:type="spellEnd"/>
      <w:r w:rsidRPr="00E77D26">
        <w:rPr>
          <w:sz w:val="28"/>
          <w:szCs w:val="28"/>
        </w:rPr>
        <w:t xml:space="preserve"> материалов на территорию государства другой Договаривающейся Стороны, должны быть тщательно очищены, а при необходимости - обеззаражены.</w:t>
      </w: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8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Для решения практических вопросов, связанных с реализацией положений настоящего Соглашения, компетентные органы Договаривающихся Сторон, при необходимости, организовывают совместные совещания, которые проводятся поочередно на территории государств Договаривающихся Сторон.</w:t>
      </w: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Организационные расходы по проведению совещаний несет компетентный орган принимающей Договаривающейся Стороны. Порядок оплаты расходов по направлению делегаций предварительно согласовывается компетентными органами Договаривающихся Сторон.</w:t>
      </w:r>
    </w:p>
    <w:p w:rsidR="00F41900" w:rsidRPr="00E77D26" w:rsidRDefault="00F41900" w:rsidP="00F41900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Место, сроки и повестка дня таких совещаний определяются компетентными органами Договаривающихся Сторон.</w:t>
      </w:r>
    </w:p>
    <w:p w:rsidR="00F41900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9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Положения настоящего Соглашения распространяются на все </w:t>
      </w:r>
      <w:proofErr w:type="spellStart"/>
      <w:r w:rsidRPr="00E77D26">
        <w:rPr>
          <w:sz w:val="28"/>
          <w:szCs w:val="28"/>
        </w:rPr>
        <w:t>подкарантинные</w:t>
      </w:r>
      <w:proofErr w:type="spellEnd"/>
      <w:r w:rsidRPr="00E77D26">
        <w:rPr>
          <w:sz w:val="28"/>
          <w:szCs w:val="28"/>
        </w:rPr>
        <w:t xml:space="preserve"> материалы, в том числе поступающие в качестве дара или для научных целей, а также предусмотренных Соглашением </w:t>
      </w:r>
      <w:r w:rsidRPr="00E77D26">
        <w:rPr>
          <w:b/>
          <w:i/>
          <w:sz w:val="28"/>
          <w:szCs w:val="28"/>
        </w:rPr>
        <w:t>Всемирной Торговой Организации</w:t>
      </w:r>
      <w:r w:rsidRPr="00E77D26">
        <w:rPr>
          <w:sz w:val="28"/>
          <w:szCs w:val="28"/>
        </w:rPr>
        <w:t xml:space="preserve"> о применении санитарных и фитосанитарных мер.</w:t>
      </w:r>
    </w:p>
    <w:p w:rsidR="00F41900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10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pStyle w:val="a6"/>
        <w:spacing w:after="0"/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Положения настоящего Соглашения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</w:p>
    <w:p w:rsidR="00F41900" w:rsidRPr="00E77D26" w:rsidRDefault="00F41900" w:rsidP="00F41900">
      <w:pPr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11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709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В настоящее Соглашение, по взаимному письменному согласию Договаривающихся Сторон, могут вноситься изменения и/или дополнения, оформляемые отдельными протоколами, являющимися его неотъемлемой частью, которые вступают в силу в порядке, установленном статьей </w:t>
      </w:r>
      <w:r>
        <w:rPr>
          <w:sz w:val="28"/>
          <w:szCs w:val="28"/>
        </w:rPr>
        <w:t xml:space="preserve">           </w:t>
      </w:r>
      <w:r w:rsidRPr="00E77D26">
        <w:rPr>
          <w:sz w:val="28"/>
          <w:szCs w:val="28"/>
        </w:rPr>
        <w:t xml:space="preserve">   13 настоящего Соглашения. </w:t>
      </w:r>
    </w:p>
    <w:p w:rsidR="00F41900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12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В случае возникновения разногласий при толковании или применении положений настоящего Соглашения Договаривающиеся Стороны будут разрешать их путем консультаций и переговоров.</w:t>
      </w:r>
    </w:p>
    <w:p w:rsidR="00F41900" w:rsidRPr="00E77D26" w:rsidRDefault="00F41900" w:rsidP="00F41900">
      <w:pPr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  <w:r w:rsidRPr="00E77D26">
        <w:rPr>
          <w:b/>
          <w:bCs/>
          <w:sz w:val="28"/>
          <w:szCs w:val="28"/>
        </w:rPr>
        <w:t>СТАТЬЯ 13</w:t>
      </w:r>
    </w:p>
    <w:p w:rsidR="00F41900" w:rsidRPr="00E77D26" w:rsidRDefault="00F41900" w:rsidP="00F41900">
      <w:pPr>
        <w:jc w:val="center"/>
        <w:outlineLvl w:val="0"/>
        <w:rPr>
          <w:b/>
          <w:bCs/>
          <w:sz w:val="28"/>
          <w:szCs w:val="28"/>
        </w:rPr>
      </w:pP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Настоящее Соглашение вступает в силу </w:t>
      </w:r>
      <w:proofErr w:type="gramStart"/>
      <w:r w:rsidRPr="00E77D26">
        <w:rPr>
          <w:sz w:val="28"/>
          <w:szCs w:val="28"/>
        </w:rPr>
        <w:t>с даты получения</w:t>
      </w:r>
      <w:proofErr w:type="gramEnd"/>
      <w:r w:rsidRPr="00E77D26">
        <w:rPr>
          <w:sz w:val="28"/>
          <w:szCs w:val="28"/>
        </w:rPr>
        <w:t xml:space="preserve"> по дипломатическим каналам последнего письменного уведомления о выполнении</w:t>
      </w:r>
    </w:p>
    <w:p w:rsidR="00F41900" w:rsidRPr="00E77D26" w:rsidRDefault="00F41900" w:rsidP="00F41900">
      <w:pPr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 Договаривающимися Сторонами внутригосударственных процедур, необходимых для его вступления в силу.</w:t>
      </w: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 xml:space="preserve">Настоящее Соглашение заключается сроком на 5 лет. Его действие автоматически </w:t>
      </w:r>
      <w:r w:rsidRPr="00E77D26">
        <w:rPr>
          <w:color w:val="000000"/>
          <w:sz w:val="28"/>
          <w:szCs w:val="28"/>
        </w:rPr>
        <w:t xml:space="preserve">продлевается </w:t>
      </w:r>
      <w:r w:rsidRPr="00E77D26">
        <w:rPr>
          <w:sz w:val="28"/>
          <w:szCs w:val="28"/>
        </w:rPr>
        <w:t>на последующие пятилетние периоды, если ни одна из Договаривающихся Сторон не уведомит в письменной форме по дипломатическим каналам другую Договаривающуюся Сторону о своем намерении прекратить действие настоящего Соглашения не менее чем за шесть месяцев до истечения соответствующего периода.</w:t>
      </w:r>
    </w:p>
    <w:p w:rsidR="00F41900" w:rsidRPr="00E77D26" w:rsidRDefault="00F41900" w:rsidP="00F41900">
      <w:pPr>
        <w:jc w:val="both"/>
        <w:textAlignment w:val="top"/>
        <w:rPr>
          <w:sz w:val="28"/>
          <w:szCs w:val="28"/>
        </w:rPr>
      </w:pPr>
      <w:r w:rsidRPr="00E77D26">
        <w:rPr>
          <w:rStyle w:val="hps"/>
          <w:color w:val="333333"/>
          <w:sz w:val="28"/>
          <w:szCs w:val="28"/>
        </w:rPr>
        <w:tab/>
      </w:r>
      <w:r w:rsidRPr="00E77D26">
        <w:rPr>
          <w:sz w:val="28"/>
          <w:szCs w:val="28"/>
        </w:rPr>
        <w:t xml:space="preserve">Прекращение действия настоящего </w:t>
      </w:r>
      <w:r w:rsidR="00B90141">
        <w:rPr>
          <w:sz w:val="28"/>
          <w:szCs w:val="28"/>
        </w:rPr>
        <w:t>Соглашения</w:t>
      </w:r>
      <w:r w:rsidR="00B90141">
        <w:rPr>
          <w:sz w:val="28"/>
          <w:szCs w:val="28"/>
          <w:lang w:val="ro-RO"/>
        </w:rPr>
        <w:t xml:space="preserve"> </w:t>
      </w:r>
      <w:r w:rsidRPr="00E77D26">
        <w:rPr>
          <w:sz w:val="28"/>
          <w:szCs w:val="28"/>
        </w:rPr>
        <w:t>не затрагивает мероприятия и проекты, начатые в рамках настоящего Соглашения.</w:t>
      </w:r>
    </w:p>
    <w:p w:rsidR="00F41900" w:rsidRPr="00E77D26" w:rsidRDefault="00F41900" w:rsidP="00F41900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E77D26">
        <w:rPr>
          <w:b/>
          <w:i/>
          <w:sz w:val="28"/>
          <w:szCs w:val="28"/>
        </w:rPr>
        <w:t>С даты вступления</w:t>
      </w:r>
      <w:proofErr w:type="gramEnd"/>
      <w:r w:rsidRPr="00E77D26">
        <w:rPr>
          <w:b/>
          <w:i/>
          <w:sz w:val="28"/>
          <w:szCs w:val="28"/>
        </w:rPr>
        <w:t xml:space="preserve"> в силу настоящего Соглашения прекращает свое действие Соглашение между Кабинетом Министров Украины и Правительством Республики Молдова о сотрудничестве в сфере карантина растений от 23 октября 1998 года.</w:t>
      </w:r>
    </w:p>
    <w:p w:rsidR="00F41900" w:rsidRDefault="00F41900" w:rsidP="00F41900">
      <w:pPr>
        <w:ind w:firstLine="708"/>
        <w:jc w:val="both"/>
        <w:rPr>
          <w:sz w:val="28"/>
          <w:szCs w:val="28"/>
        </w:rPr>
      </w:pPr>
      <w:r w:rsidRPr="00E77D26">
        <w:rPr>
          <w:sz w:val="28"/>
          <w:szCs w:val="28"/>
        </w:rPr>
        <w:t>Совершено в г. ____________ “___”__________ 201</w:t>
      </w:r>
      <w:r w:rsidR="00B90141">
        <w:rPr>
          <w:sz w:val="28"/>
          <w:szCs w:val="28"/>
          <w:lang w:val="ro-RO"/>
        </w:rPr>
        <w:t>8</w:t>
      </w:r>
      <w:bookmarkStart w:id="2" w:name="_GoBack"/>
      <w:bookmarkEnd w:id="2"/>
      <w:r w:rsidRPr="00E77D26">
        <w:rPr>
          <w:sz w:val="28"/>
          <w:szCs w:val="28"/>
        </w:rPr>
        <w:t xml:space="preserve"> года в двух подлинных экземплярах, каждый на </w:t>
      </w:r>
      <w:r w:rsidR="00EB4FBF" w:rsidRPr="006E6168">
        <w:rPr>
          <w:sz w:val="28"/>
          <w:szCs w:val="28"/>
        </w:rPr>
        <w:t>румынском</w:t>
      </w:r>
      <w:r w:rsidR="00EB4FBF">
        <w:rPr>
          <w:sz w:val="28"/>
          <w:szCs w:val="28"/>
          <w:lang w:val="ro-RO"/>
        </w:rPr>
        <w:t>,</w:t>
      </w:r>
      <w:r w:rsidR="00EB4FBF" w:rsidRPr="00E77D26">
        <w:rPr>
          <w:sz w:val="28"/>
          <w:szCs w:val="28"/>
        </w:rPr>
        <w:t xml:space="preserve"> </w:t>
      </w:r>
      <w:r w:rsidR="00EB4FBF">
        <w:rPr>
          <w:sz w:val="28"/>
          <w:szCs w:val="28"/>
        </w:rPr>
        <w:t>украинском</w:t>
      </w:r>
      <w:r w:rsidRPr="00E77D26">
        <w:rPr>
          <w:sz w:val="28"/>
          <w:szCs w:val="28"/>
        </w:rPr>
        <w:t xml:space="preserve"> и русском языках, причем все тексты являются аутентичными. В случаях различного толкования отдельных положений настоящего Соглашения будет использоваться текст на русском языке.</w:t>
      </w:r>
    </w:p>
    <w:p w:rsidR="00F41900" w:rsidRDefault="00F41900" w:rsidP="00F41900">
      <w:pPr>
        <w:ind w:firstLine="708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</w:p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</w:p>
    <w:tbl>
      <w:tblPr>
        <w:tblW w:w="9828" w:type="dxa"/>
        <w:jc w:val="center"/>
        <w:tblLook w:val="0000" w:firstRow="0" w:lastRow="0" w:firstColumn="0" w:lastColumn="0" w:noHBand="0" w:noVBand="0"/>
      </w:tblPr>
      <w:tblGrid>
        <w:gridCol w:w="4788"/>
        <w:gridCol w:w="5040"/>
      </w:tblGrid>
      <w:tr w:rsidR="00F41900" w:rsidRPr="00E77D26" w:rsidTr="005C27B3">
        <w:trPr>
          <w:trHeight w:val="1064"/>
          <w:jc w:val="center"/>
        </w:trPr>
        <w:tc>
          <w:tcPr>
            <w:tcW w:w="4788" w:type="dxa"/>
          </w:tcPr>
          <w:p w:rsidR="00F41900" w:rsidRPr="00E77D26" w:rsidRDefault="00F41900" w:rsidP="005C27B3">
            <w:pPr>
              <w:pStyle w:val="1"/>
              <w:jc w:val="center"/>
              <w:rPr>
                <w:sz w:val="28"/>
                <w:szCs w:val="28"/>
              </w:rPr>
            </w:pPr>
            <w:r w:rsidRPr="00E77D26">
              <w:rPr>
                <w:sz w:val="28"/>
                <w:szCs w:val="28"/>
              </w:rPr>
              <w:t>За Кабинет Министров</w:t>
            </w:r>
          </w:p>
          <w:p w:rsidR="00F41900" w:rsidRPr="00E77D26" w:rsidRDefault="00F41900" w:rsidP="005C27B3">
            <w:pPr>
              <w:pStyle w:val="1"/>
              <w:jc w:val="center"/>
              <w:rPr>
                <w:sz w:val="28"/>
                <w:szCs w:val="28"/>
              </w:rPr>
            </w:pPr>
            <w:r w:rsidRPr="00E77D26">
              <w:rPr>
                <w:sz w:val="28"/>
                <w:szCs w:val="28"/>
              </w:rPr>
              <w:t>Украины</w:t>
            </w:r>
          </w:p>
          <w:p w:rsidR="00F41900" w:rsidRPr="00E77D26" w:rsidRDefault="00F41900" w:rsidP="005C27B3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F41900" w:rsidRPr="00E77D26" w:rsidRDefault="00F41900" w:rsidP="005C27B3">
            <w:pPr>
              <w:pStyle w:val="1"/>
              <w:jc w:val="center"/>
              <w:rPr>
                <w:sz w:val="28"/>
                <w:szCs w:val="28"/>
              </w:rPr>
            </w:pPr>
            <w:r w:rsidRPr="00E77D26">
              <w:rPr>
                <w:sz w:val="28"/>
                <w:szCs w:val="28"/>
              </w:rPr>
              <w:t>За Правительство Республики</w:t>
            </w:r>
          </w:p>
          <w:p w:rsidR="00F41900" w:rsidRPr="00E77D26" w:rsidRDefault="00F41900" w:rsidP="005C27B3">
            <w:pPr>
              <w:tabs>
                <w:tab w:val="left" w:pos="1545"/>
              </w:tabs>
              <w:jc w:val="center"/>
              <w:rPr>
                <w:b/>
                <w:sz w:val="28"/>
                <w:szCs w:val="28"/>
              </w:rPr>
            </w:pPr>
            <w:r w:rsidRPr="00E77D26">
              <w:rPr>
                <w:b/>
                <w:sz w:val="28"/>
                <w:szCs w:val="28"/>
              </w:rPr>
              <w:t>Молдова</w:t>
            </w:r>
          </w:p>
        </w:tc>
      </w:tr>
    </w:tbl>
    <w:p w:rsidR="00F41900" w:rsidRPr="00E77D26" w:rsidRDefault="00F41900" w:rsidP="00F41900">
      <w:pPr>
        <w:ind w:firstLine="708"/>
        <w:jc w:val="both"/>
        <w:rPr>
          <w:sz w:val="28"/>
          <w:szCs w:val="28"/>
        </w:rPr>
      </w:pPr>
    </w:p>
    <w:p w:rsidR="00F41900" w:rsidRPr="00E77D26" w:rsidRDefault="00F41900" w:rsidP="00F41900">
      <w:pPr>
        <w:rPr>
          <w:sz w:val="28"/>
          <w:szCs w:val="28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F41900" w:rsidRDefault="00F41900" w:rsidP="00F41900">
      <w:pPr>
        <w:rPr>
          <w:lang w:val="ro-RO"/>
        </w:rPr>
      </w:pPr>
    </w:p>
    <w:p w:rsidR="00587762" w:rsidRPr="00F41900" w:rsidRDefault="00587762">
      <w:pPr>
        <w:rPr>
          <w:lang w:val="ro-RO"/>
        </w:rPr>
      </w:pPr>
    </w:p>
    <w:sectPr w:rsidR="00587762" w:rsidRPr="00F41900" w:rsidSect="00E77D26">
      <w:pgSz w:w="11906" w:h="16838"/>
      <w:pgMar w:top="719" w:right="1106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62"/>
    <w:rsid w:val="00587762"/>
    <w:rsid w:val="00683546"/>
    <w:rsid w:val="007D4744"/>
    <w:rsid w:val="007E0EEA"/>
    <w:rsid w:val="00840FF7"/>
    <w:rsid w:val="00AD597B"/>
    <w:rsid w:val="00B90141"/>
    <w:rsid w:val="00D83C8C"/>
    <w:rsid w:val="00EB4FBF"/>
    <w:rsid w:val="00F41900"/>
    <w:rsid w:val="00F43D5C"/>
    <w:rsid w:val="00F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90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page number"/>
    <w:rsid w:val="00F41900"/>
    <w:rPr>
      <w:rFonts w:cs="Times New Roman"/>
    </w:rPr>
  </w:style>
  <w:style w:type="paragraph" w:styleId="2">
    <w:name w:val="Body Text 2"/>
    <w:basedOn w:val="a"/>
    <w:link w:val="20"/>
    <w:rsid w:val="00F419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419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41900"/>
    <w:pPr>
      <w:spacing w:after="120"/>
    </w:pPr>
  </w:style>
  <w:style w:type="character" w:customStyle="1" w:styleId="a7">
    <w:name w:val="Основной текст Знак"/>
    <w:basedOn w:val="a0"/>
    <w:link w:val="a6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41900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character" w:customStyle="1" w:styleId="FontStyle11">
    <w:name w:val="Font Style11"/>
    <w:rsid w:val="00F41900"/>
    <w:rPr>
      <w:rFonts w:ascii="Microsoft Sans Serif" w:hAnsi="Microsoft Sans Serif" w:cs="Microsoft Sans Serif"/>
      <w:sz w:val="20"/>
      <w:szCs w:val="20"/>
    </w:rPr>
  </w:style>
  <w:style w:type="character" w:customStyle="1" w:styleId="FontStyle12">
    <w:name w:val="Font Style12"/>
    <w:rsid w:val="00F4190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rsid w:val="00F41900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rsid w:val="00F4190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hps">
    <w:name w:val="hps"/>
    <w:rsid w:val="00F41900"/>
    <w:rPr>
      <w:rFonts w:cs="Times New Roman"/>
    </w:rPr>
  </w:style>
  <w:style w:type="paragraph" w:styleId="a8">
    <w:name w:val="Title"/>
    <w:basedOn w:val="a"/>
    <w:link w:val="a9"/>
    <w:qFormat/>
    <w:rsid w:val="00F41900"/>
    <w:pPr>
      <w:jc w:val="center"/>
    </w:pPr>
    <w:rPr>
      <w:b/>
      <w:sz w:val="28"/>
      <w:lang w:val="uk-UA"/>
    </w:rPr>
  </w:style>
  <w:style w:type="character" w:customStyle="1" w:styleId="a9">
    <w:name w:val="Название Знак"/>
    <w:basedOn w:val="a0"/>
    <w:link w:val="a8"/>
    <w:rsid w:val="00F4190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2">
    <w:name w:val="Заголовок №6 (2)_"/>
    <w:link w:val="620"/>
    <w:locked/>
    <w:rsid w:val="00F41900"/>
    <w:rPr>
      <w:spacing w:val="8"/>
      <w:sz w:val="25"/>
      <w:szCs w:val="25"/>
      <w:shd w:val="clear" w:color="auto" w:fill="FFFFFF"/>
    </w:rPr>
  </w:style>
  <w:style w:type="paragraph" w:customStyle="1" w:styleId="620">
    <w:name w:val="Заголовок №6 (2)"/>
    <w:basedOn w:val="a"/>
    <w:link w:val="62"/>
    <w:rsid w:val="00F41900"/>
    <w:pPr>
      <w:shd w:val="clear" w:color="auto" w:fill="FFFFFF"/>
      <w:spacing w:before="600" w:after="360" w:line="240" w:lineRule="atLeast"/>
      <w:outlineLvl w:val="5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apple-converted-space">
    <w:name w:val="apple-converted-space"/>
    <w:rsid w:val="00F41900"/>
  </w:style>
  <w:style w:type="paragraph" w:styleId="aa">
    <w:name w:val="Balloon Text"/>
    <w:basedOn w:val="a"/>
    <w:link w:val="ab"/>
    <w:uiPriority w:val="99"/>
    <w:semiHidden/>
    <w:unhideWhenUsed/>
    <w:rsid w:val="00EB4F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F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90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page number"/>
    <w:rsid w:val="00F41900"/>
    <w:rPr>
      <w:rFonts w:cs="Times New Roman"/>
    </w:rPr>
  </w:style>
  <w:style w:type="paragraph" w:styleId="2">
    <w:name w:val="Body Text 2"/>
    <w:basedOn w:val="a"/>
    <w:link w:val="20"/>
    <w:rsid w:val="00F419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419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41900"/>
    <w:pPr>
      <w:spacing w:after="120"/>
    </w:pPr>
  </w:style>
  <w:style w:type="character" w:customStyle="1" w:styleId="a7">
    <w:name w:val="Основной текст Знак"/>
    <w:basedOn w:val="a0"/>
    <w:link w:val="a6"/>
    <w:rsid w:val="00F4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41900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character" w:customStyle="1" w:styleId="FontStyle11">
    <w:name w:val="Font Style11"/>
    <w:rsid w:val="00F41900"/>
    <w:rPr>
      <w:rFonts w:ascii="Microsoft Sans Serif" w:hAnsi="Microsoft Sans Serif" w:cs="Microsoft Sans Serif"/>
      <w:sz w:val="20"/>
      <w:szCs w:val="20"/>
    </w:rPr>
  </w:style>
  <w:style w:type="character" w:customStyle="1" w:styleId="FontStyle12">
    <w:name w:val="Font Style12"/>
    <w:rsid w:val="00F4190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rsid w:val="00F41900"/>
    <w:pPr>
      <w:widowControl w:val="0"/>
      <w:autoSpaceDE w:val="0"/>
      <w:autoSpaceDN w:val="0"/>
      <w:adjustRightInd w:val="0"/>
      <w:spacing w:line="307" w:lineRule="exact"/>
      <w:ind w:firstLine="509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rsid w:val="00F4190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hps">
    <w:name w:val="hps"/>
    <w:rsid w:val="00F41900"/>
    <w:rPr>
      <w:rFonts w:cs="Times New Roman"/>
    </w:rPr>
  </w:style>
  <w:style w:type="paragraph" w:styleId="a8">
    <w:name w:val="Title"/>
    <w:basedOn w:val="a"/>
    <w:link w:val="a9"/>
    <w:qFormat/>
    <w:rsid w:val="00F41900"/>
    <w:pPr>
      <w:jc w:val="center"/>
    </w:pPr>
    <w:rPr>
      <w:b/>
      <w:sz w:val="28"/>
      <w:lang w:val="uk-UA"/>
    </w:rPr>
  </w:style>
  <w:style w:type="character" w:customStyle="1" w:styleId="a9">
    <w:name w:val="Название Знак"/>
    <w:basedOn w:val="a0"/>
    <w:link w:val="a8"/>
    <w:rsid w:val="00F4190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2">
    <w:name w:val="Заголовок №6 (2)_"/>
    <w:link w:val="620"/>
    <w:locked/>
    <w:rsid w:val="00F41900"/>
    <w:rPr>
      <w:spacing w:val="8"/>
      <w:sz w:val="25"/>
      <w:szCs w:val="25"/>
      <w:shd w:val="clear" w:color="auto" w:fill="FFFFFF"/>
    </w:rPr>
  </w:style>
  <w:style w:type="paragraph" w:customStyle="1" w:styleId="620">
    <w:name w:val="Заголовок №6 (2)"/>
    <w:basedOn w:val="a"/>
    <w:link w:val="62"/>
    <w:rsid w:val="00F41900"/>
    <w:pPr>
      <w:shd w:val="clear" w:color="auto" w:fill="FFFFFF"/>
      <w:spacing w:before="600" w:after="360" w:line="240" w:lineRule="atLeast"/>
      <w:outlineLvl w:val="5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apple-converted-space">
    <w:name w:val="apple-converted-space"/>
    <w:rsid w:val="00F41900"/>
  </w:style>
  <w:style w:type="paragraph" w:styleId="aa">
    <w:name w:val="Balloon Text"/>
    <w:basedOn w:val="a"/>
    <w:link w:val="ab"/>
    <w:uiPriority w:val="99"/>
    <w:semiHidden/>
    <w:unhideWhenUsed/>
    <w:rsid w:val="00EB4F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F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5</cp:revision>
  <cp:lastPrinted>2017-11-09T08:35:00Z</cp:lastPrinted>
  <dcterms:created xsi:type="dcterms:W3CDTF">2017-11-09T08:23:00Z</dcterms:created>
  <dcterms:modified xsi:type="dcterms:W3CDTF">2018-01-04T09:33:00Z</dcterms:modified>
</cp:coreProperties>
</file>