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37D" w:rsidRDefault="00B3637D" w:rsidP="00B3637D">
      <w:pPr>
        <w:autoSpaceDE w:val="0"/>
        <w:autoSpaceDN w:val="0"/>
        <w:adjustRightInd w:val="0"/>
        <w:spacing w:line="276" w:lineRule="auto"/>
        <w:jc w:val="center"/>
        <w:rPr>
          <w:rFonts w:eastAsia="Calibri"/>
          <w:b/>
          <w:bCs/>
          <w:sz w:val="28"/>
          <w:szCs w:val="28"/>
        </w:rPr>
      </w:pPr>
      <w:r>
        <w:rPr>
          <w:rFonts w:eastAsia="Calibri"/>
          <w:b/>
          <w:bCs/>
          <w:sz w:val="28"/>
          <w:szCs w:val="28"/>
        </w:rPr>
        <w:t>NOTĂ INFORMATIVĂ</w:t>
      </w:r>
    </w:p>
    <w:p w:rsidR="00B3637D" w:rsidRDefault="00B3637D" w:rsidP="00B3637D">
      <w:pPr>
        <w:spacing w:line="276" w:lineRule="auto"/>
        <w:jc w:val="center"/>
        <w:rPr>
          <w:b/>
          <w:color w:val="000000"/>
          <w:sz w:val="28"/>
          <w:szCs w:val="28"/>
        </w:rPr>
      </w:pPr>
      <w:r>
        <w:rPr>
          <w:rFonts w:eastAsia="Calibri"/>
          <w:b/>
          <w:sz w:val="28"/>
          <w:szCs w:val="28"/>
        </w:rPr>
        <w:t xml:space="preserve">la proiectul hotărârii Guvernului </w:t>
      </w:r>
      <w:r>
        <w:rPr>
          <w:b/>
          <w:bCs/>
          <w:sz w:val="28"/>
          <w:szCs w:val="28"/>
        </w:rPr>
        <w:t>cu privire la organizarea și funcționarea Instituției medico-sanitare publice „Serviciul medical al Ministerului Afacerilor Interne”</w:t>
      </w:r>
    </w:p>
    <w:tbl>
      <w:tblPr>
        <w:tblW w:w="0" w:type="dxa"/>
        <w:tblInd w:w="-252" w:type="dxa"/>
        <w:tblLayout w:type="fixed"/>
        <w:tblLook w:val="04A0" w:firstRow="1" w:lastRow="0" w:firstColumn="1" w:lastColumn="0" w:noHBand="0" w:noVBand="1"/>
      </w:tblPr>
      <w:tblGrid>
        <w:gridCol w:w="9930"/>
      </w:tblGrid>
      <w:tr w:rsidR="00B3637D" w:rsidRPr="00B3637D" w:rsidTr="00B3637D">
        <w:trPr>
          <w:trHeight w:val="1"/>
        </w:trPr>
        <w:tc>
          <w:tcPr>
            <w:tcW w:w="99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3637D" w:rsidRDefault="00B3637D">
            <w:pPr>
              <w:autoSpaceDE w:val="0"/>
              <w:autoSpaceDN w:val="0"/>
              <w:adjustRightInd w:val="0"/>
              <w:spacing w:line="254" w:lineRule="auto"/>
              <w:jc w:val="center"/>
              <w:rPr>
                <w:rFonts w:eastAsia="Calibri"/>
                <w:sz w:val="28"/>
                <w:szCs w:val="28"/>
                <w:lang w:eastAsia="en-US"/>
              </w:rPr>
            </w:pPr>
            <w:r>
              <w:rPr>
                <w:rFonts w:eastAsia="Calibri"/>
                <w:b/>
                <w:bCs/>
                <w:sz w:val="28"/>
                <w:szCs w:val="28"/>
                <w:lang w:eastAsia="en-US"/>
              </w:rPr>
              <w:t>I. Numele autorului, precum şi a participanţilor la elaborarea proiectului</w:t>
            </w:r>
          </w:p>
        </w:tc>
      </w:tr>
      <w:tr w:rsidR="00B3637D" w:rsidRPr="00B3637D" w:rsidTr="00B3637D">
        <w:trPr>
          <w:trHeight w:val="733"/>
        </w:trPr>
        <w:tc>
          <w:tcPr>
            <w:tcW w:w="9930" w:type="dxa"/>
            <w:tcBorders>
              <w:top w:val="single" w:sz="4" w:space="0" w:color="000000"/>
              <w:left w:val="single" w:sz="4" w:space="0" w:color="000000"/>
              <w:bottom w:val="single" w:sz="4" w:space="0" w:color="auto"/>
              <w:right w:val="single" w:sz="4" w:space="0" w:color="000000"/>
            </w:tcBorders>
            <w:shd w:val="clear" w:color="auto" w:fill="FFFFFF"/>
            <w:hideMark/>
          </w:tcPr>
          <w:p w:rsidR="00B3637D" w:rsidRDefault="00B3637D">
            <w:pPr>
              <w:autoSpaceDE w:val="0"/>
              <w:autoSpaceDN w:val="0"/>
              <w:adjustRightInd w:val="0"/>
              <w:spacing w:line="254" w:lineRule="auto"/>
              <w:ind w:firstLine="612"/>
              <w:jc w:val="both"/>
              <w:rPr>
                <w:rFonts w:eastAsia="Calibri"/>
                <w:sz w:val="28"/>
                <w:szCs w:val="28"/>
                <w:lang w:eastAsia="en-US"/>
              </w:rPr>
            </w:pPr>
            <w:r>
              <w:rPr>
                <w:rFonts w:eastAsia="Calibri"/>
                <w:sz w:val="28"/>
                <w:szCs w:val="28"/>
                <w:lang w:eastAsia="en-US"/>
              </w:rPr>
              <w:t xml:space="preserve">Proiectul hotărârii Guvernului </w:t>
            </w:r>
            <w:r>
              <w:rPr>
                <w:bCs/>
                <w:sz w:val="28"/>
                <w:szCs w:val="28"/>
                <w:lang w:eastAsia="en-US"/>
              </w:rPr>
              <w:t>cu privire la organizarea și funcționarea Instituției medico-sanitare publice „Serviciul medical al Ministerului Afacerilor</w:t>
            </w:r>
            <w:r>
              <w:rPr>
                <w:b/>
                <w:bCs/>
                <w:sz w:val="28"/>
                <w:szCs w:val="28"/>
                <w:lang w:eastAsia="en-US"/>
              </w:rPr>
              <w:t xml:space="preserve"> </w:t>
            </w:r>
            <w:r>
              <w:rPr>
                <w:bCs/>
                <w:sz w:val="28"/>
                <w:szCs w:val="28"/>
                <w:lang w:eastAsia="en-US"/>
              </w:rPr>
              <w:t>Interne”</w:t>
            </w:r>
            <w:r>
              <w:rPr>
                <w:rFonts w:eastAsia="Calibri"/>
                <w:sz w:val="28"/>
                <w:szCs w:val="28"/>
                <w:lang w:eastAsia="en-US"/>
              </w:rPr>
              <w:t xml:space="preserve"> este elaborat de către Ministerul Afacerilor Interne.</w:t>
            </w:r>
          </w:p>
        </w:tc>
      </w:tr>
      <w:tr w:rsidR="00B3637D" w:rsidRPr="00B3637D" w:rsidTr="00B3637D">
        <w:trPr>
          <w:trHeight w:val="295"/>
        </w:trPr>
        <w:tc>
          <w:tcPr>
            <w:tcW w:w="9930" w:type="dxa"/>
            <w:tcBorders>
              <w:top w:val="single" w:sz="4" w:space="0" w:color="auto"/>
              <w:left w:val="single" w:sz="4" w:space="0" w:color="000000"/>
              <w:bottom w:val="single" w:sz="4" w:space="0" w:color="auto"/>
              <w:right w:val="single" w:sz="4" w:space="0" w:color="000000"/>
            </w:tcBorders>
            <w:shd w:val="clear" w:color="auto" w:fill="D9D9D9" w:themeFill="background1" w:themeFillShade="D9"/>
            <w:hideMark/>
          </w:tcPr>
          <w:p w:rsidR="00B3637D" w:rsidRDefault="00B3637D">
            <w:pPr>
              <w:autoSpaceDE w:val="0"/>
              <w:autoSpaceDN w:val="0"/>
              <w:adjustRightInd w:val="0"/>
              <w:spacing w:line="254" w:lineRule="auto"/>
              <w:ind w:firstLine="612"/>
              <w:jc w:val="both"/>
              <w:rPr>
                <w:rFonts w:eastAsia="Calibri"/>
                <w:b/>
                <w:sz w:val="28"/>
                <w:szCs w:val="28"/>
                <w:lang w:eastAsia="en-US"/>
              </w:rPr>
            </w:pPr>
            <w:r>
              <w:rPr>
                <w:rFonts w:eastAsia="Calibri"/>
                <w:b/>
                <w:sz w:val="28"/>
                <w:szCs w:val="28"/>
                <w:lang w:eastAsia="en-US"/>
              </w:rPr>
              <w:t xml:space="preserve">II. </w:t>
            </w:r>
            <w:r>
              <w:rPr>
                <w:b/>
                <w:sz w:val="28"/>
                <w:szCs w:val="28"/>
                <w:lang w:eastAsia="en-US"/>
              </w:rPr>
              <w:t xml:space="preserve">Condiţiile ce au impus elaborarea proiectului </w:t>
            </w:r>
          </w:p>
        </w:tc>
      </w:tr>
      <w:tr w:rsidR="00B3637D" w:rsidRPr="00B3637D" w:rsidTr="00B3637D">
        <w:trPr>
          <w:trHeight w:val="698"/>
        </w:trPr>
        <w:tc>
          <w:tcPr>
            <w:tcW w:w="9930" w:type="dxa"/>
            <w:tcBorders>
              <w:top w:val="single" w:sz="4" w:space="0" w:color="auto"/>
              <w:left w:val="single" w:sz="4" w:space="0" w:color="000000"/>
              <w:bottom w:val="single" w:sz="4" w:space="0" w:color="000000"/>
              <w:right w:val="single" w:sz="4" w:space="0" w:color="000000"/>
            </w:tcBorders>
            <w:shd w:val="clear" w:color="auto" w:fill="FFFFFF"/>
          </w:tcPr>
          <w:p w:rsidR="00B3637D" w:rsidRDefault="00B3637D">
            <w:pPr>
              <w:spacing w:line="254" w:lineRule="auto"/>
              <w:ind w:firstLine="678"/>
              <w:jc w:val="both"/>
              <w:rPr>
                <w:sz w:val="28"/>
                <w:szCs w:val="28"/>
                <w:lang w:eastAsia="en-US"/>
              </w:rPr>
            </w:pPr>
            <w:r>
              <w:rPr>
                <w:sz w:val="28"/>
                <w:szCs w:val="28"/>
                <w:lang w:eastAsia="en-US"/>
              </w:rPr>
              <w:t xml:space="preserve">Proiectul hotărârii Guvernului </w:t>
            </w:r>
            <w:r>
              <w:rPr>
                <w:bCs/>
                <w:sz w:val="28"/>
                <w:szCs w:val="28"/>
                <w:lang w:eastAsia="en-US"/>
              </w:rPr>
              <w:t>cu privire la organizarea și funcționarea Instituției medico-sanitare publice „Serviciul medical al Ministerului Afacerilor</w:t>
            </w:r>
            <w:r>
              <w:rPr>
                <w:b/>
                <w:bCs/>
                <w:sz w:val="28"/>
                <w:szCs w:val="28"/>
                <w:lang w:eastAsia="en-US"/>
              </w:rPr>
              <w:t xml:space="preserve"> </w:t>
            </w:r>
            <w:r>
              <w:rPr>
                <w:bCs/>
                <w:sz w:val="28"/>
                <w:szCs w:val="28"/>
                <w:lang w:eastAsia="en-US"/>
              </w:rPr>
              <w:t>Interne”</w:t>
            </w:r>
            <w:r>
              <w:rPr>
                <w:sz w:val="28"/>
                <w:szCs w:val="28"/>
                <w:lang w:eastAsia="en-US"/>
              </w:rPr>
              <w:t xml:space="preserve"> a fost elaborat în contextul implementării Strategiei privind reforma administrației publice pentru anii 2016-2020 (aprobată prin Hotărârea Guvernului nr.911din 25 iulie 2016) şi a Planului de acțiuni pe anii 2016-2018 pentru implementarea acestei Strategii (aprobat prin Hotărârea Guvernului nr.1351 din 15 decembrie 2016), în cadrul etapei a doua a reorganizării administrației publice centrale de specialitate, care se referă la reconsiderarea rolului entităților din sfera de competență a ministerelor.</w:t>
            </w:r>
          </w:p>
          <w:p w:rsidR="00B3637D" w:rsidRDefault="00B3637D">
            <w:pPr>
              <w:spacing w:line="254" w:lineRule="auto"/>
              <w:ind w:firstLine="678"/>
              <w:jc w:val="both"/>
              <w:rPr>
                <w:sz w:val="28"/>
                <w:szCs w:val="28"/>
                <w:lang w:eastAsia="en-US"/>
              </w:rPr>
            </w:pPr>
            <w:r>
              <w:rPr>
                <w:sz w:val="28"/>
                <w:szCs w:val="28"/>
                <w:lang w:eastAsia="en-US"/>
              </w:rPr>
              <w:t xml:space="preserve">Temeiul de drept care a stat la baza elaborării proiectului sunt prevederile art.7 lit. b) și e)  din Legea nr.136 din 07 iulie 2017 cu privire la Guvern, art. 32 alin. (1) din Legea nr.98 din 04 mai 2012 privind administrația publică centrală de specialitate, </w:t>
            </w:r>
            <w:r>
              <w:rPr>
                <w:sz w:val="28"/>
                <w:szCs w:val="28"/>
                <w:lang w:val="en-GB" w:eastAsia="en-US"/>
              </w:rPr>
              <w:t xml:space="preserve">art.45 </w:t>
            </w:r>
            <w:proofErr w:type="spellStart"/>
            <w:r>
              <w:rPr>
                <w:sz w:val="28"/>
                <w:szCs w:val="28"/>
                <w:lang w:val="en-GB" w:eastAsia="en-US"/>
              </w:rPr>
              <w:t>alin</w:t>
            </w:r>
            <w:proofErr w:type="spellEnd"/>
            <w:r>
              <w:rPr>
                <w:sz w:val="28"/>
                <w:szCs w:val="28"/>
                <w:lang w:val="en-GB" w:eastAsia="en-US"/>
              </w:rPr>
              <w:t xml:space="preserve">. (1) din </w:t>
            </w:r>
            <w:r>
              <w:rPr>
                <w:sz w:val="28"/>
                <w:szCs w:val="28"/>
                <w:lang w:eastAsia="en-US"/>
              </w:rPr>
              <w:t>Legea</w:t>
            </w:r>
            <w:r>
              <w:rPr>
                <w:sz w:val="28"/>
                <w:szCs w:val="28"/>
                <w:lang w:val="en-GB" w:eastAsia="en-US"/>
              </w:rPr>
              <w:t xml:space="preserve"> nr.288 din 16 </w:t>
            </w:r>
            <w:r>
              <w:rPr>
                <w:sz w:val="28"/>
                <w:szCs w:val="28"/>
                <w:lang w:eastAsia="en-US"/>
              </w:rPr>
              <w:t>decembrie 2016 privind funcționarul public cu statut special din cadrul Ministerului Afacerilor Interne, art. 4 alin.(2) din Legea nr.411 din 28 martie 1995 ocrotirii sănătății, Hotărîrea Guvernului nr. 460 din 22 iunie 2017 pentru punerea în aplicare a prevederilor Legii nr. 288 din 16 decembrie 2016 privind funcționarul public cu statut special din cadrul Ministerului Afacerilor Interne.</w:t>
            </w:r>
          </w:p>
          <w:p w:rsidR="00B3637D" w:rsidRDefault="00B3637D">
            <w:pPr>
              <w:spacing w:line="254" w:lineRule="auto"/>
              <w:ind w:firstLine="678"/>
              <w:jc w:val="both"/>
              <w:rPr>
                <w:sz w:val="28"/>
                <w:szCs w:val="28"/>
                <w:lang w:eastAsia="en-US"/>
              </w:rPr>
            </w:pPr>
            <w:r>
              <w:rPr>
                <w:sz w:val="28"/>
                <w:szCs w:val="28"/>
                <w:lang w:eastAsia="en-US"/>
              </w:rPr>
              <w:t>Totodată, în condițiile Legii nr.212 din 24 iunie 2004 privind regimul stării de urgență, de asediu şi de război, Hotărîrea Guvernului nr. 354 din 31 mai 2017 „Cu privire la aprobarea Strategiei naționale de ordine și securitate publică pentru anii 2017-2020 și a Planului de acțiuni privind implementarea acesteia”, precum și Hotărîrea Guvernului nr. 1146 din 20 decembrie 2017 „</w:t>
            </w:r>
            <w:r>
              <w:rPr>
                <w:bCs/>
                <w:sz w:val="28"/>
                <w:szCs w:val="28"/>
                <w:lang w:eastAsia="en-US"/>
              </w:rPr>
              <w:t xml:space="preserve">Cu privire la aprobarea Mecanismului național de gestionare unitară şi coerentă a situației în eventualitatea unui aflux sporit de străini”, </w:t>
            </w:r>
            <w:r>
              <w:rPr>
                <w:sz w:val="28"/>
                <w:szCs w:val="28"/>
                <w:lang w:eastAsia="en-US"/>
              </w:rPr>
              <w:t>Instituția medico-sanitară publică „Serviciul medical al Ministerului Afacerilor Interne”, în comun cu alte structuri din cadrul entității, are obligația desfășurării activităților, conform domeniului de competență.</w:t>
            </w:r>
          </w:p>
          <w:p w:rsidR="00B3637D" w:rsidRDefault="00B3637D">
            <w:pPr>
              <w:spacing w:line="254" w:lineRule="auto"/>
              <w:ind w:firstLine="678"/>
              <w:jc w:val="both"/>
              <w:rPr>
                <w:sz w:val="28"/>
                <w:szCs w:val="28"/>
                <w:lang w:eastAsia="en-US"/>
              </w:rPr>
            </w:pPr>
            <w:r>
              <w:rPr>
                <w:sz w:val="28"/>
                <w:szCs w:val="28"/>
                <w:lang w:eastAsia="en-US"/>
              </w:rPr>
              <w:t xml:space="preserve">Scopul prezentului proiect constă în constituirea </w:t>
            </w:r>
            <w:r>
              <w:rPr>
                <w:bCs/>
                <w:sz w:val="28"/>
                <w:szCs w:val="28"/>
                <w:lang w:eastAsia="en-US"/>
              </w:rPr>
              <w:t>Instituției medico-sanitare publice „Serviciul medical al Ministerului Afacerilor</w:t>
            </w:r>
            <w:r>
              <w:rPr>
                <w:b/>
                <w:bCs/>
                <w:sz w:val="28"/>
                <w:szCs w:val="28"/>
                <w:lang w:eastAsia="en-US"/>
              </w:rPr>
              <w:t xml:space="preserve"> </w:t>
            </w:r>
            <w:r>
              <w:rPr>
                <w:bCs/>
                <w:sz w:val="28"/>
                <w:szCs w:val="28"/>
                <w:lang w:eastAsia="en-US"/>
              </w:rPr>
              <w:t>Interne”</w:t>
            </w:r>
            <w:r>
              <w:rPr>
                <w:sz w:val="28"/>
                <w:szCs w:val="28"/>
                <w:lang w:eastAsia="en-US"/>
              </w:rPr>
              <w:t>, fiind succesor în drepturi şi obligații al Serviciului medical al Ministerului Afacerilor Interne.</w:t>
            </w:r>
          </w:p>
          <w:p w:rsidR="00B3637D" w:rsidRDefault="00B3637D">
            <w:pPr>
              <w:spacing w:line="254" w:lineRule="auto"/>
              <w:ind w:firstLine="678"/>
              <w:jc w:val="both"/>
              <w:rPr>
                <w:sz w:val="28"/>
                <w:szCs w:val="28"/>
                <w:lang w:eastAsia="en-US"/>
              </w:rPr>
            </w:pPr>
            <w:r>
              <w:rPr>
                <w:sz w:val="28"/>
                <w:szCs w:val="28"/>
                <w:lang w:eastAsia="en-US"/>
              </w:rPr>
              <w:t>În prezent, modul de organizare şi funcționare a</w:t>
            </w:r>
            <w:r>
              <w:rPr>
                <w:sz w:val="28"/>
                <w:szCs w:val="28"/>
                <w:lang w:val="en-US" w:eastAsia="en-US"/>
              </w:rPr>
              <w:t xml:space="preserve"> </w:t>
            </w:r>
            <w:r>
              <w:rPr>
                <w:bCs/>
                <w:sz w:val="28"/>
                <w:szCs w:val="28"/>
                <w:lang w:eastAsia="en-US"/>
              </w:rPr>
              <w:t xml:space="preserve">Serviciului medical al </w:t>
            </w:r>
            <w:r>
              <w:rPr>
                <w:sz w:val="28"/>
                <w:szCs w:val="28"/>
                <w:lang w:eastAsia="en-US"/>
              </w:rPr>
              <w:t xml:space="preserve">Ministerului Afacerilor Interne este reglementat prin Regulamentul privind organizarea şi funcționarea </w:t>
            </w:r>
            <w:r>
              <w:rPr>
                <w:bCs/>
                <w:sz w:val="28"/>
                <w:szCs w:val="28"/>
                <w:lang w:eastAsia="en-US"/>
              </w:rPr>
              <w:t xml:space="preserve">Serviciului medical al </w:t>
            </w:r>
            <w:r>
              <w:rPr>
                <w:sz w:val="28"/>
                <w:szCs w:val="28"/>
                <w:lang w:eastAsia="en-US"/>
              </w:rPr>
              <w:t>Ministerului Afacerilor Interne, aprobat prin Ordinul MAI nr. 336 din 13 noiembrie 2014.</w:t>
            </w:r>
          </w:p>
          <w:p w:rsidR="00B3637D" w:rsidRDefault="00B3637D">
            <w:pPr>
              <w:spacing w:after="160" w:line="254" w:lineRule="auto"/>
              <w:ind w:firstLine="702"/>
              <w:jc w:val="both"/>
              <w:rPr>
                <w:sz w:val="28"/>
                <w:szCs w:val="28"/>
                <w:lang w:eastAsia="en-US"/>
              </w:rPr>
            </w:pPr>
          </w:p>
          <w:p w:rsidR="00B3637D" w:rsidRDefault="00B3637D">
            <w:pPr>
              <w:spacing w:after="160" w:line="254" w:lineRule="auto"/>
              <w:ind w:firstLine="702"/>
              <w:jc w:val="both"/>
              <w:rPr>
                <w:spacing w:val="-4"/>
                <w:sz w:val="28"/>
                <w:szCs w:val="28"/>
                <w:lang w:eastAsia="en-US"/>
              </w:rPr>
            </w:pPr>
            <w:r>
              <w:rPr>
                <w:sz w:val="28"/>
                <w:szCs w:val="28"/>
                <w:lang w:eastAsia="en-US"/>
              </w:rPr>
              <w:t xml:space="preserve">Totodată, ținem să menționăm că, proiectul de Regulament este elaborat în conformitate cu Hotărârea Guvernului nr. 595 din 26 iulie 2017 </w:t>
            </w:r>
            <w:r>
              <w:rPr>
                <w:bCs/>
                <w:sz w:val="28"/>
                <w:szCs w:val="28"/>
                <w:lang w:eastAsia="en-US"/>
              </w:rPr>
              <w:t xml:space="preserve">pentru aprobarea Structurii-tip a Regulamentului privind organizarea şi funcționarea ministerului, și </w:t>
            </w:r>
            <w:r>
              <w:rPr>
                <w:sz w:val="28"/>
                <w:szCs w:val="28"/>
                <w:lang w:eastAsia="en-US"/>
              </w:rPr>
              <w:t xml:space="preserve">urmărește crearea unui cadru comprehensiv, ce va reglementa într-o formulă nouă organizarea şi funcționarea </w:t>
            </w:r>
            <w:r>
              <w:rPr>
                <w:bCs/>
                <w:sz w:val="28"/>
                <w:szCs w:val="28"/>
                <w:lang w:eastAsia="en-US"/>
              </w:rPr>
              <w:t>Serviciului medical</w:t>
            </w:r>
            <w:r>
              <w:rPr>
                <w:sz w:val="28"/>
                <w:szCs w:val="28"/>
                <w:lang w:eastAsia="en-US"/>
              </w:rPr>
              <w:t xml:space="preserve">, accesibil şi eficient, contribuind la realizarea conformă a misiunii şi sarcinilor cu care este împuternicit. Prin urmare, prezentul proiect prevede reglementarea funcțiilor de bază ale </w:t>
            </w:r>
            <w:r>
              <w:rPr>
                <w:bCs/>
                <w:sz w:val="28"/>
                <w:szCs w:val="28"/>
                <w:lang w:eastAsia="en-US"/>
              </w:rPr>
              <w:t>Instituției medico-sanitare publice „Serviciul medical al Ministerului Afacerilor</w:t>
            </w:r>
            <w:r>
              <w:rPr>
                <w:b/>
                <w:bCs/>
                <w:sz w:val="28"/>
                <w:szCs w:val="28"/>
                <w:lang w:eastAsia="en-US"/>
              </w:rPr>
              <w:t xml:space="preserve"> </w:t>
            </w:r>
            <w:r>
              <w:rPr>
                <w:bCs/>
                <w:sz w:val="28"/>
                <w:szCs w:val="28"/>
                <w:lang w:eastAsia="en-US"/>
              </w:rPr>
              <w:t>Interne”</w:t>
            </w:r>
            <w:r>
              <w:rPr>
                <w:sz w:val="28"/>
                <w:szCs w:val="28"/>
                <w:lang w:eastAsia="en-US"/>
              </w:rPr>
              <w:t>, misiunea, atribuțiile și drepturile acesteia, stabilindu-i expres competențele necesare exercitării funcțiilor organizatorice privind desfășurarea activității curativ-profilactice și de expertiză medicală din cadrul Ministerului Afacerilor Interne.</w:t>
            </w:r>
            <w:r>
              <w:rPr>
                <w:spacing w:val="-4"/>
                <w:sz w:val="28"/>
                <w:szCs w:val="28"/>
                <w:lang w:eastAsia="en-US"/>
              </w:rPr>
              <w:t xml:space="preserve"> </w:t>
            </w:r>
          </w:p>
        </w:tc>
      </w:tr>
      <w:tr w:rsidR="00B3637D" w:rsidRPr="00B3637D" w:rsidTr="00B3637D">
        <w:trPr>
          <w:trHeight w:val="169"/>
        </w:trPr>
        <w:tc>
          <w:tcPr>
            <w:tcW w:w="9930" w:type="dxa"/>
            <w:tcBorders>
              <w:top w:val="single" w:sz="4" w:space="0" w:color="000000"/>
              <w:left w:val="single" w:sz="4" w:space="0" w:color="000000"/>
              <w:bottom w:val="single" w:sz="4" w:space="0" w:color="000000"/>
              <w:right w:val="single" w:sz="4" w:space="0" w:color="000000"/>
            </w:tcBorders>
            <w:shd w:val="clear" w:color="auto" w:fill="E0E0E0"/>
            <w:vAlign w:val="center"/>
            <w:hideMark/>
          </w:tcPr>
          <w:p w:rsidR="00B3637D" w:rsidRDefault="00B3637D">
            <w:pPr>
              <w:autoSpaceDE w:val="0"/>
              <w:autoSpaceDN w:val="0"/>
              <w:adjustRightInd w:val="0"/>
              <w:spacing w:line="254" w:lineRule="auto"/>
              <w:ind w:firstLine="540"/>
              <w:rPr>
                <w:rFonts w:eastAsia="Calibri"/>
                <w:sz w:val="26"/>
                <w:szCs w:val="26"/>
                <w:lang w:eastAsia="en-US"/>
              </w:rPr>
            </w:pPr>
            <w:r>
              <w:rPr>
                <w:rFonts w:eastAsia="Calibri"/>
                <w:b/>
                <w:bCs/>
                <w:sz w:val="26"/>
                <w:szCs w:val="26"/>
                <w:lang w:eastAsia="en-US"/>
              </w:rPr>
              <w:lastRenderedPageBreak/>
              <w:t xml:space="preserve">III. </w:t>
            </w:r>
            <w:r>
              <w:rPr>
                <w:b/>
                <w:bCs/>
                <w:sz w:val="26"/>
                <w:szCs w:val="26"/>
                <w:lang w:eastAsia="en-US"/>
              </w:rPr>
              <w:t xml:space="preserve">Principalele prevederi ale proiectului </w:t>
            </w:r>
          </w:p>
        </w:tc>
      </w:tr>
      <w:tr w:rsidR="00B3637D" w:rsidRPr="00B3637D" w:rsidTr="00B3637D">
        <w:trPr>
          <w:trHeight w:val="1"/>
        </w:trPr>
        <w:tc>
          <w:tcPr>
            <w:tcW w:w="9930" w:type="dxa"/>
            <w:tcBorders>
              <w:top w:val="single" w:sz="4" w:space="0" w:color="000000"/>
              <w:left w:val="single" w:sz="4" w:space="0" w:color="000000"/>
              <w:bottom w:val="single" w:sz="4" w:space="0" w:color="000000"/>
              <w:right w:val="single" w:sz="4" w:space="0" w:color="000000"/>
            </w:tcBorders>
            <w:shd w:val="clear" w:color="auto" w:fill="FFFFFF"/>
            <w:hideMark/>
          </w:tcPr>
          <w:p w:rsidR="00B3637D" w:rsidRDefault="00B3637D">
            <w:pPr>
              <w:spacing w:line="254" w:lineRule="auto"/>
              <w:ind w:firstLine="702"/>
              <w:jc w:val="both"/>
              <w:rPr>
                <w:sz w:val="28"/>
                <w:szCs w:val="28"/>
                <w:lang w:eastAsia="en-US"/>
              </w:rPr>
            </w:pPr>
            <w:r>
              <w:rPr>
                <w:sz w:val="28"/>
                <w:szCs w:val="28"/>
                <w:lang w:eastAsia="en-US"/>
              </w:rPr>
              <w:t xml:space="preserve">Potrivit proiectului se dispune constituirea </w:t>
            </w:r>
            <w:r>
              <w:rPr>
                <w:bCs/>
                <w:sz w:val="28"/>
                <w:szCs w:val="28"/>
                <w:lang w:eastAsia="en-US"/>
              </w:rPr>
              <w:t>Instituției medico-sanitare publice „Serviciul medical al Ministerului Afacerilor</w:t>
            </w:r>
            <w:r>
              <w:rPr>
                <w:b/>
                <w:bCs/>
                <w:sz w:val="28"/>
                <w:szCs w:val="28"/>
                <w:lang w:eastAsia="en-US"/>
              </w:rPr>
              <w:t xml:space="preserve"> </w:t>
            </w:r>
            <w:r>
              <w:rPr>
                <w:bCs/>
                <w:sz w:val="28"/>
                <w:szCs w:val="28"/>
                <w:lang w:eastAsia="en-US"/>
              </w:rPr>
              <w:t>Interne”</w:t>
            </w:r>
            <w:r>
              <w:rPr>
                <w:sz w:val="28"/>
                <w:szCs w:val="28"/>
                <w:lang w:eastAsia="en-US"/>
              </w:rPr>
              <w:t>, în calitate de succesor în drepturi şi obligații al Serviciului medical, instituție din subordinea Ministerului Afacerilor Interne.</w:t>
            </w:r>
          </w:p>
          <w:p w:rsidR="00B3637D" w:rsidRDefault="00B3637D">
            <w:pPr>
              <w:spacing w:line="254" w:lineRule="auto"/>
              <w:jc w:val="both"/>
              <w:rPr>
                <w:sz w:val="28"/>
                <w:szCs w:val="28"/>
                <w:lang w:eastAsia="en-US"/>
              </w:rPr>
            </w:pPr>
            <w:r>
              <w:rPr>
                <w:sz w:val="28"/>
                <w:szCs w:val="28"/>
                <w:lang w:eastAsia="en-US"/>
              </w:rPr>
              <w:tab/>
              <w:t>Funcția de fondator este exercitată de către Ministerul Afacerilor Interne, în numele statului.</w:t>
            </w:r>
          </w:p>
          <w:p w:rsidR="00B3637D" w:rsidRDefault="00B3637D">
            <w:pPr>
              <w:pStyle w:val="Frspaiere1"/>
              <w:spacing w:line="254" w:lineRule="auto"/>
              <w:ind w:firstLine="720"/>
              <w:jc w:val="both"/>
              <w:rPr>
                <w:rFonts w:ascii="Times New Roman" w:eastAsia="Calibri" w:hAnsi="Times New Roman"/>
                <w:sz w:val="28"/>
                <w:szCs w:val="28"/>
                <w:lang w:val="ro-RO"/>
              </w:rPr>
            </w:pPr>
            <w:proofErr w:type="spellStart"/>
            <w:r>
              <w:rPr>
                <w:rFonts w:ascii="Times New Roman" w:hAnsi="Times New Roman"/>
                <w:sz w:val="28"/>
                <w:szCs w:val="28"/>
              </w:rPr>
              <w:t>Prin</w:t>
            </w:r>
            <w:proofErr w:type="spellEnd"/>
            <w:r>
              <w:rPr>
                <w:rFonts w:ascii="Times New Roman" w:hAnsi="Times New Roman"/>
                <w:sz w:val="28"/>
                <w:szCs w:val="28"/>
              </w:rPr>
              <w:t xml:space="preserve"> </w:t>
            </w:r>
            <w:proofErr w:type="spellStart"/>
            <w:r>
              <w:rPr>
                <w:rFonts w:ascii="Times New Roman" w:hAnsi="Times New Roman"/>
                <w:sz w:val="28"/>
                <w:szCs w:val="28"/>
              </w:rPr>
              <w:t>intermediul</w:t>
            </w:r>
            <w:proofErr w:type="spellEnd"/>
            <w:r>
              <w:rPr>
                <w:rFonts w:ascii="Times New Roman" w:hAnsi="Times New Roman"/>
                <w:sz w:val="28"/>
                <w:szCs w:val="28"/>
              </w:rPr>
              <w:t xml:space="preserve"> </w:t>
            </w:r>
            <w:proofErr w:type="spellStart"/>
            <w:r>
              <w:rPr>
                <w:rFonts w:ascii="Times New Roman" w:hAnsi="Times New Roman"/>
                <w:sz w:val="28"/>
                <w:szCs w:val="28"/>
              </w:rPr>
              <w:t>proiectului</w:t>
            </w:r>
            <w:proofErr w:type="spellEnd"/>
            <w:r>
              <w:rPr>
                <w:rFonts w:ascii="Times New Roman" w:hAnsi="Times New Roman"/>
                <w:sz w:val="28"/>
                <w:szCs w:val="28"/>
              </w:rPr>
              <w:t xml:space="preserve"> se </w:t>
            </w:r>
            <w:proofErr w:type="spellStart"/>
            <w:r>
              <w:rPr>
                <w:rFonts w:ascii="Times New Roman" w:hAnsi="Times New Roman"/>
                <w:sz w:val="28"/>
                <w:szCs w:val="28"/>
              </w:rPr>
              <w:t>aprobă</w:t>
            </w:r>
            <w:proofErr w:type="spellEnd"/>
            <w:r>
              <w:rPr>
                <w:rFonts w:ascii="Times New Roman" w:hAnsi="Times New Roman"/>
                <w:sz w:val="28"/>
                <w:szCs w:val="28"/>
              </w:rPr>
              <w:t xml:space="preserve"> </w:t>
            </w:r>
            <w:proofErr w:type="spellStart"/>
            <w:r>
              <w:rPr>
                <w:rFonts w:ascii="Times New Roman" w:hAnsi="Times New Roman"/>
                <w:sz w:val="28"/>
                <w:szCs w:val="28"/>
              </w:rPr>
              <w:t>Regulamentul</w:t>
            </w:r>
            <w:proofErr w:type="spellEnd"/>
            <w:r>
              <w:rPr>
                <w:rFonts w:ascii="Times New Roman" w:hAnsi="Times New Roman"/>
                <w:sz w:val="28"/>
                <w:szCs w:val="28"/>
              </w:rPr>
              <w:t xml:space="preserve"> </w:t>
            </w:r>
            <w:proofErr w:type="spellStart"/>
            <w:r>
              <w:rPr>
                <w:rFonts w:ascii="Times New Roman" w:hAnsi="Times New Roman"/>
                <w:sz w:val="28"/>
                <w:szCs w:val="28"/>
              </w:rPr>
              <w:t>privind</w:t>
            </w:r>
            <w:proofErr w:type="spellEnd"/>
            <w:r>
              <w:rPr>
                <w:rFonts w:ascii="Times New Roman" w:hAnsi="Times New Roman"/>
                <w:sz w:val="28"/>
                <w:szCs w:val="28"/>
              </w:rPr>
              <w:t xml:space="preserve"> </w:t>
            </w:r>
            <w:proofErr w:type="spellStart"/>
            <w:r>
              <w:rPr>
                <w:rFonts w:ascii="Times New Roman" w:hAnsi="Times New Roman"/>
                <w:sz w:val="28"/>
                <w:szCs w:val="28"/>
              </w:rPr>
              <w:t>organizarea</w:t>
            </w:r>
            <w:proofErr w:type="spellEnd"/>
            <w:r>
              <w:rPr>
                <w:rFonts w:ascii="Times New Roman" w:hAnsi="Times New Roman"/>
                <w:sz w:val="28"/>
                <w:szCs w:val="28"/>
              </w:rPr>
              <w:t xml:space="preserve"> </w:t>
            </w:r>
            <w:proofErr w:type="spellStart"/>
            <w:r>
              <w:rPr>
                <w:rFonts w:ascii="Times New Roman" w:hAnsi="Times New Roman"/>
                <w:sz w:val="28"/>
                <w:szCs w:val="28"/>
              </w:rPr>
              <w:t>și</w:t>
            </w:r>
            <w:proofErr w:type="spellEnd"/>
            <w:r>
              <w:rPr>
                <w:rFonts w:ascii="Times New Roman" w:hAnsi="Times New Roman"/>
                <w:sz w:val="28"/>
                <w:szCs w:val="28"/>
              </w:rPr>
              <w:t xml:space="preserve"> </w:t>
            </w:r>
            <w:proofErr w:type="spellStart"/>
            <w:r>
              <w:rPr>
                <w:rFonts w:ascii="Times New Roman" w:hAnsi="Times New Roman"/>
                <w:sz w:val="28"/>
                <w:szCs w:val="28"/>
              </w:rPr>
              <w:t>funcționarea</w:t>
            </w:r>
            <w:proofErr w:type="spellEnd"/>
            <w:r>
              <w:rPr>
                <w:rFonts w:ascii="Times New Roman" w:hAnsi="Times New Roman"/>
                <w:sz w:val="28"/>
                <w:szCs w:val="28"/>
              </w:rPr>
              <w:t xml:space="preserve"> </w:t>
            </w:r>
            <w:proofErr w:type="spellStart"/>
            <w:r>
              <w:rPr>
                <w:rFonts w:ascii="Times New Roman" w:hAnsi="Times New Roman"/>
                <w:bCs/>
                <w:sz w:val="28"/>
                <w:szCs w:val="28"/>
              </w:rPr>
              <w:t>Instituției</w:t>
            </w:r>
            <w:proofErr w:type="spellEnd"/>
            <w:r>
              <w:rPr>
                <w:rFonts w:ascii="Times New Roman" w:hAnsi="Times New Roman"/>
                <w:bCs/>
                <w:sz w:val="28"/>
                <w:szCs w:val="28"/>
              </w:rPr>
              <w:t xml:space="preserve"> medico-</w:t>
            </w:r>
            <w:proofErr w:type="spellStart"/>
            <w:r>
              <w:rPr>
                <w:rFonts w:ascii="Times New Roman" w:hAnsi="Times New Roman"/>
                <w:bCs/>
                <w:sz w:val="28"/>
                <w:szCs w:val="28"/>
              </w:rPr>
              <w:t>sanitare</w:t>
            </w:r>
            <w:proofErr w:type="spellEnd"/>
            <w:r>
              <w:rPr>
                <w:rFonts w:ascii="Times New Roman" w:hAnsi="Times New Roman"/>
                <w:bCs/>
                <w:sz w:val="28"/>
                <w:szCs w:val="28"/>
              </w:rPr>
              <w:t xml:space="preserve"> </w:t>
            </w:r>
            <w:proofErr w:type="spellStart"/>
            <w:r>
              <w:rPr>
                <w:rFonts w:ascii="Times New Roman" w:hAnsi="Times New Roman"/>
                <w:bCs/>
                <w:sz w:val="28"/>
                <w:szCs w:val="28"/>
              </w:rPr>
              <w:t>publice</w:t>
            </w:r>
            <w:proofErr w:type="spellEnd"/>
            <w:r>
              <w:rPr>
                <w:rFonts w:ascii="Times New Roman" w:hAnsi="Times New Roman"/>
                <w:bCs/>
                <w:sz w:val="28"/>
                <w:szCs w:val="28"/>
              </w:rPr>
              <w:t xml:space="preserve"> „</w:t>
            </w:r>
            <w:proofErr w:type="spellStart"/>
            <w:r>
              <w:rPr>
                <w:rFonts w:ascii="Times New Roman" w:hAnsi="Times New Roman"/>
                <w:bCs/>
                <w:sz w:val="28"/>
                <w:szCs w:val="28"/>
              </w:rPr>
              <w:t>Serviciul</w:t>
            </w:r>
            <w:proofErr w:type="spellEnd"/>
            <w:r>
              <w:rPr>
                <w:rFonts w:ascii="Times New Roman" w:hAnsi="Times New Roman"/>
                <w:bCs/>
                <w:sz w:val="28"/>
                <w:szCs w:val="28"/>
              </w:rPr>
              <w:t xml:space="preserve"> medical al </w:t>
            </w:r>
            <w:proofErr w:type="spellStart"/>
            <w:r>
              <w:rPr>
                <w:rFonts w:ascii="Times New Roman" w:hAnsi="Times New Roman"/>
                <w:bCs/>
                <w:sz w:val="28"/>
                <w:szCs w:val="28"/>
              </w:rPr>
              <w:t>Ministerului</w:t>
            </w:r>
            <w:proofErr w:type="spellEnd"/>
            <w:r>
              <w:rPr>
                <w:rFonts w:ascii="Times New Roman" w:hAnsi="Times New Roman"/>
                <w:bCs/>
                <w:sz w:val="28"/>
                <w:szCs w:val="28"/>
              </w:rPr>
              <w:t xml:space="preserve"> </w:t>
            </w:r>
            <w:proofErr w:type="spellStart"/>
            <w:r>
              <w:rPr>
                <w:rFonts w:ascii="Times New Roman" w:hAnsi="Times New Roman"/>
                <w:bCs/>
                <w:sz w:val="28"/>
                <w:szCs w:val="28"/>
              </w:rPr>
              <w:t>Afacerilor</w:t>
            </w:r>
            <w:proofErr w:type="spellEnd"/>
            <w:r>
              <w:rPr>
                <w:rFonts w:ascii="Times New Roman" w:hAnsi="Times New Roman"/>
                <w:b/>
                <w:bCs/>
                <w:sz w:val="28"/>
                <w:szCs w:val="28"/>
              </w:rPr>
              <w:t xml:space="preserve"> </w:t>
            </w:r>
            <w:r>
              <w:rPr>
                <w:rFonts w:ascii="Times New Roman" w:hAnsi="Times New Roman"/>
                <w:bCs/>
                <w:sz w:val="28"/>
                <w:szCs w:val="28"/>
              </w:rPr>
              <w:t>Interne”</w:t>
            </w:r>
            <w:r>
              <w:rPr>
                <w:rFonts w:ascii="Times New Roman" w:hAnsi="Times New Roman"/>
                <w:sz w:val="28"/>
                <w:szCs w:val="28"/>
              </w:rPr>
              <w:t xml:space="preserve">, </w:t>
            </w:r>
            <w:proofErr w:type="spellStart"/>
            <w:r>
              <w:rPr>
                <w:rFonts w:ascii="Times New Roman" w:hAnsi="Times New Roman"/>
                <w:sz w:val="28"/>
                <w:szCs w:val="28"/>
              </w:rPr>
              <w:t>structura</w:t>
            </w:r>
            <w:proofErr w:type="spellEnd"/>
            <w:r>
              <w:rPr>
                <w:rFonts w:ascii="Times New Roman" w:hAnsi="Times New Roman"/>
                <w:sz w:val="28"/>
                <w:szCs w:val="28"/>
              </w:rPr>
              <w:t xml:space="preserve">, </w:t>
            </w:r>
            <w:proofErr w:type="spellStart"/>
            <w:r>
              <w:rPr>
                <w:rFonts w:ascii="Times New Roman" w:hAnsi="Times New Roman"/>
                <w:sz w:val="28"/>
                <w:szCs w:val="28"/>
              </w:rPr>
              <w:t>organigrama</w:t>
            </w:r>
            <w:proofErr w:type="spellEnd"/>
            <w:r>
              <w:rPr>
                <w:rFonts w:ascii="Times New Roman" w:hAnsi="Times New Roman"/>
                <w:sz w:val="28"/>
                <w:szCs w:val="28"/>
              </w:rPr>
              <w:t xml:space="preserve"> </w:t>
            </w:r>
            <w:proofErr w:type="spellStart"/>
            <w:r>
              <w:rPr>
                <w:rFonts w:ascii="Times New Roman" w:hAnsi="Times New Roman"/>
                <w:sz w:val="28"/>
                <w:szCs w:val="28"/>
              </w:rPr>
              <w:t>acesteia</w:t>
            </w:r>
            <w:proofErr w:type="spellEnd"/>
            <w:r>
              <w:rPr>
                <w:rFonts w:ascii="Times New Roman" w:hAnsi="Times New Roman"/>
                <w:sz w:val="28"/>
                <w:szCs w:val="28"/>
              </w:rPr>
              <w:t xml:space="preserve">, </w:t>
            </w:r>
            <w:proofErr w:type="spellStart"/>
            <w:r>
              <w:rPr>
                <w:rFonts w:ascii="Times New Roman" w:hAnsi="Times New Roman"/>
                <w:sz w:val="28"/>
                <w:szCs w:val="28"/>
              </w:rPr>
              <w:t>precum</w:t>
            </w:r>
            <w:proofErr w:type="spellEnd"/>
            <w:r>
              <w:rPr>
                <w:rFonts w:ascii="Times New Roman" w:hAnsi="Times New Roman"/>
                <w:sz w:val="28"/>
                <w:szCs w:val="28"/>
              </w:rPr>
              <w:t xml:space="preserve"> </w:t>
            </w:r>
            <w:proofErr w:type="spellStart"/>
            <w:r>
              <w:rPr>
                <w:rFonts w:ascii="Times New Roman" w:hAnsi="Times New Roman"/>
                <w:sz w:val="28"/>
                <w:szCs w:val="28"/>
              </w:rPr>
              <w:t>și</w:t>
            </w:r>
            <w:proofErr w:type="spellEnd"/>
            <w:r>
              <w:rPr>
                <w:rFonts w:ascii="Times New Roman" w:hAnsi="Times New Roman"/>
                <w:sz w:val="28"/>
                <w:szCs w:val="28"/>
              </w:rPr>
              <w:t xml:space="preserve"> </w:t>
            </w:r>
            <w:proofErr w:type="spellStart"/>
            <w:r>
              <w:rPr>
                <w:rFonts w:ascii="Times New Roman" w:hAnsi="Times New Roman"/>
                <w:sz w:val="28"/>
                <w:szCs w:val="28"/>
              </w:rPr>
              <w:t>modificările</w:t>
            </w:r>
            <w:proofErr w:type="spellEnd"/>
            <w:r>
              <w:rPr>
                <w:rFonts w:ascii="Times New Roman" w:hAnsi="Times New Roman"/>
                <w:sz w:val="28"/>
                <w:szCs w:val="28"/>
              </w:rPr>
              <w:t xml:space="preserve"> </w:t>
            </w:r>
            <w:proofErr w:type="spellStart"/>
            <w:r>
              <w:rPr>
                <w:rFonts w:ascii="Times New Roman" w:hAnsi="Times New Roman"/>
                <w:bCs/>
                <w:sz w:val="28"/>
                <w:szCs w:val="28"/>
              </w:rPr>
              <w:t>ce</w:t>
            </w:r>
            <w:proofErr w:type="spellEnd"/>
            <w:r>
              <w:rPr>
                <w:rFonts w:ascii="Times New Roman" w:hAnsi="Times New Roman"/>
                <w:bCs/>
                <w:sz w:val="28"/>
                <w:szCs w:val="28"/>
              </w:rPr>
              <w:t xml:space="preserve"> se </w:t>
            </w:r>
            <w:proofErr w:type="spellStart"/>
            <w:r>
              <w:rPr>
                <w:rFonts w:ascii="Times New Roman" w:hAnsi="Times New Roman"/>
                <w:bCs/>
                <w:sz w:val="28"/>
                <w:szCs w:val="28"/>
              </w:rPr>
              <w:t>operează</w:t>
            </w:r>
            <w:proofErr w:type="spellEnd"/>
            <w:r>
              <w:rPr>
                <w:rFonts w:ascii="Times New Roman" w:hAnsi="Times New Roman"/>
                <w:bCs/>
                <w:sz w:val="28"/>
                <w:szCs w:val="28"/>
              </w:rPr>
              <w:t xml:space="preserve"> </w:t>
            </w:r>
            <w:proofErr w:type="spellStart"/>
            <w:r>
              <w:rPr>
                <w:rFonts w:ascii="Times New Roman" w:hAnsi="Times New Roman"/>
                <w:bCs/>
                <w:sz w:val="28"/>
                <w:szCs w:val="28"/>
              </w:rPr>
              <w:t>în</w:t>
            </w:r>
            <w:proofErr w:type="spellEnd"/>
            <w:r>
              <w:rPr>
                <w:rFonts w:ascii="Times New Roman" w:hAnsi="Times New Roman"/>
                <w:bCs/>
                <w:sz w:val="28"/>
                <w:szCs w:val="28"/>
              </w:rPr>
              <w:t xml:space="preserve"> </w:t>
            </w:r>
            <w:proofErr w:type="spellStart"/>
            <w:r>
              <w:rPr>
                <w:rFonts w:ascii="Times New Roman" w:hAnsi="Times New Roman"/>
                <w:bCs/>
                <w:sz w:val="28"/>
                <w:szCs w:val="28"/>
              </w:rPr>
              <w:t>unele</w:t>
            </w:r>
            <w:proofErr w:type="spellEnd"/>
            <w:r>
              <w:rPr>
                <w:rFonts w:ascii="Times New Roman" w:hAnsi="Times New Roman"/>
                <w:bCs/>
                <w:sz w:val="28"/>
                <w:szCs w:val="28"/>
              </w:rPr>
              <w:t xml:space="preserve"> </w:t>
            </w:r>
            <w:proofErr w:type="spellStart"/>
            <w:r>
              <w:rPr>
                <w:rFonts w:ascii="Times New Roman" w:hAnsi="Times New Roman"/>
                <w:bCs/>
                <w:sz w:val="28"/>
                <w:szCs w:val="28"/>
              </w:rPr>
              <w:t>hotărîri</w:t>
            </w:r>
            <w:proofErr w:type="spellEnd"/>
            <w:r>
              <w:rPr>
                <w:rFonts w:ascii="Times New Roman" w:hAnsi="Times New Roman"/>
                <w:bCs/>
                <w:sz w:val="28"/>
                <w:szCs w:val="28"/>
              </w:rPr>
              <w:t xml:space="preserve"> ale </w:t>
            </w:r>
            <w:proofErr w:type="spellStart"/>
            <w:r>
              <w:rPr>
                <w:rFonts w:ascii="Times New Roman" w:hAnsi="Times New Roman"/>
                <w:bCs/>
                <w:sz w:val="28"/>
                <w:szCs w:val="28"/>
              </w:rPr>
              <w:t>Guvernului</w:t>
            </w:r>
            <w:proofErr w:type="spellEnd"/>
            <w:r>
              <w:rPr>
                <w:rFonts w:ascii="Times New Roman" w:hAnsi="Times New Roman"/>
                <w:sz w:val="28"/>
                <w:szCs w:val="28"/>
              </w:rPr>
              <w:t xml:space="preserve">. Se </w:t>
            </w:r>
            <w:proofErr w:type="spellStart"/>
            <w:r>
              <w:rPr>
                <w:rFonts w:ascii="Times New Roman" w:hAnsi="Times New Roman"/>
                <w:sz w:val="28"/>
                <w:szCs w:val="28"/>
              </w:rPr>
              <w:t>stabilește</w:t>
            </w:r>
            <w:proofErr w:type="spellEnd"/>
            <w:r>
              <w:rPr>
                <w:rFonts w:ascii="Times New Roman" w:hAnsi="Times New Roman"/>
                <w:sz w:val="28"/>
                <w:szCs w:val="28"/>
              </w:rPr>
              <w:t xml:space="preserve"> </w:t>
            </w:r>
            <w:proofErr w:type="spellStart"/>
            <w:r>
              <w:rPr>
                <w:rFonts w:ascii="Times New Roman" w:hAnsi="Times New Roman"/>
                <w:sz w:val="28"/>
                <w:szCs w:val="28"/>
              </w:rPr>
              <w:t>efectivul-limită</w:t>
            </w:r>
            <w:proofErr w:type="spellEnd"/>
            <w:r>
              <w:rPr>
                <w:rFonts w:ascii="Times New Roman" w:hAnsi="Times New Roman"/>
                <w:sz w:val="28"/>
                <w:szCs w:val="28"/>
              </w:rPr>
              <w:t xml:space="preserve"> al </w:t>
            </w:r>
            <w:proofErr w:type="spellStart"/>
            <w:r>
              <w:rPr>
                <w:rFonts w:ascii="Times New Roman" w:hAnsi="Times New Roman"/>
                <w:color w:val="000000"/>
                <w:sz w:val="28"/>
                <w:szCs w:val="28"/>
              </w:rPr>
              <w:t>Instituției</w:t>
            </w:r>
            <w:proofErr w:type="spellEnd"/>
            <w:r>
              <w:rPr>
                <w:rFonts w:ascii="Times New Roman" w:hAnsi="Times New Roman"/>
                <w:color w:val="000000"/>
                <w:sz w:val="28"/>
                <w:szCs w:val="28"/>
              </w:rPr>
              <w:t xml:space="preserve"> </w:t>
            </w:r>
            <w:proofErr w:type="spellStart"/>
            <w:r>
              <w:rPr>
                <w:rFonts w:ascii="Times New Roman" w:hAnsi="Times New Roman"/>
                <w:sz w:val="28"/>
                <w:szCs w:val="28"/>
              </w:rPr>
              <w:t>în</w:t>
            </w:r>
            <w:proofErr w:type="spellEnd"/>
            <w:r>
              <w:rPr>
                <w:rFonts w:ascii="Times New Roman" w:hAnsi="Times New Roman"/>
                <w:sz w:val="28"/>
                <w:szCs w:val="28"/>
              </w:rPr>
              <w:t xml:space="preserve"> </w:t>
            </w:r>
            <w:proofErr w:type="spellStart"/>
            <w:r>
              <w:rPr>
                <w:rFonts w:ascii="Times New Roman" w:hAnsi="Times New Roman"/>
                <w:sz w:val="28"/>
                <w:szCs w:val="28"/>
              </w:rPr>
              <w:t>număr</w:t>
            </w:r>
            <w:proofErr w:type="spellEnd"/>
            <w:r>
              <w:rPr>
                <w:rFonts w:ascii="Times New Roman" w:hAnsi="Times New Roman"/>
                <w:sz w:val="28"/>
                <w:szCs w:val="28"/>
              </w:rPr>
              <w:t xml:space="preserve"> de 400 </w:t>
            </w:r>
            <w:proofErr w:type="spellStart"/>
            <w:r>
              <w:rPr>
                <w:rFonts w:ascii="Times New Roman" w:hAnsi="Times New Roman"/>
                <w:sz w:val="28"/>
                <w:szCs w:val="28"/>
              </w:rPr>
              <w:t>unități</w:t>
            </w:r>
            <w:proofErr w:type="spellEnd"/>
            <w:r>
              <w:rPr>
                <w:rFonts w:ascii="Times New Roman" w:hAnsi="Times New Roman"/>
                <w:sz w:val="28"/>
                <w:szCs w:val="28"/>
              </w:rPr>
              <w:t xml:space="preserve"> de personal.</w:t>
            </w:r>
          </w:p>
          <w:p w:rsidR="00B3637D" w:rsidRDefault="00B3637D">
            <w:pPr>
              <w:pStyle w:val="Frspaiere1"/>
              <w:spacing w:line="254" w:lineRule="auto"/>
              <w:ind w:firstLine="720"/>
              <w:jc w:val="both"/>
              <w:rPr>
                <w:rFonts w:ascii="Times New Roman" w:hAnsi="Times New Roman"/>
                <w:sz w:val="28"/>
                <w:szCs w:val="28"/>
                <w:lang w:val="ro-RO"/>
              </w:rPr>
            </w:pPr>
            <w:r>
              <w:rPr>
                <w:rFonts w:ascii="Times New Roman" w:eastAsia="Calibri" w:hAnsi="Times New Roman"/>
                <w:sz w:val="28"/>
                <w:szCs w:val="28"/>
                <w:lang w:val="ro-RO"/>
              </w:rPr>
              <w:t xml:space="preserve">Proiectul hotărârii Guvernului </w:t>
            </w:r>
            <w:r>
              <w:rPr>
                <w:rFonts w:ascii="Times New Roman" w:hAnsi="Times New Roman"/>
                <w:bCs/>
                <w:sz w:val="28"/>
                <w:szCs w:val="28"/>
                <w:lang w:eastAsia="ru-RU"/>
              </w:rPr>
              <w:t xml:space="preserve">cu </w:t>
            </w:r>
            <w:proofErr w:type="spellStart"/>
            <w:r>
              <w:rPr>
                <w:rFonts w:ascii="Times New Roman" w:hAnsi="Times New Roman"/>
                <w:bCs/>
                <w:sz w:val="28"/>
                <w:szCs w:val="28"/>
                <w:lang w:eastAsia="ru-RU"/>
              </w:rPr>
              <w:t>privire</w:t>
            </w:r>
            <w:proofErr w:type="spellEnd"/>
            <w:r>
              <w:rPr>
                <w:rFonts w:ascii="Times New Roman" w:hAnsi="Times New Roman"/>
                <w:bCs/>
                <w:sz w:val="28"/>
                <w:szCs w:val="28"/>
                <w:lang w:eastAsia="ru-RU"/>
              </w:rPr>
              <w:t xml:space="preserve"> la </w:t>
            </w:r>
            <w:proofErr w:type="spellStart"/>
            <w:r>
              <w:rPr>
                <w:rFonts w:ascii="Times New Roman" w:hAnsi="Times New Roman"/>
                <w:bCs/>
                <w:sz w:val="28"/>
                <w:szCs w:val="28"/>
                <w:lang w:eastAsia="ru-RU"/>
              </w:rPr>
              <w:t>organizarea</w:t>
            </w:r>
            <w:proofErr w:type="spellEnd"/>
            <w:r>
              <w:rPr>
                <w:rFonts w:ascii="Times New Roman" w:hAnsi="Times New Roman"/>
                <w:bCs/>
                <w:sz w:val="28"/>
                <w:szCs w:val="28"/>
                <w:lang w:eastAsia="ru-RU"/>
              </w:rPr>
              <w:t xml:space="preserve"> </w:t>
            </w:r>
            <w:proofErr w:type="spellStart"/>
            <w:r>
              <w:rPr>
                <w:rFonts w:ascii="Times New Roman" w:hAnsi="Times New Roman"/>
                <w:bCs/>
                <w:sz w:val="28"/>
                <w:szCs w:val="28"/>
                <w:lang w:eastAsia="ru-RU"/>
              </w:rPr>
              <w:t>și</w:t>
            </w:r>
            <w:proofErr w:type="spellEnd"/>
            <w:r>
              <w:rPr>
                <w:rFonts w:ascii="Times New Roman" w:hAnsi="Times New Roman"/>
                <w:bCs/>
                <w:sz w:val="28"/>
                <w:szCs w:val="28"/>
                <w:lang w:eastAsia="ru-RU"/>
              </w:rPr>
              <w:t xml:space="preserve"> </w:t>
            </w:r>
            <w:proofErr w:type="spellStart"/>
            <w:r>
              <w:rPr>
                <w:rFonts w:ascii="Times New Roman" w:hAnsi="Times New Roman"/>
                <w:bCs/>
                <w:sz w:val="28"/>
                <w:szCs w:val="28"/>
                <w:lang w:eastAsia="ru-RU"/>
              </w:rPr>
              <w:t>funcționarea</w:t>
            </w:r>
            <w:proofErr w:type="spellEnd"/>
            <w:r>
              <w:rPr>
                <w:rFonts w:ascii="Times New Roman" w:hAnsi="Times New Roman"/>
                <w:bCs/>
                <w:sz w:val="28"/>
                <w:szCs w:val="28"/>
                <w:lang w:eastAsia="ru-RU"/>
              </w:rPr>
              <w:t xml:space="preserve"> </w:t>
            </w:r>
            <w:proofErr w:type="spellStart"/>
            <w:r>
              <w:rPr>
                <w:rFonts w:ascii="Times New Roman" w:hAnsi="Times New Roman"/>
                <w:bCs/>
                <w:sz w:val="28"/>
                <w:szCs w:val="28"/>
              </w:rPr>
              <w:t>Instituției</w:t>
            </w:r>
            <w:proofErr w:type="spellEnd"/>
            <w:r>
              <w:rPr>
                <w:rFonts w:ascii="Times New Roman" w:hAnsi="Times New Roman"/>
                <w:bCs/>
                <w:sz w:val="28"/>
                <w:szCs w:val="28"/>
              </w:rPr>
              <w:t xml:space="preserve"> medico-</w:t>
            </w:r>
            <w:proofErr w:type="spellStart"/>
            <w:r>
              <w:rPr>
                <w:rFonts w:ascii="Times New Roman" w:hAnsi="Times New Roman"/>
                <w:bCs/>
                <w:sz w:val="28"/>
                <w:szCs w:val="28"/>
              </w:rPr>
              <w:t>sanitare</w:t>
            </w:r>
            <w:proofErr w:type="spellEnd"/>
            <w:r>
              <w:rPr>
                <w:rFonts w:ascii="Times New Roman" w:hAnsi="Times New Roman"/>
                <w:bCs/>
                <w:sz w:val="28"/>
                <w:szCs w:val="28"/>
              </w:rPr>
              <w:t xml:space="preserve"> </w:t>
            </w:r>
            <w:proofErr w:type="spellStart"/>
            <w:r>
              <w:rPr>
                <w:rFonts w:ascii="Times New Roman" w:hAnsi="Times New Roman"/>
                <w:bCs/>
                <w:sz w:val="28"/>
                <w:szCs w:val="28"/>
              </w:rPr>
              <w:t>publice</w:t>
            </w:r>
            <w:proofErr w:type="spellEnd"/>
            <w:r>
              <w:rPr>
                <w:rFonts w:ascii="Times New Roman" w:hAnsi="Times New Roman"/>
                <w:bCs/>
                <w:sz w:val="28"/>
                <w:szCs w:val="28"/>
              </w:rPr>
              <w:t xml:space="preserve"> „</w:t>
            </w:r>
            <w:proofErr w:type="spellStart"/>
            <w:r>
              <w:rPr>
                <w:rFonts w:ascii="Times New Roman" w:hAnsi="Times New Roman"/>
                <w:bCs/>
                <w:sz w:val="28"/>
                <w:szCs w:val="28"/>
              </w:rPr>
              <w:t>Serviciul</w:t>
            </w:r>
            <w:proofErr w:type="spellEnd"/>
            <w:r>
              <w:rPr>
                <w:rFonts w:ascii="Times New Roman" w:hAnsi="Times New Roman"/>
                <w:bCs/>
                <w:sz w:val="28"/>
                <w:szCs w:val="28"/>
              </w:rPr>
              <w:t xml:space="preserve"> medical al </w:t>
            </w:r>
            <w:proofErr w:type="spellStart"/>
            <w:r>
              <w:rPr>
                <w:rFonts w:ascii="Times New Roman" w:hAnsi="Times New Roman"/>
                <w:bCs/>
                <w:sz w:val="28"/>
                <w:szCs w:val="28"/>
              </w:rPr>
              <w:t>Ministerului</w:t>
            </w:r>
            <w:proofErr w:type="spellEnd"/>
            <w:r>
              <w:rPr>
                <w:rFonts w:ascii="Times New Roman" w:hAnsi="Times New Roman"/>
                <w:bCs/>
                <w:sz w:val="28"/>
                <w:szCs w:val="28"/>
              </w:rPr>
              <w:t xml:space="preserve"> </w:t>
            </w:r>
            <w:proofErr w:type="spellStart"/>
            <w:r>
              <w:rPr>
                <w:rFonts w:ascii="Times New Roman" w:hAnsi="Times New Roman"/>
                <w:bCs/>
                <w:sz w:val="28"/>
                <w:szCs w:val="28"/>
              </w:rPr>
              <w:t>Afacerilor</w:t>
            </w:r>
            <w:proofErr w:type="spellEnd"/>
            <w:r>
              <w:rPr>
                <w:rFonts w:ascii="Times New Roman" w:hAnsi="Times New Roman"/>
                <w:b/>
                <w:bCs/>
                <w:sz w:val="28"/>
                <w:szCs w:val="28"/>
              </w:rPr>
              <w:t xml:space="preserve"> </w:t>
            </w:r>
            <w:r>
              <w:rPr>
                <w:rFonts w:ascii="Times New Roman" w:hAnsi="Times New Roman"/>
                <w:bCs/>
                <w:sz w:val="28"/>
                <w:szCs w:val="28"/>
              </w:rPr>
              <w:t>Interne”</w:t>
            </w:r>
            <w:r>
              <w:rPr>
                <w:rFonts w:ascii="Times New Roman" w:eastAsia="Calibri" w:hAnsi="Times New Roman"/>
                <w:sz w:val="28"/>
                <w:szCs w:val="28"/>
                <w:lang w:val="ro-RO"/>
              </w:rPr>
              <w:t xml:space="preserve"> este constituit din </w:t>
            </w:r>
            <w:r>
              <w:rPr>
                <w:rFonts w:ascii="Times New Roman" w:hAnsi="Times New Roman"/>
                <w:sz w:val="28"/>
                <w:szCs w:val="28"/>
                <w:lang w:val="ro-RO"/>
              </w:rPr>
              <w:t>proiectul hotărârii Guvernului şi patru anexe la aceasta.</w:t>
            </w:r>
          </w:p>
        </w:tc>
      </w:tr>
      <w:tr w:rsidR="00B3637D" w:rsidRPr="00B3637D" w:rsidTr="00B3637D">
        <w:trPr>
          <w:trHeight w:val="1"/>
        </w:trPr>
        <w:tc>
          <w:tcPr>
            <w:tcW w:w="99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3637D" w:rsidRDefault="00B3637D">
            <w:pPr>
              <w:autoSpaceDE w:val="0"/>
              <w:autoSpaceDN w:val="0"/>
              <w:adjustRightInd w:val="0"/>
              <w:spacing w:line="254" w:lineRule="auto"/>
              <w:ind w:firstLine="539"/>
              <w:rPr>
                <w:rFonts w:eastAsia="Calibri"/>
                <w:sz w:val="26"/>
                <w:szCs w:val="26"/>
                <w:lang w:eastAsia="en-US"/>
              </w:rPr>
            </w:pPr>
            <w:r>
              <w:rPr>
                <w:rFonts w:eastAsia="Calibri"/>
                <w:b/>
                <w:bCs/>
                <w:sz w:val="26"/>
                <w:szCs w:val="26"/>
                <w:lang w:eastAsia="en-US"/>
              </w:rPr>
              <w:t>IV. Scopul şi obiectivele urmărite prin adoptarea actului normativ</w:t>
            </w:r>
          </w:p>
        </w:tc>
      </w:tr>
      <w:tr w:rsidR="00B3637D" w:rsidRPr="00B3637D" w:rsidTr="00B3637D">
        <w:trPr>
          <w:trHeight w:val="1"/>
        </w:trPr>
        <w:tc>
          <w:tcPr>
            <w:tcW w:w="9930" w:type="dxa"/>
            <w:tcBorders>
              <w:top w:val="single" w:sz="4" w:space="0" w:color="000000"/>
              <w:left w:val="single" w:sz="4" w:space="0" w:color="000000"/>
              <w:bottom w:val="single" w:sz="4" w:space="0" w:color="000000"/>
              <w:right w:val="single" w:sz="4" w:space="0" w:color="000000"/>
            </w:tcBorders>
            <w:shd w:val="clear" w:color="auto" w:fill="FFFFFF"/>
            <w:hideMark/>
          </w:tcPr>
          <w:p w:rsidR="00B3637D" w:rsidRDefault="00B3637D">
            <w:pPr>
              <w:autoSpaceDE w:val="0"/>
              <w:autoSpaceDN w:val="0"/>
              <w:adjustRightInd w:val="0"/>
              <w:spacing w:line="254" w:lineRule="auto"/>
              <w:ind w:firstLine="702"/>
              <w:jc w:val="both"/>
              <w:rPr>
                <w:spacing w:val="-4"/>
                <w:sz w:val="28"/>
                <w:szCs w:val="28"/>
                <w:lang w:eastAsia="en-US"/>
              </w:rPr>
            </w:pPr>
            <w:r>
              <w:rPr>
                <w:spacing w:val="-4"/>
                <w:sz w:val="28"/>
                <w:szCs w:val="28"/>
                <w:lang w:eastAsia="en-US"/>
              </w:rPr>
              <w:t xml:space="preserve">Scopul proiectului este crearea unui cadru comprehensiv, ce va reglementa organizarea şi funcționarea </w:t>
            </w:r>
            <w:r>
              <w:rPr>
                <w:color w:val="000000"/>
                <w:sz w:val="28"/>
                <w:szCs w:val="28"/>
                <w:lang w:eastAsia="en-US"/>
              </w:rPr>
              <w:t>Instituției medico-sanitare publice ”Serviciul medical al Ministerului Afacerilor Interne”</w:t>
            </w:r>
            <w:r>
              <w:rPr>
                <w:spacing w:val="-4"/>
                <w:sz w:val="28"/>
                <w:szCs w:val="28"/>
                <w:lang w:eastAsia="en-US"/>
              </w:rPr>
              <w:t xml:space="preserve">, contribuind în ultimă instanță la realizarea conformă a </w:t>
            </w:r>
            <w:r>
              <w:rPr>
                <w:sz w:val="28"/>
                <w:szCs w:val="28"/>
                <w:lang w:eastAsia="en-US"/>
              </w:rPr>
              <w:t>monitorizării, fortificării și păstrării sănătății angajaților aparatului central, autorităților administrative și instituțiilor din subordinea Ministerului Afacerilor Interne</w:t>
            </w:r>
            <w:r>
              <w:rPr>
                <w:spacing w:val="-4"/>
                <w:sz w:val="28"/>
                <w:szCs w:val="28"/>
                <w:lang w:eastAsia="en-US"/>
              </w:rPr>
              <w:t>.</w:t>
            </w:r>
          </w:p>
          <w:p w:rsidR="00B3637D" w:rsidRDefault="00B3637D">
            <w:pPr>
              <w:autoSpaceDE w:val="0"/>
              <w:autoSpaceDN w:val="0"/>
              <w:adjustRightInd w:val="0"/>
              <w:spacing w:line="254" w:lineRule="auto"/>
              <w:ind w:firstLine="702"/>
              <w:jc w:val="both"/>
              <w:rPr>
                <w:sz w:val="28"/>
                <w:szCs w:val="28"/>
                <w:lang w:eastAsia="en-US"/>
              </w:rPr>
            </w:pPr>
            <w:r>
              <w:rPr>
                <w:spacing w:val="-4"/>
                <w:sz w:val="28"/>
                <w:szCs w:val="28"/>
                <w:lang w:eastAsia="en-US"/>
              </w:rPr>
              <w:t xml:space="preserve">Totodată, necesitatea adoptării proiectului prenotat reiese din necesitatea </w:t>
            </w:r>
            <w:r>
              <w:rPr>
                <w:sz w:val="28"/>
                <w:szCs w:val="28"/>
                <w:lang w:eastAsia="en-US"/>
              </w:rPr>
              <w:t xml:space="preserve">aducerii în concordanță a cadrului normativ subordonat Legii nr.98 din 04 mai 2012 privind administrația publică centrală de specialitate, Legii nr.288 din 16 decembrie 2016 privind funcționarul public cu statut special din cadrul Ministerului Afacerilor Interne, Hotărîrii Guvernului nr.693 din 30 august 2017 cu privire la organizarea şi funcționarea Ministerului Afacerilor Interne și Hotărîrii Guvernului nr. 460 din 22 iunie 2017 pentru punerea în aplicare a prevederilor Legii nr. 288 din 16 decembrie </w:t>
            </w:r>
            <w:r>
              <w:rPr>
                <w:sz w:val="28"/>
                <w:szCs w:val="28"/>
                <w:lang w:eastAsia="en-US"/>
              </w:rPr>
              <w:lastRenderedPageBreak/>
              <w:t>2016 privind funcționarul public cu statut special din cadrul Ministerului Afacerilor Interne.</w:t>
            </w:r>
          </w:p>
        </w:tc>
      </w:tr>
      <w:tr w:rsidR="00B3637D" w:rsidTr="00B3637D">
        <w:trPr>
          <w:trHeight w:val="1"/>
        </w:trPr>
        <w:tc>
          <w:tcPr>
            <w:tcW w:w="99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3637D" w:rsidRDefault="00B3637D">
            <w:pPr>
              <w:autoSpaceDE w:val="0"/>
              <w:autoSpaceDN w:val="0"/>
              <w:adjustRightInd w:val="0"/>
              <w:spacing w:line="254" w:lineRule="auto"/>
              <w:ind w:firstLine="539"/>
              <w:rPr>
                <w:rFonts w:eastAsia="Calibri"/>
                <w:sz w:val="28"/>
                <w:szCs w:val="28"/>
                <w:lang w:eastAsia="en-US"/>
              </w:rPr>
            </w:pPr>
            <w:r>
              <w:rPr>
                <w:rFonts w:eastAsia="Calibri"/>
                <w:b/>
                <w:bCs/>
                <w:sz w:val="28"/>
                <w:szCs w:val="28"/>
                <w:lang w:eastAsia="en-US"/>
              </w:rPr>
              <w:lastRenderedPageBreak/>
              <w:t>V. Fundamentarea economico-financiară</w:t>
            </w:r>
          </w:p>
        </w:tc>
      </w:tr>
      <w:tr w:rsidR="00B3637D" w:rsidRPr="00B3637D" w:rsidTr="00B3637D">
        <w:trPr>
          <w:trHeight w:val="1"/>
        </w:trPr>
        <w:tc>
          <w:tcPr>
            <w:tcW w:w="9930" w:type="dxa"/>
            <w:tcBorders>
              <w:top w:val="single" w:sz="4" w:space="0" w:color="000000"/>
              <w:left w:val="single" w:sz="4" w:space="0" w:color="000000"/>
              <w:bottom w:val="single" w:sz="4" w:space="0" w:color="000000"/>
              <w:right w:val="single" w:sz="4" w:space="0" w:color="000000"/>
            </w:tcBorders>
            <w:shd w:val="clear" w:color="auto" w:fill="FFFFFF"/>
            <w:hideMark/>
          </w:tcPr>
          <w:p w:rsidR="00B3637D" w:rsidRDefault="00B3637D">
            <w:pPr>
              <w:autoSpaceDE w:val="0"/>
              <w:autoSpaceDN w:val="0"/>
              <w:adjustRightInd w:val="0"/>
              <w:spacing w:line="254" w:lineRule="auto"/>
              <w:ind w:firstLine="819"/>
              <w:jc w:val="both"/>
              <w:rPr>
                <w:sz w:val="28"/>
                <w:szCs w:val="28"/>
                <w:lang w:eastAsia="en-US"/>
              </w:rPr>
            </w:pPr>
            <w:r>
              <w:rPr>
                <w:sz w:val="28"/>
                <w:szCs w:val="28"/>
                <w:lang w:eastAsia="en-US"/>
              </w:rPr>
              <w:t xml:space="preserve">Aprobarea proiectului hotărârii Guvernului nu presupune surse suplimentare din bugetul de stat, reieșind din faptul că restructurarea se va realiza din contul limitelor de personal disponibile. </w:t>
            </w:r>
          </w:p>
        </w:tc>
      </w:tr>
      <w:tr w:rsidR="00B3637D" w:rsidRPr="00B3637D" w:rsidTr="00B3637D">
        <w:trPr>
          <w:trHeight w:val="1"/>
        </w:trPr>
        <w:tc>
          <w:tcPr>
            <w:tcW w:w="99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B3637D" w:rsidRDefault="00B3637D">
            <w:pPr>
              <w:autoSpaceDE w:val="0"/>
              <w:autoSpaceDN w:val="0"/>
              <w:adjustRightInd w:val="0"/>
              <w:spacing w:line="254" w:lineRule="auto"/>
              <w:ind w:firstLine="539"/>
              <w:rPr>
                <w:rFonts w:eastAsia="Calibri"/>
                <w:sz w:val="28"/>
                <w:szCs w:val="28"/>
                <w:lang w:eastAsia="en-US"/>
              </w:rPr>
            </w:pPr>
            <w:r>
              <w:rPr>
                <w:rFonts w:eastAsia="Calibri"/>
                <w:b/>
                <w:bCs/>
                <w:sz w:val="28"/>
                <w:szCs w:val="28"/>
                <w:lang w:eastAsia="en-US"/>
              </w:rPr>
              <w:t>VI. Respectarea transparenței în procesul decizional</w:t>
            </w:r>
          </w:p>
        </w:tc>
      </w:tr>
      <w:tr w:rsidR="00B3637D" w:rsidRPr="00B3637D" w:rsidTr="00B3637D">
        <w:trPr>
          <w:trHeight w:val="359"/>
        </w:trPr>
        <w:tc>
          <w:tcPr>
            <w:tcW w:w="99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B3637D" w:rsidRDefault="00B3637D">
            <w:pPr>
              <w:spacing w:line="254" w:lineRule="auto"/>
              <w:ind w:firstLine="567"/>
              <w:jc w:val="both"/>
              <w:rPr>
                <w:sz w:val="28"/>
                <w:szCs w:val="28"/>
                <w:lang w:eastAsia="en-US"/>
              </w:rPr>
            </w:pPr>
            <w:r>
              <w:rPr>
                <w:sz w:val="28"/>
                <w:szCs w:val="28"/>
                <w:lang w:eastAsia="en-US"/>
              </w:rPr>
              <w:t xml:space="preserve">În scopul respectării prevederilor Legii nr. 239 din 13 noiembrie 2008 privind transparența în procesul decizional, proiectul a fost plasat pe portalul guvernamental </w:t>
            </w:r>
            <w:hyperlink r:id="rId5" w:history="1">
              <w:r>
                <w:rPr>
                  <w:rStyle w:val="a3"/>
                  <w:color w:val="0000FF"/>
                  <w:sz w:val="28"/>
                  <w:szCs w:val="28"/>
                  <w:lang w:eastAsia="en-US"/>
                </w:rPr>
                <w:t>www.particip.gov.md</w:t>
              </w:r>
            </w:hyperlink>
            <w:r>
              <w:rPr>
                <w:sz w:val="28"/>
                <w:szCs w:val="28"/>
                <w:lang w:eastAsia="en-US"/>
              </w:rPr>
              <w:t xml:space="preserve"> şi pagina oficială a MAI în rețeaua internet, directoriul ,,Transparența”/,,Consultări publice”.</w:t>
            </w:r>
          </w:p>
          <w:p w:rsidR="00B3637D" w:rsidRDefault="00B3637D">
            <w:pPr>
              <w:autoSpaceDE w:val="0"/>
              <w:autoSpaceDN w:val="0"/>
              <w:adjustRightInd w:val="0"/>
              <w:spacing w:line="254" w:lineRule="auto"/>
              <w:ind w:firstLine="819"/>
              <w:jc w:val="both"/>
              <w:rPr>
                <w:rFonts w:eastAsia="Calibri"/>
                <w:sz w:val="28"/>
                <w:szCs w:val="28"/>
                <w:lang w:eastAsia="en-US"/>
              </w:rPr>
            </w:pPr>
            <w:r>
              <w:rPr>
                <w:sz w:val="28"/>
                <w:szCs w:val="28"/>
                <w:lang w:eastAsia="en-US"/>
              </w:rPr>
              <w:t>Proiectul va fi expediat către Ministerul Justiției şi Centrul Național Anticorupție în rezultatul coordonării acestuia cu instituţiile interesate.</w:t>
            </w:r>
          </w:p>
        </w:tc>
      </w:tr>
    </w:tbl>
    <w:p w:rsidR="00B3637D" w:rsidRDefault="00B3637D" w:rsidP="00B3637D"/>
    <w:p w:rsidR="00B3637D" w:rsidRDefault="00B3637D" w:rsidP="00B3637D"/>
    <w:p w:rsidR="00B3637D" w:rsidRDefault="00B3637D" w:rsidP="00B3637D"/>
    <w:p w:rsidR="00B3637D" w:rsidRDefault="00B3637D" w:rsidP="00B3637D">
      <w:r>
        <w:tab/>
      </w:r>
    </w:p>
    <w:p w:rsidR="00B3637D" w:rsidRDefault="00B3637D" w:rsidP="00B3637D">
      <w:r>
        <w:rPr>
          <w:b/>
          <w:sz w:val="28"/>
          <w:szCs w:val="28"/>
        </w:rPr>
        <w:t>Secretar de stat</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xml:space="preserve">               Mihail BEREGOI</w:t>
      </w:r>
    </w:p>
    <w:p w:rsidR="00B3637D" w:rsidRDefault="00B3637D" w:rsidP="00B3637D"/>
    <w:p w:rsidR="00B3637D" w:rsidRDefault="00B3637D" w:rsidP="00B3637D"/>
    <w:p w:rsidR="00B3637D" w:rsidRDefault="00B3637D" w:rsidP="00B3637D"/>
    <w:p w:rsidR="00B3637D" w:rsidRDefault="00B3637D" w:rsidP="00B3637D"/>
    <w:p w:rsidR="00B3637D" w:rsidRDefault="00B3637D" w:rsidP="00B3637D"/>
    <w:p w:rsidR="00B3637D" w:rsidRDefault="00B3637D" w:rsidP="00B3637D"/>
    <w:p w:rsidR="00B3637D" w:rsidRDefault="00B3637D" w:rsidP="00B3637D"/>
    <w:p w:rsidR="00B3637D" w:rsidRDefault="00B3637D" w:rsidP="00B3637D"/>
    <w:p w:rsidR="00B3637D" w:rsidRDefault="00B3637D" w:rsidP="00B3637D"/>
    <w:p w:rsidR="00E27C0B" w:rsidRDefault="00E27C0B">
      <w:bookmarkStart w:id="0" w:name="_GoBack"/>
      <w:bookmarkEnd w:id="0"/>
    </w:p>
    <w:sectPr w:rsidR="00E27C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C0B"/>
    <w:rsid w:val="00B3637D"/>
    <w:rsid w:val="00E27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37D"/>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3637D"/>
    <w:rPr>
      <w:color w:val="0000FF" w:themeColor="hyperlink"/>
      <w:u w:val="single"/>
    </w:rPr>
  </w:style>
  <w:style w:type="paragraph" w:customStyle="1" w:styleId="Frspaiere1">
    <w:name w:val="Fără spațiere1"/>
    <w:uiPriority w:val="99"/>
    <w:qFormat/>
    <w:rsid w:val="00B3637D"/>
    <w:pPr>
      <w:spacing w:after="0" w:line="240" w:lineRule="auto"/>
    </w:pPr>
    <w:rPr>
      <w:rFonts w:ascii="Calibri" w:eastAsia="Times New Roman"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37D"/>
    <w:pPr>
      <w:spacing w:after="0" w:line="240" w:lineRule="auto"/>
    </w:pPr>
    <w:rPr>
      <w:rFonts w:ascii="Times New Roman" w:eastAsia="Times New Roman" w:hAnsi="Times New Roman" w:cs="Times New Roman"/>
      <w:sz w:val="24"/>
      <w:szCs w:val="24"/>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3637D"/>
    <w:rPr>
      <w:color w:val="0000FF" w:themeColor="hyperlink"/>
      <w:u w:val="single"/>
    </w:rPr>
  </w:style>
  <w:style w:type="paragraph" w:customStyle="1" w:styleId="Frspaiere1">
    <w:name w:val="Fără spațiere1"/>
    <w:uiPriority w:val="99"/>
    <w:qFormat/>
    <w:rsid w:val="00B3637D"/>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54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articip.gov.m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1058</Words>
  <Characters>6031</Characters>
  <Application>Microsoft Office Word</Application>
  <DocSecurity>0</DocSecurity>
  <Lines>50</Lines>
  <Paragraphs>14</Paragraphs>
  <ScaleCrop>false</ScaleCrop>
  <Company>CtrlSoft</Company>
  <LinksUpToDate>false</LinksUpToDate>
  <CharactersWithSpaces>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VADIM</dc:creator>
  <cp:keywords/>
  <dc:description/>
  <cp:lastModifiedBy>VADIM</cp:lastModifiedBy>
  <cp:revision>3</cp:revision>
  <dcterms:created xsi:type="dcterms:W3CDTF">2018-04-03T11:59:00Z</dcterms:created>
  <dcterms:modified xsi:type="dcterms:W3CDTF">2018-04-03T12:00:00Z</dcterms:modified>
</cp:coreProperties>
</file>