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2F" w:rsidRPr="00A578DC" w:rsidRDefault="00120C2F" w:rsidP="00A578DC">
      <w:pPr>
        <w:pStyle w:val="tt"/>
        <w:spacing w:line="276" w:lineRule="auto"/>
        <w:rPr>
          <w:lang w:val="ro-RO"/>
        </w:rPr>
      </w:pPr>
      <w:r w:rsidRPr="00A578DC">
        <w:rPr>
          <w:lang w:val="ro-RO"/>
        </w:rPr>
        <w:t xml:space="preserve">Analiza avizelor la proiectul </w:t>
      </w:r>
      <w:proofErr w:type="spellStart"/>
      <w:r w:rsidRPr="00A578DC">
        <w:rPr>
          <w:lang w:val="ro-MO"/>
        </w:rPr>
        <w:t>Hotărîrii</w:t>
      </w:r>
      <w:proofErr w:type="spellEnd"/>
      <w:r w:rsidRPr="00A578DC">
        <w:rPr>
          <w:lang w:val="ro-MO"/>
        </w:rPr>
        <w:t xml:space="preserve"> de Guvern cu privire la aprobarea proiectului de Lege </w:t>
      </w:r>
      <w:r w:rsidRPr="00A578DC">
        <w:rPr>
          <w:lang w:val="ro-RO"/>
        </w:rPr>
        <w:t>privind modificarea și completarea Legii nr. 461 din 30.07.2001 privind piaţa produselor petroliere şi proiectul Legii respective</w:t>
      </w:r>
    </w:p>
    <w:p w:rsidR="00120C2F" w:rsidRPr="00A578DC" w:rsidRDefault="00120C2F" w:rsidP="00A578DC">
      <w:pPr>
        <w:pStyle w:val="tt"/>
        <w:spacing w:line="276" w:lineRule="auto"/>
        <w:rPr>
          <w:b w:val="0"/>
          <w:lang w:val="ro-RO"/>
        </w:rPr>
      </w:pPr>
    </w:p>
    <w:tbl>
      <w:tblPr>
        <w:tblW w:w="14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9225"/>
        <w:gridCol w:w="4217"/>
      </w:tblGrid>
      <w:tr w:rsidR="00120C2F" w:rsidRPr="00A578DC" w:rsidTr="00C82612">
        <w:tc>
          <w:tcPr>
            <w:tcW w:w="840" w:type="dxa"/>
            <w:vAlign w:val="center"/>
          </w:tcPr>
          <w:p w:rsidR="00120C2F" w:rsidRPr="00A578DC" w:rsidRDefault="00120C2F" w:rsidP="00A578DC">
            <w:pPr>
              <w:spacing w:line="276" w:lineRule="auto"/>
              <w:jc w:val="center"/>
              <w:rPr>
                <w:b/>
                <w:lang w:val="ro-RO"/>
              </w:rPr>
            </w:pPr>
            <w:r w:rsidRPr="00A578DC">
              <w:rPr>
                <w:b/>
                <w:lang w:val="ro-RO"/>
              </w:rPr>
              <w:t>nr. d/o</w:t>
            </w:r>
          </w:p>
        </w:tc>
        <w:tc>
          <w:tcPr>
            <w:tcW w:w="9225" w:type="dxa"/>
            <w:vAlign w:val="center"/>
          </w:tcPr>
          <w:p w:rsidR="00120C2F" w:rsidRPr="00A578DC" w:rsidRDefault="00120C2F" w:rsidP="00A578DC">
            <w:pPr>
              <w:spacing w:line="276" w:lineRule="auto"/>
              <w:jc w:val="center"/>
              <w:rPr>
                <w:b/>
                <w:lang w:val="ro-RO"/>
              </w:rPr>
            </w:pPr>
            <w:r w:rsidRPr="00A578DC">
              <w:rPr>
                <w:b/>
                <w:lang w:val="ro-RO"/>
              </w:rPr>
              <w:t>Conţinutul propunerilor şi obiecţiilor</w:t>
            </w:r>
          </w:p>
        </w:tc>
        <w:tc>
          <w:tcPr>
            <w:tcW w:w="4217" w:type="dxa"/>
            <w:vAlign w:val="center"/>
          </w:tcPr>
          <w:p w:rsidR="00120C2F" w:rsidRPr="00A578DC" w:rsidRDefault="00120C2F" w:rsidP="00A578DC">
            <w:pPr>
              <w:spacing w:line="276" w:lineRule="auto"/>
              <w:jc w:val="center"/>
              <w:rPr>
                <w:b/>
                <w:lang w:val="ro-RO"/>
              </w:rPr>
            </w:pPr>
            <w:r w:rsidRPr="00A578DC">
              <w:rPr>
                <w:b/>
                <w:lang w:val="ro-RO"/>
              </w:rPr>
              <w:t>Comentarii</w:t>
            </w:r>
          </w:p>
        </w:tc>
      </w:tr>
      <w:tr w:rsidR="00120C2F" w:rsidRPr="00195C28" w:rsidTr="00C82612">
        <w:trPr>
          <w:trHeight w:val="640"/>
        </w:trPr>
        <w:tc>
          <w:tcPr>
            <w:tcW w:w="14282" w:type="dxa"/>
            <w:gridSpan w:val="3"/>
            <w:vAlign w:val="center"/>
          </w:tcPr>
          <w:p w:rsidR="00120C2F" w:rsidRPr="00A578DC" w:rsidRDefault="00120C2F" w:rsidP="00A578DC">
            <w:pPr>
              <w:spacing w:line="276" w:lineRule="auto"/>
              <w:jc w:val="center"/>
              <w:rPr>
                <w:b/>
                <w:lang w:val="ro-RO"/>
              </w:rPr>
            </w:pPr>
            <w:r w:rsidRPr="00A578DC">
              <w:rPr>
                <w:b/>
                <w:lang w:val="ro-RO"/>
              </w:rPr>
              <w:t>Ministerul Finanțelor</w:t>
            </w:r>
            <w:r w:rsidRPr="00A578DC">
              <w:rPr>
                <w:lang w:val="ro-RO"/>
              </w:rPr>
              <w:t xml:space="preserve"> </w:t>
            </w:r>
            <w:r w:rsidRPr="00A578DC">
              <w:rPr>
                <w:b/>
                <w:lang w:val="ro-RO"/>
              </w:rPr>
              <w:t xml:space="preserve">a prezentat avizul prin scrisoarea nr. </w:t>
            </w:r>
            <w:r w:rsidR="00931805" w:rsidRPr="00A578DC">
              <w:rPr>
                <w:b/>
                <w:lang w:val="ro-RO"/>
              </w:rPr>
              <w:t>09</w:t>
            </w:r>
            <w:r w:rsidRPr="00A578DC">
              <w:rPr>
                <w:b/>
                <w:lang w:val="ro-RO"/>
              </w:rPr>
              <w:t>/</w:t>
            </w:r>
            <w:r w:rsidR="00931805" w:rsidRPr="00A578DC">
              <w:rPr>
                <w:b/>
                <w:lang w:val="ro-RO"/>
              </w:rPr>
              <w:t>3</w:t>
            </w:r>
            <w:r w:rsidRPr="00A578DC">
              <w:rPr>
                <w:b/>
                <w:lang w:val="ro-RO"/>
              </w:rPr>
              <w:t>-06/</w:t>
            </w:r>
            <w:r w:rsidR="00931805" w:rsidRPr="00A578DC">
              <w:rPr>
                <w:b/>
                <w:lang w:val="ro-RO"/>
              </w:rPr>
              <w:t>134</w:t>
            </w:r>
            <w:r w:rsidRPr="00A578DC">
              <w:rPr>
                <w:b/>
                <w:lang w:val="ro-RO"/>
              </w:rPr>
              <w:t xml:space="preserve"> din </w:t>
            </w:r>
            <w:r w:rsidR="00931805" w:rsidRPr="00A578DC">
              <w:rPr>
                <w:b/>
                <w:lang w:val="ro-RO"/>
              </w:rPr>
              <w:t>19</w:t>
            </w:r>
            <w:r w:rsidRPr="00A578DC">
              <w:rPr>
                <w:b/>
                <w:lang w:val="ro-RO"/>
              </w:rPr>
              <w:t>.0</w:t>
            </w:r>
            <w:r w:rsidR="00931805" w:rsidRPr="00A578DC">
              <w:rPr>
                <w:b/>
                <w:lang w:val="ro-RO"/>
              </w:rPr>
              <w:t>4.2018</w:t>
            </w:r>
          </w:p>
        </w:tc>
      </w:tr>
      <w:tr w:rsidR="00120C2F" w:rsidRPr="00A578DC" w:rsidTr="00C82612">
        <w:tc>
          <w:tcPr>
            <w:tcW w:w="840" w:type="dxa"/>
          </w:tcPr>
          <w:p w:rsidR="00120C2F" w:rsidRPr="00A578DC" w:rsidRDefault="00120C2F" w:rsidP="00A578DC">
            <w:pPr>
              <w:spacing w:line="276" w:lineRule="auto"/>
              <w:jc w:val="center"/>
              <w:rPr>
                <w:lang w:val="ro-RO"/>
              </w:rPr>
            </w:pPr>
            <w:r w:rsidRPr="00A578DC">
              <w:rPr>
                <w:lang w:val="ro-RO"/>
              </w:rPr>
              <w:t>1.</w:t>
            </w:r>
          </w:p>
        </w:tc>
        <w:tc>
          <w:tcPr>
            <w:tcW w:w="9225" w:type="dxa"/>
          </w:tcPr>
          <w:p w:rsidR="00931805" w:rsidRPr="00A578DC" w:rsidRDefault="00931805" w:rsidP="00A578DC">
            <w:pPr>
              <w:pStyle w:val="a0"/>
              <w:shd w:val="clear" w:color="auto" w:fill="auto"/>
              <w:spacing w:before="0" w:line="276" w:lineRule="auto"/>
              <w:ind w:firstLine="700"/>
              <w:rPr>
                <w:sz w:val="24"/>
                <w:szCs w:val="24"/>
                <w:lang w:val="en-US"/>
              </w:rPr>
            </w:pP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Ministerul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Finanţelor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gram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</w:t>
            </w:r>
            <w:proofErr w:type="gram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examinat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proiectul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Hotărîrii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Guvernului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modificarea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completarea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Hotărîrii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Guvern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nr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. 1116 din 22.08.2002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în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limitele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competenţei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sale,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comunică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lipsa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obiecţii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propuneri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.</w:t>
            </w:r>
          </w:p>
          <w:p w:rsidR="00120C2F" w:rsidRPr="00A578DC" w:rsidRDefault="00931805" w:rsidP="00A578DC">
            <w:pPr>
              <w:pStyle w:val="a0"/>
              <w:shd w:val="clear" w:color="auto" w:fill="auto"/>
              <w:spacing w:before="0" w:line="276" w:lineRule="auto"/>
              <w:ind w:firstLine="700"/>
              <w:rPr>
                <w:sz w:val="24"/>
                <w:szCs w:val="24"/>
                <w:lang w:val="en-US"/>
              </w:rPr>
            </w:pP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Totodată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potrivit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art.6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art.7 din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Legea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nr.317-XV din 18.07.2003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privind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actele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normative ale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Guvernului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ale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altor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autorităţi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ale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administraţiei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publice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centrale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locale, la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elaborarea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proiectelor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acte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normative ale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Guvernului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urmează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ţine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cont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normele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tehnică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legislativă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definesc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părţile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constitutive ale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actului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normativ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structura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forma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modul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sistematizare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conţinutului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acestuia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procedeele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tehnice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privind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modificarea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completarea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abrogarea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precum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limbajul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stilul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actului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normativ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.</w:t>
            </w:r>
          </w:p>
        </w:tc>
        <w:tc>
          <w:tcPr>
            <w:tcW w:w="4217" w:type="dxa"/>
          </w:tcPr>
          <w:p w:rsidR="00931805" w:rsidRPr="00A578DC" w:rsidRDefault="00931805" w:rsidP="00A578DC">
            <w:pPr>
              <w:spacing w:line="276" w:lineRule="auto"/>
              <w:jc w:val="both"/>
              <w:rPr>
                <w:lang w:val="ro-RO"/>
              </w:rPr>
            </w:pPr>
          </w:p>
          <w:p w:rsidR="00931805" w:rsidRPr="00A578DC" w:rsidRDefault="00931805" w:rsidP="00A578DC">
            <w:pPr>
              <w:spacing w:line="276" w:lineRule="auto"/>
              <w:jc w:val="both"/>
              <w:rPr>
                <w:lang w:val="ro-RO"/>
              </w:rPr>
            </w:pPr>
          </w:p>
          <w:p w:rsidR="00931805" w:rsidRPr="00A578DC" w:rsidRDefault="00931805" w:rsidP="00A578DC">
            <w:pPr>
              <w:spacing w:line="276" w:lineRule="auto"/>
              <w:jc w:val="both"/>
              <w:rPr>
                <w:lang w:val="ro-RO"/>
              </w:rPr>
            </w:pPr>
          </w:p>
          <w:p w:rsidR="00931805" w:rsidRPr="00A578DC" w:rsidRDefault="00931805" w:rsidP="00A578DC">
            <w:pPr>
              <w:spacing w:line="276" w:lineRule="auto"/>
              <w:jc w:val="both"/>
              <w:rPr>
                <w:lang w:val="ro-RO"/>
              </w:rPr>
            </w:pPr>
          </w:p>
          <w:p w:rsidR="00120C2F" w:rsidRPr="00A578DC" w:rsidRDefault="00120C2F" w:rsidP="00A578DC">
            <w:pPr>
              <w:spacing w:line="276" w:lineRule="auto"/>
              <w:jc w:val="both"/>
              <w:rPr>
                <w:lang w:val="ro-RO"/>
              </w:rPr>
            </w:pPr>
            <w:r w:rsidRPr="00A578DC">
              <w:rPr>
                <w:lang w:val="ro-RO"/>
              </w:rPr>
              <w:t xml:space="preserve">Se acceptă. </w:t>
            </w:r>
          </w:p>
        </w:tc>
      </w:tr>
      <w:tr w:rsidR="00120C2F" w:rsidRPr="00195C28" w:rsidTr="00C82612">
        <w:trPr>
          <w:trHeight w:val="654"/>
        </w:trPr>
        <w:tc>
          <w:tcPr>
            <w:tcW w:w="14282" w:type="dxa"/>
            <w:gridSpan w:val="3"/>
            <w:vAlign w:val="center"/>
          </w:tcPr>
          <w:p w:rsidR="00120C2F" w:rsidRPr="00A578DC" w:rsidRDefault="00195C28" w:rsidP="00A578DC">
            <w:pPr>
              <w:pStyle w:val="ListParagraph"/>
              <w:spacing w:line="276" w:lineRule="auto"/>
              <w:ind w:right="-1"/>
              <w:rPr>
                <w:b/>
                <w:lang w:val="ro-RO"/>
              </w:rPr>
            </w:pPr>
            <w:r>
              <w:fldChar w:fldCharType="begin"/>
            </w:r>
            <w:r w:rsidRPr="00195C28">
              <w:rPr>
                <w:lang w:val="en-US"/>
              </w:rPr>
              <w:instrText xml:space="preserve"> HYPERLINK "http://www.madrm.gov.md/ro" \o "Home" </w:instrText>
            </w:r>
            <w:r>
              <w:fldChar w:fldCharType="separate"/>
            </w:r>
            <w:proofErr w:type="spellStart"/>
            <w:r w:rsidR="00931805" w:rsidRPr="00A578DC">
              <w:rPr>
                <w:rStyle w:val="Hyperlink"/>
                <w:b/>
                <w:color w:val="auto"/>
                <w:spacing w:val="-11"/>
                <w:u w:val="none"/>
                <w:bdr w:val="none" w:sz="0" w:space="0" w:color="auto" w:frame="1"/>
                <w:shd w:val="clear" w:color="auto" w:fill="FFFFFF"/>
                <w:lang w:val="en-US"/>
              </w:rPr>
              <w:t>Ministerul</w:t>
            </w:r>
            <w:proofErr w:type="spellEnd"/>
            <w:r w:rsidR="00931805" w:rsidRPr="00A578DC">
              <w:rPr>
                <w:rStyle w:val="Hyperlink"/>
                <w:b/>
                <w:color w:val="auto"/>
                <w:spacing w:val="-11"/>
                <w:u w:val="none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="00931805" w:rsidRPr="00A578DC">
              <w:rPr>
                <w:rStyle w:val="Hyperlink"/>
                <w:b/>
                <w:color w:val="auto"/>
                <w:spacing w:val="-11"/>
                <w:u w:val="none"/>
                <w:bdr w:val="none" w:sz="0" w:space="0" w:color="auto" w:frame="1"/>
                <w:shd w:val="clear" w:color="auto" w:fill="FFFFFF"/>
                <w:lang w:val="en-US"/>
              </w:rPr>
              <w:t>Agriculturii</w:t>
            </w:r>
            <w:proofErr w:type="spellEnd"/>
            <w:r w:rsidR="00931805" w:rsidRPr="00A578DC">
              <w:rPr>
                <w:rStyle w:val="Hyperlink"/>
                <w:b/>
                <w:color w:val="auto"/>
                <w:spacing w:val="-11"/>
                <w:u w:val="none"/>
                <w:bdr w:val="none" w:sz="0" w:space="0" w:color="auto" w:frame="1"/>
                <w:shd w:val="clear" w:color="auto" w:fill="FFFFFF"/>
                <w:lang w:val="en-US"/>
              </w:rPr>
              <w:t xml:space="preserve">, </w:t>
            </w:r>
            <w:proofErr w:type="spellStart"/>
            <w:r w:rsidR="00931805" w:rsidRPr="00A578DC">
              <w:rPr>
                <w:rStyle w:val="Hyperlink"/>
                <w:b/>
                <w:color w:val="auto"/>
                <w:spacing w:val="-11"/>
                <w:u w:val="none"/>
                <w:bdr w:val="none" w:sz="0" w:space="0" w:color="auto" w:frame="1"/>
                <w:shd w:val="clear" w:color="auto" w:fill="FFFFFF"/>
                <w:lang w:val="en-US"/>
              </w:rPr>
              <w:t>Dezvoltării</w:t>
            </w:r>
            <w:proofErr w:type="spellEnd"/>
            <w:r w:rsidR="00931805" w:rsidRPr="00A578DC">
              <w:rPr>
                <w:rStyle w:val="Hyperlink"/>
                <w:b/>
                <w:color w:val="auto"/>
                <w:spacing w:val="-11"/>
                <w:u w:val="none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="00931805" w:rsidRPr="00A578DC">
              <w:rPr>
                <w:rStyle w:val="Hyperlink"/>
                <w:b/>
                <w:color w:val="auto"/>
                <w:spacing w:val="-11"/>
                <w:u w:val="none"/>
                <w:bdr w:val="none" w:sz="0" w:space="0" w:color="auto" w:frame="1"/>
                <w:shd w:val="clear" w:color="auto" w:fill="FFFFFF"/>
                <w:lang w:val="en-US"/>
              </w:rPr>
              <w:t>Regionale</w:t>
            </w:r>
            <w:proofErr w:type="spellEnd"/>
            <w:r w:rsidR="00931805" w:rsidRPr="00A578DC">
              <w:rPr>
                <w:rStyle w:val="Hyperlink"/>
                <w:b/>
                <w:color w:val="auto"/>
                <w:spacing w:val="-11"/>
                <w:u w:val="none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="00931805" w:rsidRPr="00A578DC">
              <w:rPr>
                <w:rStyle w:val="Hyperlink"/>
                <w:b/>
                <w:color w:val="auto"/>
                <w:spacing w:val="-11"/>
                <w:u w:val="none"/>
                <w:bdr w:val="none" w:sz="0" w:space="0" w:color="auto" w:frame="1"/>
                <w:shd w:val="clear" w:color="auto" w:fill="FFFFFF"/>
                <w:lang w:val="en-US"/>
              </w:rPr>
              <w:t>și</w:t>
            </w:r>
            <w:proofErr w:type="spellEnd"/>
            <w:r w:rsidR="00931805" w:rsidRPr="00A578DC">
              <w:rPr>
                <w:rStyle w:val="Hyperlink"/>
                <w:b/>
                <w:color w:val="auto"/>
                <w:spacing w:val="-11"/>
                <w:u w:val="none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="00931805" w:rsidRPr="00A578DC">
              <w:rPr>
                <w:rStyle w:val="Hyperlink"/>
                <w:b/>
                <w:color w:val="auto"/>
                <w:spacing w:val="-11"/>
                <w:u w:val="none"/>
                <w:bdr w:val="none" w:sz="0" w:space="0" w:color="auto" w:frame="1"/>
                <w:shd w:val="clear" w:color="auto" w:fill="FFFFFF"/>
                <w:lang w:val="en-US"/>
              </w:rPr>
              <w:t>Mediului</w:t>
            </w:r>
            <w:proofErr w:type="spellEnd"/>
            <w:r>
              <w:rPr>
                <w:rStyle w:val="Hyperlink"/>
                <w:b/>
                <w:color w:val="auto"/>
                <w:spacing w:val="-11"/>
                <w:u w:val="none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  <w:r w:rsidR="00120C2F" w:rsidRPr="00A578DC">
              <w:rPr>
                <w:b/>
                <w:lang w:val="ro-RO"/>
              </w:rPr>
              <w:t xml:space="preserve"> a prezentat avizul prin scrisoarea nr. </w:t>
            </w:r>
            <w:r w:rsidR="00931805" w:rsidRPr="00A578DC">
              <w:rPr>
                <w:b/>
                <w:lang w:val="ro-RO"/>
              </w:rPr>
              <w:t>01/01-2029</w:t>
            </w:r>
            <w:r w:rsidR="00120C2F" w:rsidRPr="00A578DC">
              <w:rPr>
                <w:b/>
                <w:lang w:val="ro-RO"/>
              </w:rPr>
              <w:t xml:space="preserve"> din </w:t>
            </w:r>
            <w:r w:rsidR="00931805" w:rsidRPr="00A578DC">
              <w:rPr>
                <w:b/>
                <w:lang w:val="ro-RO"/>
              </w:rPr>
              <w:t>21.04.2018</w:t>
            </w:r>
          </w:p>
        </w:tc>
      </w:tr>
      <w:tr w:rsidR="00120C2F" w:rsidRPr="00A578DC" w:rsidTr="00C82612">
        <w:tc>
          <w:tcPr>
            <w:tcW w:w="840" w:type="dxa"/>
          </w:tcPr>
          <w:p w:rsidR="00120C2F" w:rsidRPr="00A578DC" w:rsidRDefault="00120C2F" w:rsidP="00A578DC">
            <w:pPr>
              <w:spacing w:line="276" w:lineRule="auto"/>
              <w:jc w:val="center"/>
              <w:rPr>
                <w:lang w:val="ro-RO"/>
              </w:rPr>
            </w:pPr>
            <w:r w:rsidRPr="00A578DC">
              <w:rPr>
                <w:lang w:val="ro-RO"/>
              </w:rPr>
              <w:t>1.</w:t>
            </w:r>
          </w:p>
        </w:tc>
        <w:tc>
          <w:tcPr>
            <w:tcW w:w="9225" w:type="dxa"/>
            <w:vAlign w:val="center"/>
          </w:tcPr>
          <w:p w:rsidR="00120C2F" w:rsidRPr="00A578DC" w:rsidRDefault="00931805" w:rsidP="00A578DC">
            <w:pPr>
              <w:pStyle w:val="FR2"/>
              <w:tabs>
                <w:tab w:val="left" w:pos="567"/>
                <w:tab w:val="left" w:pos="6379"/>
                <w:tab w:val="left" w:pos="9555"/>
              </w:tabs>
              <w:spacing w:before="0" w:line="276" w:lineRule="auto"/>
              <w:ind w:left="0" w:firstLine="612"/>
              <w:jc w:val="both"/>
              <w:rPr>
                <w:rFonts w:ascii="Times New Roman" w:hAnsi="Times New Roman"/>
                <w:bCs/>
                <w:szCs w:val="24"/>
              </w:rPr>
            </w:pPr>
            <w:r w:rsidRPr="00A578DC">
              <w:rPr>
                <w:rStyle w:val="a"/>
                <w:color w:val="000000"/>
                <w:sz w:val="24"/>
                <w:szCs w:val="24"/>
                <w:lang w:eastAsia="ro-RO"/>
              </w:rPr>
              <w:t xml:space="preserve">Ministerul Agriculturii, Dezvoltării Regionale şi Mediului a examinat proiectul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eastAsia="ro-RO"/>
              </w:rPr>
              <w:t>Hotărîrii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eastAsia="ro-RO"/>
              </w:rPr>
              <w:t xml:space="preserve"> Guvernului pentru modificarea şi completarea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eastAsia="ro-RO"/>
              </w:rPr>
              <w:t>Hotărîrii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eastAsia="ro-RO"/>
              </w:rPr>
              <w:t xml:space="preserve"> de Guvern nr. 1116 din 22.08.2002 şi, comunică lipsa de obiecţii şi propuneri.</w:t>
            </w:r>
          </w:p>
        </w:tc>
        <w:tc>
          <w:tcPr>
            <w:tcW w:w="4217" w:type="dxa"/>
            <w:vAlign w:val="center"/>
          </w:tcPr>
          <w:p w:rsidR="00120C2F" w:rsidRPr="00A578DC" w:rsidRDefault="00120C2F" w:rsidP="00A578DC">
            <w:pPr>
              <w:spacing w:line="276" w:lineRule="auto"/>
              <w:rPr>
                <w:lang w:val="ro-RO"/>
              </w:rPr>
            </w:pPr>
            <w:r w:rsidRPr="00A578DC">
              <w:rPr>
                <w:lang w:val="ro-RO"/>
              </w:rPr>
              <w:t>Se acceptă.</w:t>
            </w:r>
          </w:p>
          <w:p w:rsidR="00120C2F" w:rsidRPr="00A578DC" w:rsidRDefault="00120C2F" w:rsidP="00A578DC">
            <w:pPr>
              <w:spacing w:line="276" w:lineRule="auto"/>
              <w:jc w:val="center"/>
              <w:rPr>
                <w:b/>
                <w:lang w:val="ro-RO"/>
              </w:rPr>
            </w:pPr>
            <w:r w:rsidRPr="00A578DC">
              <w:rPr>
                <w:b/>
                <w:lang w:val="ro-RO"/>
              </w:rPr>
              <w:t xml:space="preserve"> </w:t>
            </w:r>
          </w:p>
        </w:tc>
      </w:tr>
      <w:tr w:rsidR="00120C2F" w:rsidRPr="00195C28" w:rsidTr="00C82612">
        <w:trPr>
          <w:trHeight w:val="725"/>
        </w:trPr>
        <w:tc>
          <w:tcPr>
            <w:tcW w:w="14282" w:type="dxa"/>
            <w:gridSpan w:val="3"/>
            <w:vAlign w:val="center"/>
          </w:tcPr>
          <w:p w:rsidR="00120C2F" w:rsidRPr="00A578DC" w:rsidRDefault="00120C2F" w:rsidP="00A578DC">
            <w:pPr>
              <w:spacing w:line="276" w:lineRule="auto"/>
              <w:jc w:val="center"/>
              <w:rPr>
                <w:b/>
                <w:lang w:val="ro-RO"/>
              </w:rPr>
            </w:pPr>
            <w:r w:rsidRPr="00A578DC">
              <w:rPr>
                <w:b/>
                <w:lang w:val="ro-RO"/>
              </w:rPr>
              <w:t xml:space="preserve">Ministerul </w:t>
            </w:r>
            <w:r w:rsidR="00931805" w:rsidRPr="00A578DC">
              <w:rPr>
                <w:b/>
                <w:lang w:val="ro-RO"/>
              </w:rPr>
              <w:t>Afacerilor Interne</w:t>
            </w:r>
            <w:r w:rsidRPr="00A578DC">
              <w:rPr>
                <w:b/>
                <w:lang w:val="ro-RO"/>
              </w:rPr>
              <w:t xml:space="preserve"> a prezentat avizul prin scrisoarea nr. </w:t>
            </w:r>
            <w:r w:rsidR="00931805" w:rsidRPr="00A578DC">
              <w:rPr>
                <w:b/>
                <w:lang w:val="ro-RO"/>
              </w:rPr>
              <w:t>IAI/3-4395</w:t>
            </w:r>
            <w:r w:rsidRPr="00A578DC">
              <w:rPr>
                <w:b/>
                <w:lang w:val="ro-RO"/>
              </w:rPr>
              <w:t xml:space="preserve"> din </w:t>
            </w:r>
            <w:r w:rsidR="00931805" w:rsidRPr="00A578DC">
              <w:rPr>
                <w:b/>
                <w:lang w:val="ro-RO"/>
              </w:rPr>
              <w:t>24.04.2018</w:t>
            </w:r>
          </w:p>
        </w:tc>
      </w:tr>
      <w:tr w:rsidR="00120C2F" w:rsidRPr="00A578DC" w:rsidTr="00C82612">
        <w:tc>
          <w:tcPr>
            <w:tcW w:w="840" w:type="dxa"/>
          </w:tcPr>
          <w:p w:rsidR="00120C2F" w:rsidRPr="00A578DC" w:rsidRDefault="00120C2F" w:rsidP="00A578DC">
            <w:pPr>
              <w:spacing w:line="276" w:lineRule="auto"/>
              <w:jc w:val="center"/>
              <w:rPr>
                <w:lang w:val="ro-RO"/>
              </w:rPr>
            </w:pPr>
            <w:r w:rsidRPr="00A578DC">
              <w:rPr>
                <w:lang w:val="ro-RO"/>
              </w:rPr>
              <w:t>1.</w:t>
            </w:r>
          </w:p>
        </w:tc>
        <w:tc>
          <w:tcPr>
            <w:tcW w:w="9225" w:type="dxa"/>
            <w:vAlign w:val="center"/>
          </w:tcPr>
          <w:p w:rsidR="00931805" w:rsidRPr="00A578DC" w:rsidRDefault="00931805" w:rsidP="00482522">
            <w:pPr>
              <w:pStyle w:val="a0"/>
              <w:shd w:val="clear" w:color="auto" w:fill="auto"/>
              <w:spacing w:before="0" w:line="276" w:lineRule="auto"/>
              <w:ind w:right="260" w:firstLine="612"/>
              <w:rPr>
                <w:sz w:val="24"/>
                <w:szCs w:val="24"/>
                <w:lang w:val="en-US"/>
              </w:rPr>
            </w:pP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Inspectoratul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General al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Poliţiei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al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Ministerului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Afacerilor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Interne </w:t>
            </w:r>
            <w:proofErr w:type="gram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</w:t>
            </w:r>
            <w:proofErr w:type="gram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examinat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proiectului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Hotărârii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Guvern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modificarea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complectarea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Hotărârii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Guvern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nr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. 1116 din 22 august 2002.</w:t>
            </w:r>
          </w:p>
          <w:p w:rsidR="00120C2F" w:rsidRDefault="00931805" w:rsidP="00A578DC">
            <w:pPr>
              <w:spacing w:line="276" w:lineRule="auto"/>
              <w:jc w:val="both"/>
              <w:rPr>
                <w:rStyle w:val="a"/>
                <w:color w:val="000000"/>
                <w:sz w:val="24"/>
                <w:szCs w:val="24"/>
                <w:lang w:val="en-US" w:eastAsia="ro-RO"/>
              </w:rPr>
            </w:pP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Astfel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Inspectoratul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General al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Poliţiei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avizează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pozitiv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proiectul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nominalizat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consideră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acesta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este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unul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viabil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progresiv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.</w:t>
            </w:r>
          </w:p>
          <w:p w:rsidR="00A578DC" w:rsidRPr="00A578DC" w:rsidRDefault="00A578DC" w:rsidP="00A578DC">
            <w:pPr>
              <w:spacing w:line="276" w:lineRule="auto"/>
              <w:jc w:val="both"/>
              <w:rPr>
                <w:bCs/>
                <w:lang w:val="en-US"/>
              </w:rPr>
            </w:pPr>
          </w:p>
        </w:tc>
        <w:tc>
          <w:tcPr>
            <w:tcW w:w="4217" w:type="dxa"/>
            <w:vAlign w:val="center"/>
          </w:tcPr>
          <w:p w:rsidR="00931805" w:rsidRPr="00A578DC" w:rsidRDefault="00931805" w:rsidP="00A578DC">
            <w:pPr>
              <w:spacing w:line="276" w:lineRule="auto"/>
              <w:jc w:val="both"/>
              <w:rPr>
                <w:lang w:val="ro-RO"/>
              </w:rPr>
            </w:pPr>
          </w:p>
          <w:p w:rsidR="00120C2F" w:rsidRPr="00A578DC" w:rsidRDefault="00120C2F" w:rsidP="00A578DC">
            <w:pPr>
              <w:spacing w:line="276" w:lineRule="auto"/>
              <w:jc w:val="both"/>
              <w:rPr>
                <w:lang w:val="ro-RO"/>
              </w:rPr>
            </w:pPr>
            <w:r w:rsidRPr="00A578DC">
              <w:rPr>
                <w:lang w:val="ro-RO"/>
              </w:rPr>
              <w:t xml:space="preserve">Se acceptă. </w:t>
            </w:r>
          </w:p>
        </w:tc>
      </w:tr>
      <w:tr w:rsidR="00120C2F" w:rsidRPr="00195C28" w:rsidTr="00C82612">
        <w:trPr>
          <w:trHeight w:val="669"/>
        </w:trPr>
        <w:tc>
          <w:tcPr>
            <w:tcW w:w="14282" w:type="dxa"/>
            <w:gridSpan w:val="3"/>
            <w:vAlign w:val="center"/>
          </w:tcPr>
          <w:p w:rsidR="00120C2F" w:rsidRPr="00A578DC" w:rsidRDefault="00931805" w:rsidP="00A578DC">
            <w:pPr>
              <w:spacing w:line="276" w:lineRule="auto"/>
              <w:jc w:val="center"/>
              <w:rPr>
                <w:b/>
                <w:lang w:val="ro-RO"/>
              </w:rPr>
            </w:pPr>
            <w:r w:rsidRPr="00A578DC">
              <w:rPr>
                <w:b/>
                <w:lang w:val="ro-RO"/>
              </w:rPr>
              <w:lastRenderedPageBreak/>
              <w:t>Agenția Națională pentru Reglementare în Energetică a prezentat avizul prin scrisoarea nr. 03/475 din 12.04.2018</w:t>
            </w:r>
          </w:p>
        </w:tc>
      </w:tr>
      <w:tr w:rsidR="00120C2F" w:rsidRPr="00A578DC" w:rsidTr="00C82612">
        <w:tc>
          <w:tcPr>
            <w:tcW w:w="840" w:type="dxa"/>
          </w:tcPr>
          <w:p w:rsidR="00120C2F" w:rsidRPr="00A578DC" w:rsidRDefault="00120C2F" w:rsidP="00A578DC">
            <w:pPr>
              <w:spacing w:line="276" w:lineRule="auto"/>
              <w:jc w:val="center"/>
              <w:rPr>
                <w:lang w:val="ro-RO"/>
              </w:rPr>
            </w:pPr>
            <w:r w:rsidRPr="00A578DC">
              <w:rPr>
                <w:lang w:val="ro-RO"/>
              </w:rPr>
              <w:t>1.</w:t>
            </w:r>
          </w:p>
        </w:tc>
        <w:tc>
          <w:tcPr>
            <w:tcW w:w="9225" w:type="dxa"/>
            <w:vAlign w:val="center"/>
          </w:tcPr>
          <w:p w:rsidR="00931805" w:rsidRPr="00A578DC" w:rsidRDefault="00931805" w:rsidP="00A578DC">
            <w:pPr>
              <w:pStyle w:val="161"/>
              <w:shd w:val="clear" w:color="auto" w:fill="auto"/>
              <w:spacing w:after="0" w:line="276" w:lineRule="auto"/>
              <w:ind w:left="20" w:right="20" w:firstLine="70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Agenţia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Naţională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Reglementare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în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Energetică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comunică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că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în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conformitate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cerinţele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art. 39</w:t>
            </w:r>
            <w:r w:rsid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,</w:t>
            </w:r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alin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. (1) </w:t>
            </w:r>
            <w:proofErr w:type="gram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din</w:t>
            </w:r>
            <w:proofErr w:type="gram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Legea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nr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. 317 din 18.07.2003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privind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actele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normative ale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Guvernului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ale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altor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autorităţi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ale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administraţiei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publice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centrale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locale, </w:t>
            </w:r>
            <w:proofErr w:type="gram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a</w:t>
            </w:r>
            <w:proofErr w:type="gram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examinat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0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proiectul</w:t>
            </w:r>
            <w:proofErr w:type="spellEnd"/>
            <w:r w:rsidRPr="00A578DC">
              <w:rPr>
                <w:rStyle w:val="160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0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Hotărîrii</w:t>
            </w:r>
            <w:proofErr w:type="spellEnd"/>
            <w:r w:rsidRPr="00A578DC">
              <w:rPr>
                <w:rStyle w:val="160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0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Guvernului</w:t>
            </w:r>
            <w:proofErr w:type="spellEnd"/>
            <w:r w:rsidRPr="00A578DC">
              <w:rPr>
                <w:rStyle w:val="160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0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A578DC">
              <w:rPr>
                <w:rStyle w:val="160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0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modificarea</w:t>
            </w:r>
            <w:proofErr w:type="spellEnd"/>
            <w:r w:rsidRPr="00A578DC">
              <w:rPr>
                <w:rStyle w:val="160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0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160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0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completarea</w:t>
            </w:r>
            <w:proofErr w:type="spellEnd"/>
            <w:r w:rsidRPr="00A578DC">
              <w:rPr>
                <w:rStyle w:val="160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0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Hotărîrii</w:t>
            </w:r>
            <w:proofErr w:type="spellEnd"/>
            <w:r w:rsidRPr="00A578DC">
              <w:rPr>
                <w:rStyle w:val="160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0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Guvernului</w:t>
            </w:r>
            <w:proofErr w:type="spellEnd"/>
            <w:r w:rsidRPr="00A578DC">
              <w:rPr>
                <w:rStyle w:val="160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0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nr</w:t>
            </w:r>
            <w:proofErr w:type="spellEnd"/>
            <w:r w:rsidRPr="00A578DC">
              <w:rPr>
                <w:rStyle w:val="160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. 1116 din 22 august 2Q02.</w:t>
            </w:r>
          </w:p>
          <w:p w:rsidR="00120C2F" w:rsidRPr="00A578DC" w:rsidRDefault="00931805" w:rsidP="00A578DC">
            <w:pPr>
              <w:pStyle w:val="161"/>
              <w:shd w:val="clear" w:color="auto" w:fill="auto"/>
              <w:spacing w:after="0" w:line="276" w:lineRule="auto"/>
              <w:ind w:left="20" w:firstLine="70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Reieşind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din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competenţa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funcţională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Agenţia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informează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despre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lipsa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obiecţiilor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sau</w:t>
            </w:r>
            <w:proofErr w:type="spellEnd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propunerilor</w:t>
            </w:r>
            <w:proofErr w:type="spellEnd"/>
            <w:r w:rsidR="00A578DC"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A578DC"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asupra</w:t>
            </w:r>
            <w:proofErr w:type="spellEnd"/>
            <w:r w:rsidR="00A578DC"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A578DC"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proiectului</w:t>
            </w:r>
            <w:proofErr w:type="spellEnd"/>
            <w:r w:rsidR="00A578DC"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A578DC"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menţionat</w:t>
            </w:r>
            <w:proofErr w:type="spellEnd"/>
            <w:r w:rsidR="00A578DC" w:rsidRPr="00A578DC">
              <w:rPr>
                <w:rStyle w:val="16"/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.</w:t>
            </w:r>
          </w:p>
        </w:tc>
        <w:tc>
          <w:tcPr>
            <w:tcW w:w="4217" w:type="dxa"/>
            <w:vAlign w:val="center"/>
          </w:tcPr>
          <w:p w:rsidR="00A578DC" w:rsidRDefault="00A578DC" w:rsidP="00A578DC">
            <w:pPr>
              <w:spacing w:line="276" w:lineRule="auto"/>
              <w:rPr>
                <w:lang w:val="ro-RO"/>
              </w:rPr>
            </w:pPr>
          </w:p>
          <w:p w:rsidR="00A578DC" w:rsidRDefault="00A578DC" w:rsidP="00A578DC">
            <w:pPr>
              <w:spacing w:line="276" w:lineRule="auto"/>
              <w:rPr>
                <w:lang w:val="ro-RO"/>
              </w:rPr>
            </w:pPr>
          </w:p>
          <w:p w:rsidR="00A578DC" w:rsidRDefault="00A578DC" w:rsidP="00A578DC">
            <w:pPr>
              <w:spacing w:line="276" w:lineRule="auto"/>
              <w:rPr>
                <w:lang w:val="ro-RO"/>
              </w:rPr>
            </w:pPr>
          </w:p>
          <w:p w:rsidR="00A578DC" w:rsidRDefault="00A578DC" w:rsidP="00A578DC">
            <w:pPr>
              <w:spacing w:line="276" w:lineRule="auto"/>
              <w:rPr>
                <w:lang w:val="ro-RO"/>
              </w:rPr>
            </w:pPr>
          </w:p>
          <w:p w:rsidR="00120C2F" w:rsidRPr="00A578DC" w:rsidRDefault="00120C2F" w:rsidP="00A578DC">
            <w:pPr>
              <w:spacing w:line="276" w:lineRule="auto"/>
              <w:rPr>
                <w:b/>
                <w:lang w:val="ro-RO"/>
              </w:rPr>
            </w:pPr>
            <w:r w:rsidRPr="00A578DC">
              <w:rPr>
                <w:lang w:val="ro-RO"/>
              </w:rPr>
              <w:t xml:space="preserve">Se acceptă. </w:t>
            </w:r>
          </w:p>
        </w:tc>
      </w:tr>
      <w:tr w:rsidR="00120C2F" w:rsidRPr="00195C28" w:rsidTr="00C82612">
        <w:trPr>
          <w:trHeight w:val="693"/>
        </w:trPr>
        <w:tc>
          <w:tcPr>
            <w:tcW w:w="14282" w:type="dxa"/>
            <w:gridSpan w:val="3"/>
            <w:vAlign w:val="center"/>
          </w:tcPr>
          <w:p w:rsidR="00120C2F" w:rsidRPr="00A578DC" w:rsidRDefault="00931805" w:rsidP="00A578DC">
            <w:pPr>
              <w:spacing w:line="276" w:lineRule="auto"/>
              <w:jc w:val="center"/>
              <w:rPr>
                <w:lang w:val="ro-RO"/>
              </w:rPr>
            </w:pPr>
            <w:r w:rsidRPr="00A578DC">
              <w:rPr>
                <w:b/>
                <w:lang w:val="ro-RO"/>
              </w:rPr>
              <w:t>Agenţia pentru Supraveghere Tehnică</w:t>
            </w:r>
            <w:r w:rsidR="00120C2F" w:rsidRPr="00A578DC">
              <w:rPr>
                <w:b/>
                <w:lang w:val="ro-RO"/>
              </w:rPr>
              <w:t xml:space="preserve"> a prezentat avizul prin scrisoarea nr. </w:t>
            </w:r>
            <w:r w:rsidRPr="00A578DC">
              <w:rPr>
                <w:b/>
                <w:lang w:val="ro-RO"/>
              </w:rPr>
              <w:t>106</w:t>
            </w:r>
            <w:r w:rsidR="00120C2F" w:rsidRPr="00A578DC">
              <w:rPr>
                <w:b/>
                <w:lang w:val="ro-RO"/>
              </w:rPr>
              <w:t xml:space="preserve"> din </w:t>
            </w:r>
            <w:r w:rsidRPr="00A578DC">
              <w:rPr>
                <w:b/>
                <w:lang w:val="ro-RO"/>
              </w:rPr>
              <w:t>25.04.2018</w:t>
            </w:r>
          </w:p>
        </w:tc>
      </w:tr>
      <w:tr w:rsidR="00120C2F" w:rsidRPr="00195C28" w:rsidTr="00C82612">
        <w:trPr>
          <w:trHeight w:val="980"/>
        </w:trPr>
        <w:tc>
          <w:tcPr>
            <w:tcW w:w="840" w:type="dxa"/>
          </w:tcPr>
          <w:p w:rsidR="00120C2F" w:rsidRPr="00A578DC" w:rsidRDefault="00120C2F" w:rsidP="00A578DC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9225" w:type="dxa"/>
            <w:vAlign w:val="center"/>
          </w:tcPr>
          <w:p w:rsidR="00A578DC" w:rsidRPr="00A578DC" w:rsidRDefault="00A578DC" w:rsidP="00A578DC">
            <w:pPr>
              <w:pStyle w:val="a0"/>
              <w:shd w:val="clear" w:color="auto" w:fill="auto"/>
              <w:spacing w:before="0" w:line="276" w:lineRule="auto"/>
              <w:ind w:right="20" w:firstLine="680"/>
              <w:rPr>
                <w:sz w:val="24"/>
                <w:szCs w:val="24"/>
                <w:lang w:val="en-US"/>
              </w:rPr>
            </w:pP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Agenţia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Supraveghere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Tehnică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examinat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proiectul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Hotărîrii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Guvern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modificarea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completarea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Hotărîrii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Guvern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nr.1116 din 22 august 2002 ’’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despre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aprobarea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Regulamentului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privire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la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depozitarea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comercializarea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ridicata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prin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sistem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automatizat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a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produselor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petroliere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identificate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”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propune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ca pct.2, lit. g) a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proiectului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Hotărîrii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Guvern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să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fie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expus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în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următoarea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redacţie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:</w:t>
            </w:r>
          </w:p>
          <w:p w:rsidR="00120C2F" w:rsidRPr="00A578DC" w:rsidRDefault="00A578DC" w:rsidP="00A578DC">
            <w:pPr>
              <w:pStyle w:val="a0"/>
              <w:shd w:val="clear" w:color="auto" w:fill="auto"/>
              <w:spacing w:before="0" w:line="276" w:lineRule="auto"/>
              <w:ind w:right="20" w:firstLine="680"/>
              <w:rPr>
                <w:sz w:val="24"/>
                <w:szCs w:val="24"/>
                <w:lang w:val="en-US"/>
              </w:rPr>
            </w:pPr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”Pct. 19 se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modifică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va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avea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următorul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cuprins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”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Produsele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petroliere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gazele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lichefiate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prevăzute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depozitarea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comercializarea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ridicata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se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recepţionează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păstrează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în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depozite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specializate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construite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potrivit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documentaţiei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proiect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avizate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toate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organizaţiile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interesate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fiind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supuse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expertizei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ecologice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de stat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respectarea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cerinţelor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securităţii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industriale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la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exploatare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.”</w:t>
            </w:r>
          </w:p>
        </w:tc>
        <w:tc>
          <w:tcPr>
            <w:tcW w:w="4217" w:type="dxa"/>
          </w:tcPr>
          <w:p w:rsidR="00120C2F" w:rsidRDefault="00120C2F" w:rsidP="00A578DC">
            <w:pPr>
              <w:spacing w:line="276" w:lineRule="auto"/>
              <w:rPr>
                <w:lang w:val="ro-RO"/>
              </w:rPr>
            </w:pPr>
          </w:p>
          <w:p w:rsidR="00A578DC" w:rsidRDefault="00A578DC" w:rsidP="00A578DC">
            <w:pPr>
              <w:spacing w:line="276" w:lineRule="auto"/>
              <w:rPr>
                <w:lang w:val="ro-RO"/>
              </w:rPr>
            </w:pPr>
          </w:p>
          <w:p w:rsidR="00A578DC" w:rsidRDefault="00A578DC" w:rsidP="00A578DC">
            <w:pPr>
              <w:spacing w:line="276" w:lineRule="auto"/>
              <w:rPr>
                <w:lang w:val="ro-RO"/>
              </w:rPr>
            </w:pPr>
          </w:p>
          <w:p w:rsidR="00A578DC" w:rsidRDefault="00A578DC" w:rsidP="00A578DC">
            <w:pPr>
              <w:spacing w:line="276" w:lineRule="auto"/>
              <w:rPr>
                <w:lang w:val="ro-RO"/>
              </w:rPr>
            </w:pPr>
          </w:p>
          <w:p w:rsidR="00A578DC" w:rsidRDefault="00A578DC" w:rsidP="00A578DC">
            <w:pPr>
              <w:spacing w:line="276" w:lineRule="auto"/>
              <w:rPr>
                <w:lang w:val="ro-RO"/>
              </w:rPr>
            </w:pPr>
          </w:p>
          <w:p w:rsidR="00A578DC" w:rsidRPr="00A578DC" w:rsidRDefault="00A578DC" w:rsidP="00A578DC">
            <w:pPr>
              <w:spacing w:line="276" w:lineRule="auto"/>
              <w:rPr>
                <w:lang w:val="ro-RO"/>
              </w:rPr>
            </w:pPr>
            <w:r w:rsidRPr="00A578DC">
              <w:rPr>
                <w:lang w:val="ro-RO"/>
              </w:rPr>
              <w:t>Se acceptă</w:t>
            </w:r>
            <w:r w:rsidR="000474F7">
              <w:rPr>
                <w:lang w:val="ro-RO"/>
              </w:rPr>
              <w:t xml:space="preserve"> parţial</w:t>
            </w:r>
            <w:r w:rsidRPr="00A578DC">
              <w:rPr>
                <w:lang w:val="ro-RO"/>
              </w:rPr>
              <w:t>.</w:t>
            </w:r>
            <w:r>
              <w:rPr>
                <w:lang w:val="ro-RO"/>
              </w:rPr>
              <w:t xml:space="preserve"> Textul a fost redactat.</w:t>
            </w:r>
          </w:p>
        </w:tc>
      </w:tr>
      <w:tr w:rsidR="00120C2F" w:rsidRPr="00195C28" w:rsidTr="00C82612">
        <w:trPr>
          <w:trHeight w:val="588"/>
        </w:trPr>
        <w:tc>
          <w:tcPr>
            <w:tcW w:w="14282" w:type="dxa"/>
            <w:gridSpan w:val="3"/>
            <w:vAlign w:val="center"/>
          </w:tcPr>
          <w:p w:rsidR="00120C2F" w:rsidRPr="00A578DC" w:rsidRDefault="00120C2F" w:rsidP="00195C28">
            <w:pPr>
              <w:spacing w:line="276" w:lineRule="auto"/>
              <w:jc w:val="center"/>
              <w:rPr>
                <w:lang w:val="ro-RO"/>
              </w:rPr>
            </w:pPr>
            <w:r w:rsidRPr="00A578DC">
              <w:rPr>
                <w:b/>
                <w:lang w:val="ro-RO"/>
              </w:rPr>
              <w:t>Consiliul Concurenţii a prezentat avizul prin scrisoarea nr. DJ-06/305-1121 din 0</w:t>
            </w:r>
            <w:r w:rsidR="00195C28">
              <w:rPr>
                <w:b/>
                <w:lang w:val="ro-RO"/>
              </w:rPr>
              <w:t>7</w:t>
            </w:r>
            <w:bookmarkStart w:id="0" w:name="_GoBack"/>
            <w:bookmarkEnd w:id="0"/>
            <w:r w:rsidRPr="00A578DC">
              <w:rPr>
                <w:b/>
                <w:lang w:val="ro-RO"/>
              </w:rPr>
              <w:t>.0</w:t>
            </w:r>
            <w:r w:rsidR="00195C28">
              <w:rPr>
                <w:b/>
                <w:lang w:val="ro-RO"/>
              </w:rPr>
              <w:t>5</w:t>
            </w:r>
            <w:r w:rsidRPr="00A578DC">
              <w:rPr>
                <w:b/>
                <w:lang w:val="ro-RO"/>
              </w:rPr>
              <w:t>.2018</w:t>
            </w:r>
          </w:p>
        </w:tc>
      </w:tr>
      <w:tr w:rsidR="00120C2F" w:rsidRPr="00195C28" w:rsidTr="00C82612">
        <w:tc>
          <w:tcPr>
            <w:tcW w:w="840" w:type="dxa"/>
          </w:tcPr>
          <w:p w:rsidR="00120C2F" w:rsidRPr="00A578DC" w:rsidRDefault="00120C2F" w:rsidP="00A578DC">
            <w:pPr>
              <w:spacing w:line="276" w:lineRule="auto"/>
              <w:jc w:val="center"/>
              <w:rPr>
                <w:lang w:val="en-US"/>
              </w:rPr>
            </w:pPr>
            <w:r w:rsidRPr="00A578DC">
              <w:rPr>
                <w:lang w:val="en-US"/>
              </w:rPr>
              <w:t>1.</w:t>
            </w:r>
          </w:p>
        </w:tc>
        <w:tc>
          <w:tcPr>
            <w:tcW w:w="9225" w:type="dxa"/>
            <w:vAlign w:val="center"/>
          </w:tcPr>
          <w:p w:rsidR="00A578DC" w:rsidRPr="00A578DC" w:rsidRDefault="00A578DC" w:rsidP="00482522">
            <w:pPr>
              <w:pStyle w:val="a0"/>
              <w:shd w:val="clear" w:color="auto" w:fill="auto"/>
              <w:spacing w:before="0" w:line="276" w:lineRule="auto"/>
              <w:ind w:left="40" w:right="20" w:firstLine="572"/>
              <w:rPr>
                <w:sz w:val="24"/>
                <w:szCs w:val="24"/>
                <w:lang w:val="en-US"/>
              </w:rPr>
            </w:pP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Plenul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Consiliului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Concurenţei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în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cadrul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şedinţei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din 26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aprilie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2018, </w:t>
            </w:r>
            <w:proofErr w:type="gram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</w:t>
            </w:r>
            <w:proofErr w:type="gram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examinat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în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temeiul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prevederilor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art. 39 lit. c) </w:t>
            </w:r>
            <w:proofErr w:type="spellStart"/>
            <w:proofErr w:type="gram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proofErr w:type="gram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art. 41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alin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. (1) </w:t>
            </w:r>
            <w:proofErr w:type="gram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lit</w:t>
            </w:r>
            <w:proofErr w:type="gram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. d) </w:t>
            </w:r>
            <w:proofErr w:type="gram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ale</w:t>
            </w:r>
            <w:proofErr w:type="gram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Legii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concurenţei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nr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. 183 din 11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iulie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2012,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proiectul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Hotărîrii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Guvernului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privire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la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modificarea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completarea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Hotărîrii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Guvernului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nr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. 1116 din 22 august 2002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despre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aprobarea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Regulamentului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privire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la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depozitarea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comercializarea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ridicata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prin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sistem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automatizat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a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produselor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petroliere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identificate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în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limitele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competenţei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sale,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comunică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următoarele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.</w:t>
            </w:r>
          </w:p>
          <w:p w:rsidR="00A578DC" w:rsidRPr="00A578DC" w:rsidRDefault="00A578DC" w:rsidP="00482522">
            <w:pPr>
              <w:pStyle w:val="a0"/>
              <w:shd w:val="clear" w:color="auto" w:fill="auto"/>
              <w:spacing w:before="0" w:line="276" w:lineRule="auto"/>
              <w:ind w:left="40" w:right="20" w:firstLine="572"/>
              <w:rPr>
                <w:sz w:val="24"/>
                <w:szCs w:val="24"/>
                <w:lang w:val="en-US"/>
              </w:rPr>
            </w:pP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În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contextul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proiectului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Hotărârii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Guvernului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menţionăm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îmbunătăţirea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mecanismului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reglementare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formării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preţurilor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va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constitui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o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măsură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eficientă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lastRenderedPageBreak/>
              <w:t>soluţionare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problemelor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din sector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dacă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vor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fi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realizate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alte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acţiuni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menite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să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amelioreze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concurenţa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piaţa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produselor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petroliere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.</w:t>
            </w:r>
          </w:p>
          <w:p w:rsidR="00120C2F" w:rsidRPr="00A578DC" w:rsidRDefault="00A578DC" w:rsidP="00482522">
            <w:pPr>
              <w:pStyle w:val="a0"/>
              <w:shd w:val="clear" w:color="auto" w:fill="auto"/>
              <w:spacing w:before="0" w:line="276" w:lineRule="auto"/>
              <w:ind w:left="40" w:right="20" w:firstLine="572"/>
              <w:rPr>
                <w:sz w:val="24"/>
                <w:szCs w:val="24"/>
                <w:lang w:val="en-US"/>
              </w:rPr>
            </w:pP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În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acest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sens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Consiliul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Concurenţei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reiterează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necesitatea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eliminării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barierelor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legale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intrare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piaţa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produselor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petroliere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Impunerea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exigenţelor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prevăzute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la art. 14 din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Legea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privind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piaţa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produselor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petroliere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nr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. 461 din 30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iulie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2001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referitoare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la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volumul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minim de 5 mii m</w:t>
            </w:r>
            <w:r w:rsidRPr="00A578DC">
              <w:rPr>
                <w:rStyle w:val="a"/>
                <w:color w:val="000000"/>
                <w:sz w:val="24"/>
                <w:szCs w:val="24"/>
                <w:vertAlign w:val="superscript"/>
                <w:lang w:val="en-US" w:eastAsia="ro-RO"/>
              </w:rPr>
              <w:t>3</w:t>
            </w:r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cuantumul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capitalului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propriu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cel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puţin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8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milioane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lei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importatorii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produse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petroliere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precum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cele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referitoare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la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existenţa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la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importatorii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gaz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lichefiat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depozitelor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proprii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/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sau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închiriate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păstrarea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gazului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lichefiat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în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volum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minim de 150 m</w:t>
            </w:r>
            <w:r w:rsidRPr="00A578DC">
              <w:rPr>
                <w:rStyle w:val="a"/>
                <w:color w:val="000000"/>
                <w:sz w:val="24"/>
                <w:szCs w:val="24"/>
                <w:vertAlign w:val="superscript"/>
                <w:lang w:val="en-US" w:eastAsia="ro-RO"/>
              </w:rPr>
              <w:t>3</w:t>
            </w:r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,</w:t>
            </w:r>
            <w:r w:rsidRPr="00A578DC">
              <w:rPr>
                <w:rStyle w:val="a"/>
                <w:color w:val="000000"/>
                <w:sz w:val="24"/>
                <w:szCs w:val="24"/>
                <w:vertAlign w:val="superscript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limitează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>accesul</w:t>
            </w:r>
            <w:proofErr w:type="spellEnd"/>
            <w:r w:rsidRPr="00A578DC">
              <w:rPr>
                <w:rStyle w:val="a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1"/>
                <w:color w:val="000000"/>
                <w:sz w:val="24"/>
                <w:szCs w:val="24"/>
                <w:lang w:val="en-US" w:eastAsia="ro-RO"/>
              </w:rPr>
              <w:t>întreprinderilor</w:t>
            </w:r>
            <w:proofErr w:type="spellEnd"/>
            <w:r w:rsidRPr="00A578DC">
              <w:rPr>
                <w:rStyle w:val="a1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1"/>
                <w:color w:val="000000"/>
                <w:sz w:val="24"/>
                <w:szCs w:val="24"/>
                <w:lang w:val="en-US" w:eastAsia="ro-RO"/>
              </w:rPr>
              <w:t>noi</w:t>
            </w:r>
            <w:proofErr w:type="spellEnd"/>
            <w:r w:rsidRPr="00A578DC">
              <w:rPr>
                <w:rStyle w:val="a1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1"/>
                <w:color w:val="000000"/>
                <w:sz w:val="24"/>
                <w:szCs w:val="24"/>
                <w:lang w:val="en-US" w:eastAsia="ro-RO"/>
              </w:rPr>
              <w:t>pe</w:t>
            </w:r>
            <w:proofErr w:type="spellEnd"/>
            <w:r w:rsidRPr="00A578DC">
              <w:rPr>
                <w:rStyle w:val="a1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1"/>
                <w:color w:val="000000"/>
                <w:sz w:val="24"/>
                <w:szCs w:val="24"/>
                <w:lang w:val="en-US" w:eastAsia="ro-RO"/>
              </w:rPr>
              <w:t>piaţă</w:t>
            </w:r>
            <w:proofErr w:type="spellEnd"/>
            <w:r w:rsidRPr="00A578DC">
              <w:rPr>
                <w:rStyle w:val="a1"/>
                <w:color w:val="000000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578DC">
              <w:rPr>
                <w:rStyle w:val="a1"/>
                <w:color w:val="000000"/>
                <w:sz w:val="24"/>
                <w:szCs w:val="24"/>
                <w:lang w:val="en-US" w:eastAsia="ro-RO"/>
              </w:rPr>
              <w:t>fiind</w:t>
            </w:r>
            <w:proofErr w:type="spellEnd"/>
            <w:r w:rsidRPr="00A578DC">
              <w:rPr>
                <w:rStyle w:val="a1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1"/>
                <w:color w:val="000000"/>
                <w:sz w:val="24"/>
                <w:szCs w:val="24"/>
                <w:lang w:val="en-US" w:eastAsia="ro-RO"/>
              </w:rPr>
              <w:t>astfel</w:t>
            </w:r>
            <w:proofErr w:type="spellEnd"/>
            <w:r w:rsidRPr="00A578DC">
              <w:rPr>
                <w:rStyle w:val="a1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1"/>
                <w:color w:val="000000"/>
                <w:sz w:val="24"/>
                <w:szCs w:val="24"/>
                <w:lang w:val="en-US" w:eastAsia="ro-RO"/>
              </w:rPr>
              <w:t>protejate</w:t>
            </w:r>
            <w:proofErr w:type="spellEnd"/>
            <w:r w:rsidRPr="00A578DC">
              <w:rPr>
                <w:rStyle w:val="a1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1"/>
                <w:color w:val="000000"/>
                <w:sz w:val="24"/>
                <w:szCs w:val="24"/>
                <w:lang w:val="en-US" w:eastAsia="ro-RO"/>
              </w:rPr>
              <w:t>companiile</w:t>
            </w:r>
            <w:proofErr w:type="spellEnd"/>
            <w:r w:rsidRPr="00A578DC">
              <w:rPr>
                <w:rStyle w:val="a1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1"/>
                <w:color w:val="000000"/>
                <w:sz w:val="24"/>
                <w:szCs w:val="24"/>
                <w:lang w:val="en-US" w:eastAsia="ro-RO"/>
              </w:rPr>
              <w:t>deja</w:t>
            </w:r>
            <w:proofErr w:type="spellEnd"/>
            <w:r w:rsidRPr="00A578DC">
              <w:rPr>
                <w:rStyle w:val="a1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578DC">
              <w:rPr>
                <w:rStyle w:val="a1"/>
                <w:color w:val="000000"/>
                <w:sz w:val="24"/>
                <w:szCs w:val="24"/>
                <w:lang w:val="en-US" w:eastAsia="ro-RO"/>
              </w:rPr>
              <w:t>existente</w:t>
            </w:r>
            <w:proofErr w:type="spellEnd"/>
            <w:r w:rsidRPr="00A578DC">
              <w:rPr>
                <w:rStyle w:val="a1"/>
                <w:color w:val="000000"/>
                <w:sz w:val="24"/>
                <w:szCs w:val="24"/>
                <w:lang w:val="en-US" w:eastAsia="ro-RO"/>
              </w:rPr>
              <w:t>.</w:t>
            </w:r>
          </w:p>
        </w:tc>
        <w:tc>
          <w:tcPr>
            <w:tcW w:w="4217" w:type="dxa"/>
            <w:vAlign w:val="center"/>
          </w:tcPr>
          <w:p w:rsidR="00120C2F" w:rsidRPr="00A578DC" w:rsidRDefault="00120C2F" w:rsidP="00A578DC">
            <w:pPr>
              <w:spacing w:line="276" w:lineRule="auto"/>
              <w:rPr>
                <w:lang w:val="ro-RO"/>
              </w:rPr>
            </w:pPr>
          </w:p>
          <w:p w:rsidR="00A578DC" w:rsidRPr="00A578DC" w:rsidRDefault="00A578DC" w:rsidP="00A578DC">
            <w:pPr>
              <w:spacing w:line="276" w:lineRule="auto"/>
              <w:rPr>
                <w:lang w:val="ro-RO"/>
              </w:rPr>
            </w:pPr>
          </w:p>
          <w:p w:rsidR="00A578DC" w:rsidRPr="00A578DC" w:rsidRDefault="00A578DC" w:rsidP="00A578DC">
            <w:pPr>
              <w:spacing w:line="276" w:lineRule="auto"/>
              <w:rPr>
                <w:lang w:val="ro-RO"/>
              </w:rPr>
            </w:pPr>
          </w:p>
          <w:p w:rsidR="00A578DC" w:rsidRPr="00A578DC" w:rsidRDefault="00A578DC" w:rsidP="00A578DC">
            <w:pPr>
              <w:spacing w:line="276" w:lineRule="auto"/>
              <w:rPr>
                <w:lang w:val="ro-RO"/>
              </w:rPr>
            </w:pPr>
          </w:p>
          <w:p w:rsidR="00A578DC" w:rsidRPr="00A578DC" w:rsidRDefault="00A578DC" w:rsidP="00A578DC">
            <w:pPr>
              <w:spacing w:line="276" w:lineRule="auto"/>
              <w:rPr>
                <w:lang w:val="ro-RO"/>
              </w:rPr>
            </w:pPr>
          </w:p>
          <w:p w:rsidR="00A578DC" w:rsidRPr="00A578DC" w:rsidRDefault="00A578DC" w:rsidP="00A578DC">
            <w:pPr>
              <w:spacing w:line="276" w:lineRule="auto"/>
              <w:rPr>
                <w:lang w:val="ro-RO"/>
              </w:rPr>
            </w:pPr>
          </w:p>
          <w:p w:rsidR="00A578DC" w:rsidRPr="00A578DC" w:rsidRDefault="00A578DC" w:rsidP="00A578DC">
            <w:pPr>
              <w:spacing w:line="276" w:lineRule="auto"/>
              <w:rPr>
                <w:lang w:val="ro-RO"/>
              </w:rPr>
            </w:pPr>
            <w:r w:rsidRPr="00A578DC">
              <w:rPr>
                <w:lang w:val="ro-RO"/>
              </w:rPr>
              <w:t>Se acceptă.</w:t>
            </w:r>
          </w:p>
          <w:p w:rsidR="00A578DC" w:rsidRPr="00A578DC" w:rsidRDefault="00A578DC" w:rsidP="00A578DC">
            <w:pPr>
              <w:spacing w:line="276" w:lineRule="auto"/>
              <w:rPr>
                <w:lang w:val="ro-RO"/>
              </w:rPr>
            </w:pPr>
          </w:p>
          <w:p w:rsidR="00A578DC" w:rsidRPr="00A578DC" w:rsidRDefault="00A578DC" w:rsidP="00A578DC">
            <w:pPr>
              <w:spacing w:line="276" w:lineRule="auto"/>
              <w:rPr>
                <w:lang w:val="ro-RO"/>
              </w:rPr>
            </w:pPr>
          </w:p>
          <w:p w:rsidR="00A578DC" w:rsidRPr="00A578DC" w:rsidRDefault="00A578DC" w:rsidP="00A578DC">
            <w:pPr>
              <w:spacing w:line="276" w:lineRule="auto"/>
              <w:rPr>
                <w:lang w:val="ro-RO"/>
              </w:rPr>
            </w:pPr>
          </w:p>
          <w:p w:rsidR="00120C2F" w:rsidRPr="00A578DC" w:rsidRDefault="00120C2F" w:rsidP="00A578DC">
            <w:pPr>
              <w:spacing w:line="276" w:lineRule="auto"/>
              <w:rPr>
                <w:lang w:val="ro-RO"/>
              </w:rPr>
            </w:pPr>
            <w:r w:rsidRPr="00A578DC">
              <w:rPr>
                <w:lang w:val="ro-RO"/>
              </w:rPr>
              <w:t xml:space="preserve">Nu se acceptă. Propunerea respectivă nu prezintă subiectul acestui proiect de </w:t>
            </w:r>
            <w:proofErr w:type="spellStart"/>
            <w:r w:rsidRPr="00A578DC">
              <w:rPr>
                <w:lang w:val="ro-RO"/>
              </w:rPr>
              <w:t>Hotărîre</w:t>
            </w:r>
            <w:proofErr w:type="spellEnd"/>
            <w:r w:rsidRPr="00A578DC">
              <w:rPr>
                <w:lang w:val="ro-RO"/>
              </w:rPr>
              <w:t>.</w:t>
            </w:r>
          </w:p>
        </w:tc>
      </w:tr>
      <w:tr w:rsidR="00482522" w:rsidRPr="00482522" w:rsidTr="00C82612">
        <w:tc>
          <w:tcPr>
            <w:tcW w:w="840" w:type="dxa"/>
          </w:tcPr>
          <w:p w:rsidR="00482522" w:rsidRPr="00A578DC" w:rsidRDefault="00482522" w:rsidP="00A578D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1.</w:t>
            </w:r>
          </w:p>
        </w:tc>
        <w:tc>
          <w:tcPr>
            <w:tcW w:w="9225" w:type="dxa"/>
            <w:vAlign w:val="center"/>
          </w:tcPr>
          <w:p w:rsidR="00482522" w:rsidRPr="00482522" w:rsidRDefault="00482522" w:rsidP="00482522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1"/>
              <w:rPr>
                <w:lang w:val="ro-RO"/>
              </w:rPr>
            </w:pPr>
            <w:r w:rsidRPr="00482522">
              <w:rPr>
                <w:lang w:val="en-US"/>
              </w:rPr>
              <w:t>Lukoil-Moldova SRL</w:t>
            </w:r>
            <w:r w:rsidRPr="00482522">
              <w:rPr>
                <w:lang w:val="en-US"/>
              </w:rPr>
              <w:tab/>
            </w:r>
          </w:p>
          <w:p w:rsidR="00482522" w:rsidRPr="00482522" w:rsidRDefault="00482522" w:rsidP="00482522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1"/>
              <w:rPr>
                <w:lang w:val="ro-RO"/>
              </w:rPr>
            </w:pPr>
            <w:proofErr w:type="spellStart"/>
            <w:r w:rsidRPr="00482522">
              <w:rPr>
                <w:lang w:val="en-US"/>
              </w:rPr>
              <w:t>Petrom</w:t>
            </w:r>
            <w:proofErr w:type="spellEnd"/>
            <w:r w:rsidRPr="00482522">
              <w:rPr>
                <w:lang w:val="en-US"/>
              </w:rPr>
              <w:t>-Moldova SRL</w:t>
            </w:r>
          </w:p>
          <w:p w:rsidR="00482522" w:rsidRPr="00482522" w:rsidRDefault="00482522" w:rsidP="00482522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1"/>
              <w:rPr>
                <w:lang w:val="ro-RO"/>
              </w:rPr>
            </w:pPr>
            <w:r w:rsidRPr="00482522">
              <w:rPr>
                <w:lang w:val="en-US"/>
              </w:rPr>
              <w:t xml:space="preserve">ÎM </w:t>
            </w:r>
            <w:proofErr w:type="spellStart"/>
            <w:r w:rsidRPr="00482522">
              <w:rPr>
                <w:lang w:val="en-US"/>
              </w:rPr>
              <w:t>Tirex</w:t>
            </w:r>
            <w:proofErr w:type="spellEnd"/>
            <w:r w:rsidRPr="00482522">
              <w:rPr>
                <w:lang w:val="en-US"/>
              </w:rPr>
              <w:t>-Petrol SA</w:t>
            </w:r>
          </w:p>
          <w:p w:rsidR="00482522" w:rsidRPr="00482522" w:rsidRDefault="00482522" w:rsidP="00482522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1"/>
              <w:rPr>
                <w:color w:val="000000"/>
                <w:shd w:val="clear" w:color="auto" w:fill="FFFFFF"/>
                <w:lang w:val="en-US" w:eastAsia="ro-RO"/>
              </w:rPr>
            </w:pPr>
            <w:r w:rsidRPr="00482522">
              <w:rPr>
                <w:lang w:val="en-US"/>
              </w:rPr>
              <w:t xml:space="preserve">ÎM </w:t>
            </w:r>
            <w:proofErr w:type="spellStart"/>
            <w:r w:rsidRPr="00482522">
              <w:rPr>
                <w:lang w:val="en-US"/>
              </w:rPr>
              <w:t>Rompetrol</w:t>
            </w:r>
            <w:proofErr w:type="spellEnd"/>
            <w:r w:rsidRPr="00482522">
              <w:rPr>
                <w:lang w:val="en-US"/>
              </w:rPr>
              <w:t>-Moldova SA</w:t>
            </w:r>
          </w:p>
          <w:p w:rsidR="00482522" w:rsidRPr="00A578DC" w:rsidRDefault="00482522" w:rsidP="00482522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1"/>
              <w:rPr>
                <w:rStyle w:val="a"/>
                <w:color w:val="000000"/>
                <w:sz w:val="24"/>
                <w:szCs w:val="24"/>
                <w:lang w:val="en-US" w:eastAsia="ro-RO"/>
              </w:rPr>
            </w:pPr>
            <w:r w:rsidRPr="00482522">
              <w:t xml:space="preserve">ÎCS </w:t>
            </w:r>
            <w:proofErr w:type="spellStart"/>
            <w:r w:rsidRPr="00482522">
              <w:t>Bemol</w:t>
            </w:r>
            <w:proofErr w:type="spellEnd"/>
            <w:r w:rsidRPr="00482522">
              <w:t xml:space="preserve"> </w:t>
            </w:r>
            <w:proofErr w:type="spellStart"/>
            <w:r w:rsidRPr="00482522">
              <w:t>Retail</w:t>
            </w:r>
            <w:proofErr w:type="spellEnd"/>
            <w:r w:rsidRPr="00482522">
              <w:t xml:space="preserve"> SRL</w:t>
            </w:r>
          </w:p>
        </w:tc>
        <w:tc>
          <w:tcPr>
            <w:tcW w:w="4217" w:type="dxa"/>
            <w:vAlign w:val="center"/>
          </w:tcPr>
          <w:p w:rsidR="00482522" w:rsidRPr="00A578DC" w:rsidRDefault="00482522" w:rsidP="00A578DC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Nu au prezentat avizul.</w:t>
            </w:r>
          </w:p>
        </w:tc>
      </w:tr>
      <w:tr w:rsidR="00482522" w:rsidRPr="00482522" w:rsidTr="00C82612">
        <w:tc>
          <w:tcPr>
            <w:tcW w:w="840" w:type="dxa"/>
          </w:tcPr>
          <w:p w:rsidR="00482522" w:rsidRPr="00A578DC" w:rsidRDefault="00482522" w:rsidP="00A578DC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9225" w:type="dxa"/>
            <w:vAlign w:val="center"/>
          </w:tcPr>
          <w:p w:rsidR="00482522" w:rsidRPr="00A578DC" w:rsidRDefault="00482522" w:rsidP="00482522">
            <w:pPr>
              <w:pStyle w:val="a0"/>
              <w:shd w:val="clear" w:color="auto" w:fill="auto"/>
              <w:spacing w:before="0" w:line="276" w:lineRule="auto"/>
              <w:ind w:left="40" w:right="20" w:firstLine="572"/>
              <w:rPr>
                <w:rStyle w:val="a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4217" w:type="dxa"/>
            <w:vAlign w:val="center"/>
          </w:tcPr>
          <w:p w:rsidR="00482522" w:rsidRPr="00A578DC" w:rsidRDefault="00482522" w:rsidP="00A578DC">
            <w:pPr>
              <w:spacing w:line="276" w:lineRule="auto"/>
              <w:rPr>
                <w:lang w:val="ro-RO"/>
              </w:rPr>
            </w:pPr>
          </w:p>
        </w:tc>
      </w:tr>
    </w:tbl>
    <w:p w:rsidR="00943F8A" w:rsidRPr="00A578DC" w:rsidRDefault="00943F8A" w:rsidP="00A578DC">
      <w:pPr>
        <w:spacing w:line="276" w:lineRule="auto"/>
        <w:rPr>
          <w:lang w:val="ro-RO"/>
        </w:rPr>
      </w:pPr>
    </w:p>
    <w:sectPr w:rsidR="00943F8A" w:rsidRPr="00A578DC" w:rsidSect="00BD5640">
      <w:pgSz w:w="16838" w:h="11906" w:orient="landscape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F4B"/>
    <w:multiLevelType w:val="hybridMultilevel"/>
    <w:tmpl w:val="1C6265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572CF"/>
    <w:multiLevelType w:val="hybridMultilevel"/>
    <w:tmpl w:val="45509E64"/>
    <w:lvl w:ilvl="0" w:tplc="1FB25458">
      <w:start w:val="1"/>
      <w:numFmt w:val="bullet"/>
      <w:lvlText w:val="-"/>
      <w:lvlJc w:val="left"/>
      <w:pPr>
        <w:ind w:left="9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2F"/>
    <w:rsid w:val="000016B6"/>
    <w:rsid w:val="00003EB1"/>
    <w:rsid w:val="00004069"/>
    <w:rsid w:val="00004190"/>
    <w:rsid w:val="00013ED6"/>
    <w:rsid w:val="00016228"/>
    <w:rsid w:val="0002188D"/>
    <w:rsid w:val="0002531B"/>
    <w:rsid w:val="000269B8"/>
    <w:rsid w:val="0003225B"/>
    <w:rsid w:val="000347FC"/>
    <w:rsid w:val="00035089"/>
    <w:rsid w:val="00035D6F"/>
    <w:rsid w:val="0004167B"/>
    <w:rsid w:val="000429D0"/>
    <w:rsid w:val="0004386F"/>
    <w:rsid w:val="0004537D"/>
    <w:rsid w:val="00045A33"/>
    <w:rsid w:val="000474F7"/>
    <w:rsid w:val="000528E0"/>
    <w:rsid w:val="00055F10"/>
    <w:rsid w:val="00061AE1"/>
    <w:rsid w:val="000631A0"/>
    <w:rsid w:val="00063D95"/>
    <w:rsid w:val="000657CA"/>
    <w:rsid w:val="00065E6C"/>
    <w:rsid w:val="00066CB9"/>
    <w:rsid w:val="000671F9"/>
    <w:rsid w:val="000703AC"/>
    <w:rsid w:val="000715FA"/>
    <w:rsid w:val="000728A8"/>
    <w:rsid w:val="000729BC"/>
    <w:rsid w:val="000758EC"/>
    <w:rsid w:val="00091493"/>
    <w:rsid w:val="00091E7D"/>
    <w:rsid w:val="00096317"/>
    <w:rsid w:val="000A3DD1"/>
    <w:rsid w:val="000A3F49"/>
    <w:rsid w:val="000A727B"/>
    <w:rsid w:val="000B4917"/>
    <w:rsid w:val="000B51E9"/>
    <w:rsid w:val="000B701B"/>
    <w:rsid w:val="000D30CA"/>
    <w:rsid w:val="000E7DF3"/>
    <w:rsid w:val="000F0E73"/>
    <w:rsid w:val="000F3165"/>
    <w:rsid w:val="00116193"/>
    <w:rsid w:val="00116621"/>
    <w:rsid w:val="00120C2F"/>
    <w:rsid w:val="00125EA8"/>
    <w:rsid w:val="00143803"/>
    <w:rsid w:val="00144802"/>
    <w:rsid w:val="00146ABD"/>
    <w:rsid w:val="0015230B"/>
    <w:rsid w:val="00161A7C"/>
    <w:rsid w:val="00171B01"/>
    <w:rsid w:val="00183721"/>
    <w:rsid w:val="00190641"/>
    <w:rsid w:val="00191DF3"/>
    <w:rsid w:val="00192FFA"/>
    <w:rsid w:val="00195C28"/>
    <w:rsid w:val="001A6FF3"/>
    <w:rsid w:val="001B332A"/>
    <w:rsid w:val="001B7661"/>
    <w:rsid w:val="001C5684"/>
    <w:rsid w:val="001C75DC"/>
    <w:rsid w:val="001D0605"/>
    <w:rsid w:val="001D1D75"/>
    <w:rsid w:val="001D27B2"/>
    <w:rsid w:val="001D4E86"/>
    <w:rsid w:val="001D6CDA"/>
    <w:rsid w:val="001E0EF6"/>
    <w:rsid w:val="001E49EC"/>
    <w:rsid w:val="001F19E3"/>
    <w:rsid w:val="00201E8F"/>
    <w:rsid w:val="002033D3"/>
    <w:rsid w:val="0020489C"/>
    <w:rsid w:val="002132E6"/>
    <w:rsid w:val="002231A5"/>
    <w:rsid w:val="00230180"/>
    <w:rsid w:val="00242A6B"/>
    <w:rsid w:val="00245D60"/>
    <w:rsid w:val="00246120"/>
    <w:rsid w:val="00247188"/>
    <w:rsid w:val="00251F5F"/>
    <w:rsid w:val="00260D5C"/>
    <w:rsid w:val="00263E53"/>
    <w:rsid w:val="002717C5"/>
    <w:rsid w:val="0027309B"/>
    <w:rsid w:val="00275F00"/>
    <w:rsid w:val="0028039F"/>
    <w:rsid w:val="00282F4E"/>
    <w:rsid w:val="002833FA"/>
    <w:rsid w:val="00283B7E"/>
    <w:rsid w:val="002849EC"/>
    <w:rsid w:val="002873C7"/>
    <w:rsid w:val="002900B1"/>
    <w:rsid w:val="00291780"/>
    <w:rsid w:val="00293278"/>
    <w:rsid w:val="00293FEB"/>
    <w:rsid w:val="00294C59"/>
    <w:rsid w:val="002964E8"/>
    <w:rsid w:val="00297A90"/>
    <w:rsid w:val="002A7583"/>
    <w:rsid w:val="002B086B"/>
    <w:rsid w:val="002B517E"/>
    <w:rsid w:val="002C134E"/>
    <w:rsid w:val="002C181C"/>
    <w:rsid w:val="002C2812"/>
    <w:rsid w:val="002C7A5E"/>
    <w:rsid w:val="002D10B1"/>
    <w:rsid w:val="002D3EF2"/>
    <w:rsid w:val="002E3374"/>
    <w:rsid w:val="002E47C4"/>
    <w:rsid w:val="002F0927"/>
    <w:rsid w:val="002F4569"/>
    <w:rsid w:val="003075E8"/>
    <w:rsid w:val="00311031"/>
    <w:rsid w:val="00314363"/>
    <w:rsid w:val="00322BF8"/>
    <w:rsid w:val="00337636"/>
    <w:rsid w:val="003436A9"/>
    <w:rsid w:val="00344F8F"/>
    <w:rsid w:val="003536BA"/>
    <w:rsid w:val="00360F31"/>
    <w:rsid w:val="00366191"/>
    <w:rsid w:val="003704F6"/>
    <w:rsid w:val="00371E12"/>
    <w:rsid w:val="00373199"/>
    <w:rsid w:val="003746CC"/>
    <w:rsid w:val="003749DB"/>
    <w:rsid w:val="00377EAE"/>
    <w:rsid w:val="00380F53"/>
    <w:rsid w:val="00386845"/>
    <w:rsid w:val="00391A1E"/>
    <w:rsid w:val="00392C1D"/>
    <w:rsid w:val="003A0E97"/>
    <w:rsid w:val="003A46B5"/>
    <w:rsid w:val="003A75CA"/>
    <w:rsid w:val="003B07C1"/>
    <w:rsid w:val="003B6ADD"/>
    <w:rsid w:val="003C1A55"/>
    <w:rsid w:val="003D135B"/>
    <w:rsid w:val="003D2101"/>
    <w:rsid w:val="003D211D"/>
    <w:rsid w:val="003F3571"/>
    <w:rsid w:val="00400566"/>
    <w:rsid w:val="00406169"/>
    <w:rsid w:val="00410D96"/>
    <w:rsid w:val="004124C7"/>
    <w:rsid w:val="004162A0"/>
    <w:rsid w:val="00417420"/>
    <w:rsid w:val="0042089E"/>
    <w:rsid w:val="00421E6B"/>
    <w:rsid w:val="0042435F"/>
    <w:rsid w:val="00424B86"/>
    <w:rsid w:val="004355CD"/>
    <w:rsid w:val="00441F42"/>
    <w:rsid w:val="0044285F"/>
    <w:rsid w:val="00443D3D"/>
    <w:rsid w:val="004461EA"/>
    <w:rsid w:val="00447DD5"/>
    <w:rsid w:val="004500DE"/>
    <w:rsid w:val="00450DA6"/>
    <w:rsid w:val="004543B3"/>
    <w:rsid w:val="00456916"/>
    <w:rsid w:val="00462CAE"/>
    <w:rsid w:val="00472E3A"/>
    <w:rsid w:val="004773E0"/>
    <w:rsid w:val="00477B68"/>
    <w:rsid w:val="00482522"/>
    <w:rsid w:val="00490A1A"/>
    <w:rsid w:val="00493386"/>
    <w:rsid w:val="00496B4F"/>
    <w:rsid w:val="00497B71"/>
    <w:rsid w:val="004A108E"/>
    <w:rsid w:val="004A30E0"/>
    <w:rsid w:val="004A3590"/>
    <w:rsid w:val="004C05E2"/>
    <w:rsid w:val="004C4553"/>
    <w:rsid w:val="004D5D43"/>
    <w:rsid w:val="004F17E7"/>
    <w:rsid w:val="004F37D7"/>
    <w:rsid w:val="004F5EC6"/>
    <w:rsid w:val="00506019"/>
    <w:rsid w:val="005145EB"/>
    <w:rsid w:val="005219EF"/>
    <w:rsid w:val="005227C2"/>
    <w:rsid w:val="00524E00"/>
    <w:rsid w:val="005335E3"/>
    <w:rsid w:val="00541E29"/>
    <w:rsid w:val="00542122"/>
    <w:rsid w:val="005423EE"/>
    <w:rsid w:val="00543602"/>
    <w:rsid w:val="005457BA"/>
    <w:rsid w:val="0054621E"/>
    <w:rsid w:val="00552A21"/>
    <w:rsid w:val="00554AC9"/>
    <w:rsid w:val="005602B6"/>
    <w:rsid w:val="00561090"/>
    <w:rsid w:val="00561AE2"/>
    <w:rsid w:val="00567959"/>
    <w:rsid w:val="00575958"/>
    <w:rsid w:val="00575D7C"/>
    <w:rsid w:val="0058046A"/>
    <w:rsid w:val="0058216E"/>
    <w:rsid w:val="00582624"/>
    <w:rsid w:val="005A0FF2"/>
    <w:rsid w:val="005A4B2E"/>
    <w:rsid w:val="005C1692"/>
    <w:rsid w:val="005C24DF"/>
    <w:rsid w:val="005C540A"/>
    <w:rsid w:val="005C5F19"/>
    <w:rsid w:val="005C7D7D"/>
    <w:rsid w:val="005D3C60"/>
    <w:rsid w:val="005D4404"/>
    <w:rsid w:val="005E27E2"/>
    <w:rsid w:val="005E4A0F"/>
    <w:rsid w:val="005F544F"/>
    <w:rsid w:val="005F7D6E"/>
    <w:rsid w:val="00600A02"/>
    <w:rsid w:val="00602D25"/>
    <w:rsid w:val="00602FB1"/>
    <w:rsid w:val="00603988"/>
    <w:rsid w:val="00606501"/>
    <w:rsid w:val="0061294E"/>
    <w:rsid w:val="00615184"/>
    <w:rsid w:val="006214A8"/>
    <w:rsid w:val="0062787F"/>
    <w:rsid w:val="0063176C"/>
    <w:rsid w:val="00632E79"/>
    <w:rsid w:val="00641495"/>
    <w:rsid w:val="00644607"/>
    <w:rsid w:val="00646523"/>
    <w:rsid w:val="00654C29"/>
    <w:rsid w:val="00662373"/>
    <w:rsid w:val="00663ABF"/>
    <w:rsid w:val="00663E4B"/>
    <w:rsid w:val="00663EA8"/>
    <w:rsid w:val="006651E5"/>
    <w:rsid w:val="006812C7"/>
    <w:rsid w:val="0069171D"/>
    <w:rsid w:val="00693BD3"/>
    <w:rsid w:val="006A17ED"/>
    <w:rsid w:val="006B0A6E"/>
    <w:rsid w:val="006B60E2"/>
    <w:rsid w:val="006B7380"/>
    <w:rsid w:val="006C6C66"/>
    <w:rsid w:val="006D078E"/>
    <w:rsid w:val="006D1DD3"/>
    <w:rsid w:val="006D38DC"/>
    <w:rsid w:val="006D3CEF"/>
    <w:rsid w:val="006D494B"/>
    <w:rsid w:val="006D7654"/>
    <w:rsid w:val="006E3AEA"/>
    <w:rsid w:val="006E69B9"/>
    <w:rsid w:val="006F344C"/>
    <w:rsid w:val="006F3D9D"/>
    <w:rsid w:val="00705AA9"/>
    <w:rsid w:val="00711BE9"/>
    <w:rsid w:val="00716ED4"/>
    <w:rsid w:val="00720C34"/>
    <w:rsid w:val="00723333"/>
    <w:rsid w:val="007244E2"/>
    <w:rsid w:val="007327F2"/>
    <w:rsid w:val="00736695"/>
    <w:rsid w:val="007401C8"/>
    <w:rsid w:val="00746FB2"/>
    <w:rsid w:val="00750AA9"/>
    <w:rsid w:val="007514A8"/>
    <w:rsid w:val="0076308B"/>
    <w:rsid w:val="00763780"/>
    <w:rsid w:val="007712F6"/>
    <w:rsid w:val="007844BD"/>
    <w:rsid w:val="007865C2"/>
    <w:rsid w:val="007929EA"/>
    <w:rsid w:val="00794EE6"/>
    <w:rsid w:val="007A7335"/>
    <w:rsid w:val="007B2C0B"/>
    <w:rsid w:val="007C0D10"/>
    <w:rsid w:val="007C108F"/>
    <w:rsid w:val="007D4923"/>
    <w:rsid w:val="007D5265"/>
    <w:rsid w:val="007E038F"/>
    <w:rsid w:val="007E0486"/>
    <w:rsid w:val="007E31C3"/>
    <w:rsid w:val="007E43AA"/>
    <w:rsid w:val="007E5DCD"/>
    <w:rsid w:val="00811E58"/>
    <w:rsid w:val="00812923"/>
    <w:rsid w:val="0082257B"/>
    <w:rsid w:val="0082311A"/>
    <w:rsid w:val="00826D7F"/>
    <w:rsid w:val="00832FDF"/>
    <w:rsid w:val="008379DD"/>
    <w:rsid w:val="00842602"/>
    <w:rsid w:val="0084581E"/>
    <w:rsid w:val="008474AB"/>
    <w:rsid w:val="008510A1"/>
    <w:rsid w:val="0086459E"/>
    <w:rsid w:val="0087109E"/>
    <w:rsid w:val="00872384"/>
    <w:rsid w:val="00873FFA"/>
    <w:rsid w:val="008829DE"/>
    <w:rsid w:val="00893565"/>
    <w:rsid w:val="00893C73"/>
    <w:rsid w:val="00896E51"/>
    <w:rsid w:val="008A2029"/>
    <w:rsid w:val="008A2073"/>
    <w:rsid w:val="008A21CD"/>
    <w:rsid w:val="008A5CAA"/>
    <w:rsid w:val="008B32D7"/>
    <w:rsid w:val="008B32ED"/>
    <w:rsid w:val="008B3ABA"/>
    <w:rsid w:val="008B537F"/>
    <w:rsid w:val="008B6270"/>
    <w:rsid w:val="008B72E3"/>
    <w:rsid w:val="008B790A"/>
    <w:rsid w:val="008C1499"/>
    <w:rsid w:val="008C434F"/>
    <w:rsid w:val="008C4804"/>
    <w:rsid w:val="008D41BA"/>
    <w:rsid w:val="008D787D"/>
    <w:rsid w:val="008D7F3F"/>
    <w:rsid w:val="008E4451"/>
    <w:rsid w:val="008E5479"/>
    <w:rsid w:val="008F1851"/>
    <w:rsid w:val="008F217E"/>
    <w:rsid w:val="008F3D33"/>
    <w:rsid w:val="0090338D"/>
    <w:rsid w:val="009209EB"/>
    <w:rsid w:val="009241EF"/>
    <w:rsid w:val="0092488E"/>
    <w:rsid w:val="009269C3"/>
    <w:rsid w:val="00927862"/>
    <w:rsid w:val="00927CF3"/>
    <w:rsid w:val="00931805"/>
    <w:rsid w:val="009341A5"/>
    <w:rsid w:val="00937B82"/>
    <w:rsid w:val="00942A96"/>
    <w:rsid w:val="00943F8A"/>
    <w:rsid w:val="009560A3"/>
    <w:rsid w:val="00971CB4"/>
    <w:rsid w:val="0097587B"/>
    <w:rsid w:val="009A2EAE"/>
    <w:rsid w:val="009B20C1"/>
    <w:rsid w:val="009B58A0"/>
    <w:rsid w:val="009C24AB"/>
    <w:rsid w:val="009C6998"/>
    <w:rsid w:val="009D1717"/>
    <w:rsid w:val="009D447D"/>
    <w:rsid w:val="009D7399"/>
    <w:rsid w:val="009D7B1E"/>
    <w:rsid w:val="009E14A6"/>
    <w:rsid w:val="009E64C3"/>
    <w:rsid w:val="009F1000"/>
    <w:rsid w:val="009F141F"/>
    <w:rsid w:val="009F6615"/>
    <w:rsid w:val="009F7533"/>
    <w:rsid w:val="00A062BA"/>
    <w:rsid w:val="00A1013F"/>
    <w:rsid w:val="00A10BEB"/>
    <w:rsid w:val="00A113D4"/>
    <w:rsid w:val="00A1793C"/>
    <w:rsid w:val="00A2097A"/>
    <w:rsid w:val="00A21143"/>
    <w:rsid w:val="00A34583"/>
    <w:rsid w:val="00A411F2"/>
    <w:rsid w:val="00A42B08"/>
    <w:rsid w:val="00A46763"/>
    <w:rsid w:val="00A5637A"/>
    <w:rsid w:val="00A578DC"/>
    <w:rsid w:val="00A5790F"/>
    <w:rsid w:val="00A609A9"/>
    <w:rsid w:val="00A61B2C"/>
    <w:rsid w:val="00A62F79"/>
    <w:rsid w:val="00A86013"/>
    <w:rsid w:val="00A8762B"/>
    <w:rsid w:val="00A90383"/>
    <w:rsid w:val="00A90432"/>
    <w:rsid w:val="00A9408A"/>
    <w:rsid w:val="00A9591D"/>
    <w:rsid w:val="00A969BD"/>
    <w:rsid w:val="00A970BF"/>
    <w:rsid w:val="00AA0518"/>
    <w:rsid w:val="00AA717A"/>
    <w:rsid w:val="00AB2F58"/>
    <w:rsid w:val="00AC2C70"/>
    <w:rsid w:val="00AC4C29"/>
    <w:rsid w:val="00AC753B"/>
    <w:rsid w:val="00AE4218"/>
    <w:rsid w:val="00AE6B25"/>
    <w:rsid w:val="00AE6B27"/>
    <w:rsid w:val="00AE7B07"/>
    <w:rsid w:val="00AF45E4"/>
    <w:rsid w:val="00AF48C0"/>
    <w:rsid w:val="00B00E44"/>
    <w:rsid w:val="00B03B8E"/>
    <w:rsid w:val="00B060AC"/>
    <w:rsid w:val="00B112AF"/>
    <w:rsid w:val="00B25BC7"/>
    <w:rsid w:val="00B3370A"/>
    <w:rsid w:val="00B35B42"/>
    <w:rsid w:val="00B52442"/>
    <w:rsid w:val="00B52B25"/>
    <w:rsid w:val="00B666E5"/>
    <w:rsid w:val="00B67D32"/>
    <w:rsid w:val="00B70826"/>
    <w:rsid w:val="00B7156F"/>
    <w:rsid w:val="00B71D7A"/>
    <w:rsid w:val="00B72723"/>
    <w:rsid w:val="00B73976"/>
    <w:rsid w:val="00B748BB"/>
    <w:rsid w:val="00B7625A"/>
    <w:rsid w:val="00B76353"/>
    <w:rsid w:val="00B82894"/>
    <w:rsid w:val="00B82DB7"/>
    <w:rsid w:val="00B92644"/>
    <w:rsid w:val="00B94A5A"/>
    <w:rsid w:val="00B95897"/>
    <w:rsid w:val="00B97DAE"/>
    <w:rsid w:val="00BA6E70"/>
    <w:rsid w:val="00BB53D4"/>
    <w:rsid w:val="00BB7735"/>
    <w:rsid w:val="00BC001A"/>
    <w:rsid w:val="00BC0C0F"/>
    <w:rsid w:val="00BC184A"/>
    <w:rsid w:val="00BC2012"/>
    <w:rsid w:val="00BC7EA8"/>
    <w:rsid w:val="00BD5969"/>
    <w:rsid w:val="00BD706B"/>
    <w:rsid w:val="00BE6714"/>
    <w:rsid w:val="00BE6B68"/>
    <w:rsid w:val="00BF70B5"/>
    <w:rsid w:val="00C028DE"/>
    <w:rsid w:val="00C04907"/>
    <w:rsid w:val="00C11F61"/>
    <w:rsid w:val="00C13113"/>
    <w:rsid w:val="00C15D3B"/>
    <w:rsid w:val="00C20217"/>
    <w:rsid w:val="00C231B0"/>
    <w:rsid w:val="00C2324E"/>
    <w:rsid w:val="00C30D12"/>
    <w:rsid w:val="00C341C0"/>
    <w:rsid w:val="00C475CF"/>
    <w:rsid w:val="00C51DA7"/>
    <w:rsid w:val="00C53C51"/>
    <w:rsid w:val="00C655B2"/>
    <w:rsid w:val="00C72039"/>
    <w:rsid w:val="00C745FC"/>
    <w:rsid w:val="00C84EA4"/>
    <w:rsid w:val="00C85EC5"/>
    <w:rsid w:val="00C933B4"/>
    <w:rsid w:val="00C935B3"/>
    <w:rsid w:val="00C95F09"/>
    <w:rsid w:val="00CA0188"/>
    <w:rsid w:val="00CA2966"/>
    <w:rsid w:val="00CA362D"/>
    <w:rsid w:val="00CA5701"/>
    <w:rsid w:val="00CC063C"/>
    <w:rsid w:val="00CC58A0"/>
    <w:rsid w:val="00CE3AAF"/>
    <w:rsid w:val="00CF07B6"/>
    <w:rsid w:val="00CF5BE6"/>
    <w:rsid w:val="00D043EB"/>
    <w:rsid w:val="00D047CB"/>
    <w:rsid w:val="00D118E7"/>
    <w:rsid w:val="00D238B7"/>
    <w:rsid w:val="00D272DA"/>
    <w:rsid w:val="00D305F0"/>
    <w:rsid w:val="00D31114"/>
    <w:rsid w:val="00D327C7"/>
    <w:rsid w:val="00D36489"/>
    <w:rsid w:val="00D4132C"/>
    <w:rsid w:val="00D50647"/>
    <w:rsid w:val="00D50DF7"/>
    <w:rsid w:val="00D51984"/>
    <w:rsid w:val="00D52D22"/>
    <w:rsid w:val="00D53BF1"/>
    <w:rsid w:val="00D607B0"/>
    <w:rsid w:val="00D62F7D"/>
    <w:rsid w:val="00D65D4D"/>
    <w:rsid w:val="00D667A7"/>
    <w:rsid w:val="00D71115"/>
    <w:rsid w:val="00D71CE4"/>
    <w:rsid w:val="00D72E6D"/>
    <w:rsid w:val="00D75901"/>
    <w:rsid w:val="00D75BCA"/>
    <w:rsid w:val="00D81D7D"/>
    <w:rsid w:val="00D8288B"/>
    <w:rsid w:val="00D868F0"/>
    <w:rsid w:val="00D9533B"/>
    <w:rsid w:val="00D97578"/>
    <w:rsid w:val="00D979AD"/>
    <w:rsid w:val="00DA5BB5"/>
    <w:rsid w:val="00DB276F"/>
    <w:rsid w:val="00DC16D4"/>
    <w:rsid w:val="00DD7D8A"/>
    <w:rsid w:val="00DE229F"/>
    <w:rsid w:val="00DE658C"/>
    <w:rsid w:val="00DF097A"/>
    <w:rsid w:val="00DF7CBC"/>
    <w:rsid w:val="00DF7D21"/>
    <w:rsid w:val="00E01D75"/>
    <w:rsid w:val="00E031C5"/>
    <w:rsid w:val="00E07680"/>
    <w:rsid w:val="00E20904"/>
    <w:rsid w:val="00E30308"/>
    <w:rsid w:val="00E31417"/>
    <w:rsid w:val="00E34E6F"/>
    <w:rsid w:val="00E35C0D"/>
    <w:rsid w:val="00E36F6E"/>
    <w:rsid w:val="00E43C28"/>
    <w:rsid w:val="00E508B4"/>
    <w:rsid w:val="00E50C7E"/>
    <w:rsid w:val="00E5418A"/>
    <w:rsid w:val="00E561E2"/>
    <w:rsid w:val="00E603D1"/>
    <w:rsid w:val="00E6597E"/>
    <w:rsid w:val="00E65A44"/>
    <w:rsid w:val="00E66DD0"/>
    <w:rsid w:val="00E66FC5"/>
    <w:rsid w:val="00E7281D"/>
    <w:rsid w:val="00E80DA5"/>
    <w:rsid w:val="00E871C8"/>
    <w:rsid w:val="00EA0DAE"/>
    <w:rsid w:val="00EA433D"/>
    <w:rsid w:val="00EA5604"/>
    <w:rsid w:val="00EB1A13"/>
    <w:rsid w:val="00EB4E87"/>
    <w:rsid w:val="00EB7F2D"/>
    <w:rsid w:val="00ED4388"/>
    <w:rsid w:val="00ED7C12"/>
    <w:rsid w:val="00EE3F68"/>
    <w:rsid w:val="00EE48FC"/>
    <w:rsid w:val="00EF334E"/>
    <w:rsid w:val="00EF7750"/>
    <w:rsid w:val="00F008C7"/>
    <w:rsid w:val="00F02918"/>
    <w:rsid w:val="00F03D46"/>
    <w:rsid w:val="00F05DE6"/>
    <w:rsid w:val="00F12F80"/>
    <w:rsid w:val="00F173B1"/>
    <w:rsid w:val="00F305ED"/>
    <w:rsid w:val="00F40400"/>
    <w:rsid w:val="00F41231"/>
    <w:rsid w:val="00F41A96"/>
    <w:rsid w:val="00F46263"/>
    <w:rsid w:val="00F46F8F"/>
    <w:rsid w:val="00F500D0"/>
    <w:rsid w:val="00F60837"/>
    <w:rsid w:val="00F654B1"/>
    <w:rsid w:val="00F7626E"/>
    <w:rsid w:val="00F8097A"/>
    <w:rsid w:val="00F814A1"/>
    <w:rsid w:val="00F816EE"/>
    <w:rsid w:val="00F90C23"/>
    <w:rsid w:val="00F90DAA"/>
    <w:rsid w:val="00F9430A"/>
    <w:rsid w:val="00F94373"/>
    <w:rsid w:val="00FA27F5"/>
    <w:rsid w:val="00FB15DA"/>
    <w:rsid w:val="00FB41F6"/>
    <w:rsid w:val="00FB5300"/>
    <w:rsid w:val="00FB767D"/>
    <w:rsid w:val="00FD1269"/>
    <w:rsid w:val="00FD1D26"/>
    <w:rsid w:val="00FD5739"/>
    <w:rsid w:val="00FD7454"/>
    <w:rsid w:val="00FE0ADD"/>
    <w:rsid w:val="00FE3408"/>
    <w:rsid w:val="00FE3454"/>
    <w:rsid w:val="00FF044E"/>
    <w:rsid w:val="00FF20D8"/>
    <w:rsid w:val="00FF5B4E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C2F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5FA"/>
    <w:pPr>
      <w:ind w:left="720"/>
      <w:contextualSpacing/>
    </w:pPr>
  </w:style>
  <w:style w:type="paragraph" w:customStyle="1" w:styleId="tt">
    <w:name w:val="tt"/>
    <w:basedOn w:val="Normal"/>
    <w:rsid w:val="00120C2F"/>
    <w:pPr>
      <w:jc w:val="center"/>
    </w:pPr>
    <w:rPr>
      <w:b/>
      <w:bCs/>
      <w:lang w:val="en-US" w:eastAsia="en-US"/>
    </w:rPr>
  </w:style>
  <w:style w:type="paragraph" w:customStyle="1" w:styleId="FR2">
    <w:name w:val="FR2"/>
    <w:rsid w:val="00120C2F"/>
    <w:pPr>
      <w:widowControl w:val="0"/>
      <w:snapToGrid w:val="0"/>
      <w:spacing w:before="100" w:line="360" w:lineRule="auto"/>
      <w:ind w:left="120"/>
    </w:pPr>
    <w:rPr>
      <w:rFonts w:ascii="Arial" w:eastAsia="Times New Roman" w:hAnsi="Arial"/>
      <w:sz w:val="24"/>
      <w:lang w:val="ro-RO" w:eastAsia="ru-RU"/>
    </w:rPr>
  </w:style>
  <w:style w:type="character" w:styleId="Hyperlink">
    <w:name w:val="Hyperlink"/>
    <w:rsid w:val="00931805"/>
    <w:rPr>
      <w:color w:val="0000FF"/>
      <w:u w:val="single"/>
    </w:rPr>
  </w:style>
  <w:style w:type="character" w:customStyle="1" w:styleId="a">
    <w:name w:val="Основной текст_"/>
    <w:basedOn w:val="DefaultParagraphFont"/>
    <w:link w:val="a0"/>
    <w:uiPriority w:val="99"/>
    <w:rsid w:val="0093180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0">
    <w:name w:val="Основной текст"/>
    <w:basedOn w:val="Normal"/>
    <w:link w:val="a"/>
    <w:uiPriority w:val="99"/>
    <w:rsid w:val="00931805"/>
    <w:pPr>
      <w:widowControl w:val="0"/>
      <w:shd w:val="clear" w:color="auto" w:fill="FFFFFF"/>
      <w:spacing w:before="660" w:line="324" w:lineRule="exact"/>
      <w:jc w:val="both"/>
    </w:pPr>
    <w:rPr>
      <w:rFonts w:eastAsia="Calibri"/>
      <w:sz w:val="26"/>
      <w:szCs w:val="26"/>
      <w:lang w:eastAsia="en-US"/>
    </w:rPr>
  </w:style>
  <w:style w:type="character" w:customStyle="1" w:styleId="16">
    <w:name w:val="Основной текст (16)_"/>
    <w:basedOn w:val="DefaultParagraphFont"/>
    <w:link w:val="161"/>
    <w:uiPriority w:val="99"/>
    <w:rsid w:val="00931805"/>
    <w:rPr>
      <w:rFonts w:ascii="Arial Narrow" w:hAnsi="Arial Narrow" w:cs="Arial Narrow"/>
      <w:sz w:val="27"/>
      <w:szCs w:val="27"/>
      <w:shd w:val="clear" w:color="auto" w:fill="FFFFFF"/>
    </w:rPr>
  </w:style>
  <w:style w:type="character" w:customStyle="1" w:styleId="160">
    <w:name w:val="Основной текст (16) + Курсив"/>
    <w:basedOn w:val="16"/>
    <w:uiPriority w:val="99"/>
    <w:rsid w:val="00931805"/>
    <w:rPr>
      <w:rFonts w:ascii="Arial Narrow" w:hAnsi="Arial Narrow" w:cs="Arial Narrow"/>
      <w:i/>
      <w:iCs/>
      <w:sz w:val="27"/>
      <w:szCs w:val="27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931805"/>
    <w:pPr>
      <w:widowControl w:val="0"/>
      <w:shd w:val="clear" w:color="auto" w:fill="FFFFFF"/>
      <w:spacing w:after="60" w:line="240" w:lineRule="atLeast"/>
    </w:pPr>
    <w:rPr>
      <w:rFonts w:ascii="Arial Narrow" w:eastAsia="Calibri" w:hAnsi="Arial Narrow" w:cs="Arial Narrow"/>
      <w:sz w:val="27"/>
      <w:szCs w:val="27"/>
      <w:lang w:eastAsia="en-US"/>
    </w:rPr>
  </w:style>
  <w:style w:type="character" w:customStyle="1" w:styleId="12">
    <w:name w:val="Основной текст (12)_"/>
    <w:basedOn w:val="DefaultParagraphFont"/>
    <w:link w:val="121"/>
    <w:uiPriority w:val="99"/>
    <w:rsid w:val="00A578DC"/>
    <w:rPr>
      <w:rFonts w:ascii="Candara" w:hAnsi="Candara" w:cs="Candara"/>
      <w:sz w:val="15"/>
      <w:szCs w:val="15"/>
      <w:shd w:val="clear" w:color="auto" w:fill="FFFFFF"/>
    </w:rPr>
  </w:style>
  <w:style w:type="character" w:customStyle="1" w:styleId="a1">
    <w:name w:val="Подпись к картинке_"/>
    <w:basedOn w:val="DefaultParagraphFont"/>
    <w:link w:val="a2"/>
    <w:uiPriority w:val="99"/>
    <w:rsid w:val="00A578D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A578DC"/>
    <w:pPr>
      <w:widowControl w:val="0"/>
      <w:shd w:val="clear" w:color="auto" w:fill="FFFFFF"/>
      <w:spacing w:line="240" w:lineRule="atLeast"/>
      <w:ind w:hanging="680"/>
      <w:jc w:val="right"/>
    </w:pPr>
    <w:rPr>
      <w:rFonts w:ascii="Candara" w:eastAsia="Calibri" w:hAnsi="Candara" w:cs="Candara"/>
      <w:sz w:val="15"/>
      <w:szCs w:val="15"/>
      <w:lang w:eastAsia="en-US"/>
    </w:rPr>
  </w:style>
  <w:style w:type="paragraph" w:customStyle="1" w:styleId="a2">
    <w:name w:val="Подпись к картинке"/>
    <w:basedOn w:val="Normal"/>
    <w:link w:val="a1"/>
    <w:uiPriority w:val="99"/>
    <w:rsid w:val="00A578DC"/>
    <w:pPr>
      <w:widowControl w:val="0"/>
      <w:shd w:val="clear" w:color="auto" w:fill="FFFFFF"/>
      <w:spacing w:line="240" w:lineRule="atLeast"/>
    </w:pPr>
    <w:rPr>
      <w:rFonts w:eastAsia="Calibri"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25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82522"/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B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C2F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5FA"/>
    <w:pPr>
      <w:ind w:left="720"/>
      <w:contextualSpacing/>
    </w:pPr>
  </w:style>
  <w:style w:type="paragraph" w:customStyle="1" w:styleId="tt">
    <w:name w:val="tt"/>
    <w:basedOn w:val="Normal"/>
    <w:rsid w:val="00120C2F"/>
    <w:pPr>
      <w:jc w:val="center"/>
    </w:pPr>
    <w:rPr>
      <w:b/>
      <w:bCs/>
      <w:lang w:val="en-US" w:eastAsia="en-US"/>
    </w:rPr>
  </w:style>
  <w:style w:type="paragraph" w:customStyle="1" w:styleId="FR2">
    <w:name w:val="FR2"/>
    <w:rsid w:val="00120C2F"/>
    <w:pPr>
      <w:widowControl w:val="0"/>
      <w:snapToGrid w:val="0"/>
      <w:spacing w:before="100" w:line="360" w:lineRule="auto"/>
      <w:ind w:left="120"/>
    </w:pPr>
    <w:rPr>
      <w:rFonts w:ascii="Arial" w:eastAsia="Times New Roman" w:hAnsi="Arial"/>
      <w:sz w:val="24"/>
      <w:lang w:val="ro-RO" w:eastAsia="ru-RU"/>
    </w:rPr>
  </w:style>
  <w:style w:type="character" w:styleId="Hyperlink">
    <w:name w:val="Hyperlink"/>
    <w:rsid w:val="00931805"/>
    <w:rPr>
      <w:color w:val="0000FF"/>
      <w:u w:val="single"/>
    </w:rPr>
  </w:style>
  <w:style w:type="character" w:customStyle="1" w:styleId="a">
    <w:name w:val="Основной текст_"/>
    <w:basedOn w:val="DefaultParagraphFont"/>
    <w:link w:val="a0"/>
    <w:uiPriority w:val="99"/>
    <w:rsid w:val="0093180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0">
    <w:name w:val="Основной текст"/>
    <w:basedOn w:val="Normal"/>
    <w:link w:val="a"/>
    <w:uiPriority w:val="99"/>
    <w:rsid w:val="00931805"/>
    <w:pPr>
      <w:widowControl w:val="0"/>
      <w:shd w:val="clear" w:color="auto" w:fill="FFFFFF"/>
      <w:spacing w:before="660" w:line="324" w:lineRule="exact"/>
      <w:jc w:val="both"/>
    </w:pPr>
    <w:rPr>
      <w:rFonts w:eastAsia="Calibri"/>
      <w:sz w:val="26"/>
      <w:szCs w:val="26"/>
      <w:lang w:eastAsia="en-US"/>
    </w:rPr>
  </w:style>
  <w:style w:type="character" w:customStyle="1" w:styleId="16">
    <w:name w:val="Основной текст (16)_"/>
    <w:basedOn w:val="DefaultParagraphFont"/>
    <w:link w:val="161"/>
    <w:uiPriority w:val="99"/>
    <w:rsid w:val="00931805"/>
    <w:rPr>
      <w:rFonts w:ascii="Arial Narrow" w:hAnsi="Arial Narrow" w:cs="Arial Narrow"/>
      <w:sz w:val="27"/>
      <w:szCs w:val="27"/>
      <w:shd w:val="clear" w:color="auto" w:fill="FFFFFF"/>
    </w:rPr>
  </w:style>
  <w:style w:type="character" w:customStyle="1" w:styleId="160">
    <w:name w:val="Основной текст (16) + Курсив"/>
    <w:basedOn w:val="16"/>
    <w:uiPriority w:val="99"/>
    <w:rsid w:val="00931805"/>
    <w:rPr>
      <w:rFonts w:ascii="Arial Narrow" w:hAnsi="Arial Narrow" w:cs="Arial Narrow"/>
      <w:i/>
      <w:iCs/>
      <w:sz w:val="27"/>
      <w:szCs w:val="27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931805"/>
    <w:pPr>
      <w:widowControl w:val="0"/>
      <w:shd w:val="clear" w:color="auto" w:fill="FFFFFF"/>
      <w:spacing w:after="60" w:line="240" w:lineRule="atLeast"/>
    </w:pPr>
    <w:rPr>
      <w:rFonts w:ascii="Arial Narrow" w:eastAsia="Calibri" w:hAnsi="Arial Narrow" w:cs="Arial Narrow"/>
      <w:sz w:val="27"/>
      <w:szCs w:val="27"/>
      <w:lang w:eastAsia="en-US"/>
    </w:rPr>
  </w:style>
  <w:style w:type="character" w:customStyle="1" w:styleId="12">
    <w:name w:val="Основной текст (12)_"/>
    <w:basedOn w:val="DefaultParagraphFont"/>
    <w:link w:val="121"/>
    <w:uiPriority w:val="99"/>
    <w:rsid w:val="00A578DC"/>
    <w:rPr>
      <w:rFonts w:ascii="Candara" w:hAnsi="Candara" w:cs="Candara"/>
      <w:sz w:val="15"/>
      <w:szCs w:val="15"/>
      <w:shd w:val="clear" w:color="auto" w:fill="FFFFFF"/>
    </w:rPr>
  </w:style>
  <w:style w:type="character" w:customStyle="1" w:styleId="a1">
    <w:name w:val="Подпись к картинке_"/>
    <w:basedOn w:val="DefaultParagraphFont"/>
    <w:link w:val="a2"/>
    <w:uiPriority w:val="99"/>
    <w:rsid w:val="00A578D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A578DC"/>
    <w:pPr>
      <w:widowControl w:val="0"/>
      <w:shd w:val="clear" w:color="auto" w:fill="FFFFFF"/>
      <w:spacing w:line="240" w:lineRule="atLeast"/>
      <w:ind w:hanging="680"/>
      <w:jc w:val="right"/>
    </w:pPr>
    <w:rPr>
      <w:rFonts w:ascii="Candara" w:eastAsia="Calibri" w:hAnsi="Candara" w:cs="Candara"/>
      <w:sz w:val="15"/>
      <w:szCs w:val="15"/>
      <w:lang w:eastAsia="en-US"/>
    </w:rPr>
  </w:style>
  <w:style w:type="paragraph" w:customStyle="1" w:styleId="a2">
    <w:name w:val="Подпись к картинке"/>
    <w:basedOn w:val="Normal"/>
    <w:link w:val="a1"/>
    <w:uiPriority w:val="99"/>
    <w:rsid w:val="00A578DC"/>
    <w:pPr>
      <w:widowControl w:val="0"/>
      <w:shd w:val="clear" w:color="auto" w:fill="FFFFFF"/>
      <w:spacing w:line="240" w:lineRule="atLeast"/>
    </w:pPr>
    <w:rPr>
      <w:rFonts w:eastAsia="Calibri"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25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82522"/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B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Jomiru</dc:creator>
  <cp:lastModifiedBy>Jomiru</cp:lastModifiedBy>
  <cp:revision>4</cp:revision>
  <cp:lastPrinted>2018-05-14T10:49:00Z</cp:lastPrinted>
  <dcterms:created xsi:type="dcterms:W3CDTF">2018-05-14T06:25:00Z</dcterms:created>
  <dcterms:modified xsi:type="dcterms:W3CDTF">2018-05-15T13:53:00Z</dcterms:modified>
</cp:coreProperties>
</file>