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986" w:rsidRPr="00B360B8" w:rsidRDefault="00F41986" w:rsidP="00F41986">
      <w:pPr>
        <w:rPr>
          <w:lang w:val="ro-RO"/>
        </w:rPr>
      </w:pPr>
      <w:bookmarkStart w:id="0" w:name="_GoBack"/>
      <w:bookmarkEnd w:id="0"/>
    </w:p>
    <w:tbl>
      <w:tblPr>
        <w:tblStyle w:val="TableGrid"/>
        <w:tblW w:w="10260" w:type="dxa"/>
        <w:tblInd w:w="-252" w:type="dxa"/>
        <w:tblLook w:val="04A0" w:firstRow="1" w:lastRow="0" w:firstColumn="1" w:lastColumn="0" w:noHBand="0" w:noVBand="1"/>
      </w:tblPr>
      <w:tblGrid>
        <w:gridCol w:w="10395"/>
      </w:tblGrid>
      <w:tr w:rsidR="00596F57" w:rsidRPr="00596F57" w:rsidTr="00064CA9">
        <w:trPr>
          <w:trHeight w:val="1415"/>
        </w:trPr>
        <w:tc>
          <w:tcPr>
            <w:tcW w:w="10260" w:type="dxa"/>
          </w:tcPr>
          <w:p w:rsidR="00E91750" w:rsidRPr="00596F57" w:rsidRDefault="00F41986" w:rsidP="00E91750">
            <w:pPr>
              <w:spacing w:line="240" w:lineRule="auto"/>
              <w:jc w:val="center"/>
              <w:rPr>
                <w:rFonts w:ascii="Times New Roman" w:hAnsi="Times New Roman" w:cs="Times New Roman"/>
                <w:b/>
                <w:bCs/>
                <w:sz w:val="24"/>
                <w:szCs w:val="24"/>
                <w:lang w:val="ro-RO"/>
              </w:rPr>
            </w:pPr>
            <w:r w:rsidRPr="00596F57">
              <w:rPr>
                <w:rFonts w:ascii="Times New Roman" w:hAnsi="Times New Roman" w:cs="Times New Roman"/>
                <w:b/>
                <w:bCs/>
                <w:sz w:val="24"/>
                <w:szCs w:val="24"/>
                <w:lang w:val="ro-RO"/>
              </w:rPr>
              <w:t>NOTA INFORMATIVĂ</w:t>
            </w:r>
          </w:p>
          <w:p w:rsidR="00F41986" w:rsidRPr="00596F57" w:rsidRDefault="00F41986" w:rsidP="00E91750">
            <w:pPr>
              <w:spacing w:line="240" w:lineRule="auto"/>
              <w:jc w:val="center"/>
              <w:rPr>
                <w:rFonts w:ascii="Times New Roman" w:hAnsi="Times New Roman" w:cs="Times New Roman"/>
                <w:sz w:val="24"/>
                <w:szCs w:val="24"/>
              </w:rPr>
            </w:pPr>
            <w:r w:rsidRPr="00596F57">
              <w:rPr>
                <w:rFonts w:ascii="Times New Roman" w:hAnsi="Times New Roman" w:cs="Times New Roman"/>
                <w:sz w:val="24"/>
                <w:szCs w:val="24"/>
                <w:lang w:val="ro-RO"/>
              </w:rPr>
              <w:t xml:space="preserve">la Proiectul Hotărârii de Guvern </w:t>
            </w:r>
            <w:r w:rsidRPr="00596F57">
              <w:rPr>
                <w:rFonts w:ascii="Times New Roman" w:hAnsi="Times New Roman" w:cs="Times New Roman"/>
                <w:i/>
                <w:iCs/>
                <w:sz w:val="24"/>
                <w:szCs w:val="24"/>
                <w:lang w:val="ro-RO"/>
              </w:rPr>
              <w:t>Cu privire la aprobarea Metodologiei de finanțare a învățământului superior</w:t>
            </w:r>
            <w:r w:rsidR="00933900" w:rsidRPr="00596F57">
              <w:rPr>
                <w:rFonts w:ascii="Times New Roman" w:hAnsi="Times New Roman" w:cs="Times New Roman"/>
                <w:i/>
                <w:iCs/>
                <w:sz w:val="24"/>
                <w:szCs w:val="24"/>
              </w:rPr>
              <w:t xml:space="preserve"> public</w:t>
            </w:r>
          </w:p>
        </w:tc>
      </w:tr>
      <w:tr w:rsidR="00596F57" w:rsidRPr="00596F57" w:rsidTr="00E80C3C">
        <w:trPr>
          <w:trHeight w:val="58"/>
        </w:trPr>
        <w:tc>
          <w:tcPr>
            <w:tcW w:w="10260" w:type="dxa"/>
          </w:tcPr>
          <w:p w:rsidR="00F41986" w:rsidRPr="00596F57" w:rsidRDefault="00F41986" w:rsidP="00F41986">
            <w:pPr>
              <w:pStyle w:val="ListParagraph"/>
              <w:numPr>
                <w:ilvl w:val="0"/>
                <w:numId w:val="2"/>
              </w:numPr>
              <w:spacing w:after="0" w:line="240" w:lineRule="auto"/>
              <w:rPr>
                <w:rFonts w:ascii="Times New Roman" w:hAnsi="Times New Roman" w:cs="Times New Roman"/>
                <w:b/>
                <w:sz w:val="24"/>
                <w:szCs w:val="24"/>
                <w:lang w:val="ro-RO"/>
              </w:rPr>
            </w:pPr>
            <w:r w:rsidRPr="00596F57">
              <w:rPr>
                <w:rFonts w:ascii="Times New Roman" w:hAnsi="Times New Roman" w:cs="Times New Roman"/>
                <w:b/>
                <w:sz w:val="24"/>
                <w:szCs w:val="24"/>
                <w:lang w:val="ro-RO"/>
              </w:rPr>
              <w:t>Condițiile care au impus elaborarea proiectului</w:t>
            </w:r>
          </w:p>
        </w:tc>
      </w:tr>
      <w:tr w:rsidR="00596F57" w:rsidRPr="00596F57" w:rsidTr="00E80C3C">
        <w:tc>
          <w:tcPr>
            <w:tcW w:w="10260" w:type="dxa"/>
          </w:tcPr>
          <w:p w:rsidR="009664FB" w:rsidRPr="00596F57" w:rsidRDefault="00F41986" w:rsidP="00E91750">
            <w:pPr>
              <w:pStyle w:val="ListParagraph"/>
              <w:spacing w:after="0" w:line="276" w:lineRule="auto"/>
              <w:ind w:left="0" w:firstLine="360"/>
              <w:jc w:val="both"/>
              <w:rPr>
                <w:rFonts w:ascii="Times New Roman" w:hAnsi="Times New Roman" w:cs="Times New Roman"/>
                <w:iCs/>
                <w:sz w:val="24"/>
                <w:szCs w:val="24"/>
                <w:lang w:val="ro-RO"/>
              </w:rPr>
            </w:pPr>
            <w:r w:rsidRPr="00596F57">
              <w:rPr>
                <w:rFonts w:ascii="Times New Roman" w:hAnsi="Times New Roman" w:cs="Times New Roman"/>
                <w:iCs/>
                <w:sz w:val="24"/>
                <w:szCs w:val="24"/>
              </w:rPr>
              <w:t xml:space="preserve">           Î</w:t>
            </w:r>
            <w:r w:rsidRPr="00596F57">
              <w:rPr>
                <w:rFonts w:ascii="Times New Roman" w:hAnsi="Times New Roman" w:cs="Times New Roman"/>
                <w:iCs/>
                <w:sz w:val="24"/>
                <w:szCs w:val="24"/>
                <w:lang w:val="ro-RO"/>
              </w:rPr>
              <w:t>ncep</w:t>
            </w:r>
            <w:r w:rsidR="00AA4B05" w:rsidRPr="00596F57">
              <w:rPr>
                <w:rFonts w:ascii="Times New Roman" w:hAnsi="Times New Roman" w:cs="Times New Roman"/>
                <w:iCs/>
                <w:sz w:val="24"/>
                <w:szCs w:val="24"/>
                <w:lang w:val="ro-RO"/>
              </w:rPr>
              <w:t>â</w:t>
            </w:r>
            <w:r w:rsidRPr="00596F57">
              <w:rPr>
                <w:rFonts w:ascii="Times New Roman" w:hAnsi="Times New Roman" w:cs="Times New Roman"/>
                <w:iCs/>
                <w:sz w:val="24"/>
                <w:szCs w:val="24"/>
                <w:lang w:val="ro-RO"/>
              </w:rPr>
              <w:t>nd cu 1 ianuarie 2013, 16 institutii</w:t>
            </w:r>
            <w:r w:rsidR="00E80C3C" w:rsidRPr="00596F57">
              <w:rPr>
                <w:rFonts w:ascii="Times New Roman" w:hAnsi="Times New Roman" w:cs="Times New Roman"/>
                <w:iCs/>
                <w:sz w:val="24"/>
                <w:szCs w:val="24"/>
              </w:rPr>
              <w:t>le</w:t>
            </w:r>
            <w:r w:rsidRPr="00596F57">
              <w:rPr>
                <w:rFonts w:ascii="Times New Roman" w:hAnsi="Times New Roman" w:cs="Times New Roman"/>
                <w:iCs/>
                <w:sz w:val="24"/>
                <w:szCs w:val="24"/>
                <w:lang w:val="ro-RO"/>
              </w:rPr>
              <w:t xml:space="preserve"> de învățământ superior publice au trecut la autonomia financiară. Pe parcursul a mai mulți ani MECC a fost în căutarea unei </w:t>
            </w:r>
            <w:proofErr w:type="spellStart"/>
            <w:r w:rsidR="00933900" w:rsidRPr="00596F57">
              <w:rPr>
                <w:rFonts w:ascii="Times New Roman" w:hAnsi="Times New Roman" w:cs="Times New Roman"/>
                <w:iCs/>
                <w:sz w:val="24"/>
                <w:szCs w:val="24"/>
              </w:rPr>
              <w:t>Metodologii</w:t>
            </w:r>
            <w:proofErr w:type="spellEnd"/>
            <w:r w:rsidRPr="00596F57">
              <w:rPr>
                <w:rFonts w:ascii="Times New Roman" w:hAnsi="Times New Roman" w:cs="Times New Roman"/>
                <w:iCs/>
                <w:sz w:val="24"/>
                <w:szCs w:val="24"/>
                <w:lang w:val="ro-RO"/>
              </w:rPr>
              <w:t xml:space="preserve"> de finanțare a învățământului superior</w:t>
            </w:r>
            <w:r w:rsidR="00933900" w:rsidRPr="00596F57">
              <w:rPr>
                <w:rFonts w:ascii="Times New Roman" w:hAnsi="Times New Roman" w:cs="Times New Roman"/>
                <w:iCs/>
                <w:sz w:val="24"/>
                <w:szCs w:val="24"/>
              </w:rPr>
              <w:t xml:space="preserve"> public</w:t>
            </w:r>
            <w:r w:rsidRPr="00596F57">
              <w:rPr>
                <w:rFonts w:ascii="Times New Roman" w:hAnsi="Times New Roman" w:cs="Times New Roman"/>
                <w:iCs/>
                <w:sz w:val="24"/>
                <w:szCs w:val="24"/>
                <w:lang w:val="ro-RO"/>
              </w:rPr>
              <w:t>, dar și a altor mecanisme de finanțare</w:t>
            </w:r>
            <w:r w:rsidR="009664FB" w:rsidRPr="00596F57">
              <w:rPr>
                <w:rFonts w:ascii="Times New Roman" w:hAnsi="Times New Roman" w:cs="Times New Roman"/>
                <w:iCs/>
                <w:sz w:val="24"/>
                <w:szCs w:val="24"/>
                <w:lang w:val="ro-RO"/>
              </w:rPr>
              <w:t>,</w:t>
            </w:r>
            <w:r w:rsidRPr="00596F57">
              <w:rPr>
                <w:rFonts w:ascii="Times New Roman" w:hAnsi="Times New Roman" w:cs="Times New Roman"/>
                <w:iCs/>
                <w:sz w:val="24"/>
                <w:szCs w:val="24"/>
                <w:lang w:val="ro-RO"/>
              </w:rPr>
              <w:t xml:space="preserve"> care ar </w:t>
            </w:r>
            <w:r w:rsidR="009664FB" w:rsidRPr="00596F57">
              <w:rPr>
                <w:rFonts w:ascii="Times New Roman" w:hAnsi="Times New Roman" w:cs="Times New Roman"/>
                <w:iCs/>
                <w:sz w:val="24"/>
                <w:szCs w:val="24"/>
                <w:lang w:val="ro-RO"/>
              </w:rPr>
              <w:t>prezenta câteva avantaje importante de alocare a fondurilor de la bugetul de stat către universități</w:t>
            </w:r>
            <w:r w:rsidR="00933900" w:rsidRPr="00596F57">
              <w:rPr>
                <w:rFonts w:ascii="Times New Roman" w:hAnsi="Times New Roman" w:cs="Times New Roman"/>
                <w:iCs/>
                <w:sz w:val="24"/>
                <w:szCs w:val="24"/>
              </w:rPr>
              <w:t xml:space="preserve">le </w:t>
            </w:r>
            <w:proofErr w:type="spellStart"/>
            <w:r w:rsidR="00E80C3C" w:rsidRPr="00596F57">
              <w:rPr>
                <w:rFonts w:ascii="Times New Roman" w:hAnsi="Times New Roman" w:cs="Times New Roman"/>
                <w:iCs/>
                <w:sz w:val="24"/>
                <w:szCs w:val="24"/>
              </w:rPr>
              <w:t>publice</w:t>
            </w:r>
            <w:proofErr w:type="spellEnd"/>
            <w:r w:rsidR="009664FB" w:rsidRPr="00596F57">
              <w:rPr>
                <w:rFonts w:ascii="Times New Roman" w:hAnsi="Times New Roman" w:cs="Times New Roman"/>
                <w:iCs/>
                <w:sz w:val="24"/>
                <w:szCs w:val="24"/>
                <w:lang w:val="ro-RO"/>
              </w:rPr>
              <w:t>:</w:t>
            </w:r>
          </w:p>
          <w:p w:rsidR="009664FB" w:rsidRPr="00596F57" w:rsidRDefault="009664FB" w:rsidP="00E91750">
            <w:pPr>
              <w:pStyle w:val="ListParagraph"/>
              <w:numPr>
                <w:ilvl w:val="0"/>
                <w:numId w:val="6"/>
              </w:numPr>
              <w:spacing w:after="0" w:line="276" w:lineRule="auto"/>
              <w:ind w:left="1797" w:hanging="357"/>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Creșterea autonomiei universitare;</w:t>
            </w:r>
          </w:p>
          <w:p w:rsidR="009664FB" w:rsidRPr="00596F57" w:rsidRDefault="009664FB" w:rsidP="00E91750">
            <w:pPr>
              <w:pStyle w:val="ListParagraph"/>
              <w:numPr>
                <w:ilvl w:val="0"/>
                <w:numId w:val="6"/>
              </w:numPr>
              <w:spacing w:after="0" w:line="276" w:lineRule="auto"/>
              <w:ind w:left="1797" w:hanging="357"/>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Creșterea eficienței utilizării fondurilor bugetare și a transparenței;</w:t>
            </w:r>
          </w:p>
          <w:p w:rsidR="009664FB" w:rsidRPr="00596F57" w:rsidRDefault="009664FB" w:rsidP="00E91750">
            <w:pPr>
              <w:pStyle w:val="ListParagraph"/>
              <w:numPr>
                <w:ilvl w:val="0"/>
                <w:numId w:val="6"/>
              </w:numPr>
              <w:spacing w:after="0" w:line="276" w:lineRule="auto"/>
              <w:ind w:left="1797" w:hanging="357"/>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Îmbunătățirea calității programelor de studii și a cercetării științifice din universități;</w:t>
            </w:r>
          </w:p>
          <w:p w:rsidR="009664FB" w:rsidRPr="00596F57" w:rsidRDefault="009664FB" w:rsidP="00E91750">
            <w:pPr>
              <w:pStyle w:val="ListParagraph"/>
              <w:numPr>
                <w:ilvl w:val="0"/>
                <w:numId w:val="6"/>
              </w:numPr>
              <w:spacing w:after="0" w:line="276" w:lineRule="auto"/>
              <w:ind w:left="1797" w:hanging="357"/>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Apariția în timp a unei flexibilități bugetare;</w:t>
            </w:r>
          </w:p>
          <w:p w:rsidR="009664FB" w:rsidRPr="00596F57" w:rsidRDefault="009664FB" w:rsidP="00E91750">
            <w:pPr>
              <w:pStyle w:val="ListParagraph"/>
              <w:numPr>
                <w:ilvl w:val="0"/>
                <w:numId w:val="6"/>
              </w:numPr>
              <w:spacing w:after="0" w:line="276" w:lineRule="auto"/>
              <w:ind w:left="1797" w:hanging="357"/>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 xml:space="preserve">Centrarea activităților universităților pe studenți și nevoile acestora de formare profesonală. </w:t>
            </w:r>
          </w:p>
          <w:p w:rsidR="00F41986" w:rsidRPr="00596F57" w:rsidRDefault="00F41986" w:rsidP="00E91750">
            <w:pPr>
              <w:spacing w:after="0" w:line="276" w:lineRule="auto"/>
              <w:jc w:val="both"/>
              <w:rPr>
                <w:rFonts w:ascii="Times New Roman" w:hAnsi="Times New Roman" w:cs="Times New Roman"/>
                <w:iCs/>
                <w:sz w:val="24"/>
                <w:szCs w:val="24"/>
                <w:lang w:val="ro-RO"/>
              </w:rPr>
            </w:pPr>
          </w:p>
          <w:p w:rsidR="00F41986" w:rsidRPr="00596F57" w:rsidRDefault="00933900" w:rsidP="00E91750">
            <w:pPr>
              <w:pStyle w:val="NormalWeb"/>
              <w:spacing w:before="0" w:beforeAutospacing="0" w:after="160" w:afterAutospacing="0" w:line="276" w:lineRule="auto"/>
              <w:ind w:firstLine="709"/>
              <w:jc w:val="both"/>
              <w:rPr>
                <w:lang w:val="ro-RO"/>
              </w:rPr>
            </w:pPr>
            <w:r w:rsidRPr="00596F57">
              <w:t>C</w:t>
            </w:r>
            <w:r w:rsidR="00F41986" w:rsidRPr="00596F57">
              <w:rPr>
                <w:lang w:val="ro-RO"/>
              </w:rPr>
              <w:t>onform Codul</w:t>
            </w:r>
            <w:proofErr w:type="spellStart"/>
            <w:r w:rsidRPr="00596F57">
              <w:t>ui</w:t>
            </w:r>
            <w:proofErr w:type="spellEnd"/>
            <w:r w:rsidR="00F41986" w:rsidRPr="00596F57">
              <w:rPr>
                <w:lang w:val="ro-RO"/>
              </w:rPr>
              <w:t xml:space="preserve"> Educației al Republicii Moldova nr.152 din 17 iulie 2014, articolul 145, alineat (1), finanțarea bugetară </w:t>
            </w:r>
            <w:proofErr w:type="gramStart"/>
            <w:r w:rsidR="00F41986" w:rsidRPr="00596F57">
              <w:rPr>
                <w:lang w:val="ro-RO"/>
              </w:rPr>
              <w:t>a</w:t>
            </w:r>
            <w:proofErr w:type="gramEnd"/>
            <w:r w:rsidR="00F41986" w:rsidRPr="00596F57">
              <w:rPr>
                <w:lang w:val="ro-RO"/>
              </w:rPr>
              <w:t xml:space="preserve"> învățământului se face prin patru modalități, care iau în considerare inclusiv finanţarea-standard: cost standard per copil/elev/student şi coeficientul de ajustare.  Efectuarea acestei finanțări este posibilă prin determinarea modalității de calculare a costului per student  și a formulei de alocare a mijloacelor financiare către universități.  La definitivarea metodologiei de finanțare  a învățământului superior </w:t>
            </w:r>
            <w:r w:rsidRPr="00596F57">
              <w:t xml:space="preserve">public </w:t>
            </w:r>
            <w:r w:rsidR="00F41986" w:rsidRPr="00596F57">
              <w:rPr>
                <w:lang w:val="ro-RO"/>
              </w:rPr>
              <w:t xml:space="preserve">s-a ținut cont de rezultatele proiectului TEMPUS EUniAM, precum și de  opinia experților din România în cadrul unui proiect TAIEX, a fost consultat cu toate universitățile, cu Consiliul rectorilor. </w:t>
            </w:r>
          </w:p>
        </w:tc>
      </w:tr>
      <w:tr w:rsidR="00596F57" w:rsidRPr="00596F57" w:rsidTr="00596F57">
        <w:tc>
          <w:tcPr>
            <w:tcW w:w="10260" w:type="dxa"/>
          </w:tcPr>
          <w:p w:rsidR="00F41986" w:rsidRPr="00596F57" w:rsidRDefault="00F41986" w:rsidP="00064CA9">
            <w:pPr>
              <w:ind w:left="360"/>
              <w:rPr>
                <w:rFonts w:ascii="Times New Roman" w:hAnsi="Times New Roman" w:cs="Times New Roman"/>
                <w:b/>
                <w:sz w:val="24"/>
                <w:szCs w:val="24"/>
                <w:lang w:val="ro-RO"/>
              </w:rPr>
            </w:pPr>
            <w:r w:rsidRPr="00596F57">
              <w:rPr>
                <w:rFonts w:ascii="Times New Roman" w:hAnsi="Times New Roman" w:cs="Times New Roman"/>
                <w:b/>
                <w:sz w:val="24"/>
                <w:szCs w:val="24"/>
                <w:lang w:val="ro-RO"/>
              </w:rPr>
              <w:t>2. Esența proiectului</w:t>
            </w:r>
          </w:p>
        </w:tc>
      </w:tr>
      <w:tr w:rsidR="00596F57" w:rsidRPr="00596F57" w:rsidTr="00596F57">
        <w:tc>
          <w:tcPr>
            <w:tcW w:w="10260" w:type="dxa"/>
          </w:tcPr>
          <w:p w:rsidR="00596F57" w:rsidRPr="00596F57" w:rsidRDefault="00596F57" w:rsidP="00596F57">
            <w:pPr>
              <w:spacing w:line="276" w:lineRule="auto"/>
              <w:ind w:firstLine="709"/>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 xml:space="preserve">În vederea eficientizării resurselor financiare ale statului și asigurării transparenței alocării surselor financiare destinate </w:t>
            </w:r>
            <w:proofErr w:type="spellStart"/>
            <w:r w:rsidRPr="00596F57">
              <w:rPr>
                <w:rFonts w:ascii="Times New Roman" w:hAnsi="Times New Roman" w:cs="Times New Roman"/>
                <w:sz w:val="24"/>
                <w:szCs w:val="24"/>
              </w:rPr>
              <w:t>formarii</w:t>
            </w:r>
            <w:proofErr w:type="spellEnd"/>
            <w:r w:rsidRPr="00596F57">
              <w:rPr>
                <w:rFonts w:ascii="Times New Roman" w:hAnsi="Times New Roman" w:cs="Times New Roman"/>
                <w:sz w:val="24"/>
                <w:szCs w:val="24"/>
                <w:lang w:val="ro-RO"/>
              </w:rPr>
              <w:t xml:space="preserve"> profesionale </w:t>
            </w:r>
            <w:proofErr w:type="spellStart"/>
            <w:r w:rsidRPr="00596F57">
              <w:rPr>
                <w:rFonts w:ascii="Times New Roman" w:hAnsi="Times New Roman" w:cs="Times New Roman"/>
                <w:sz w:val="24"/>
                <w:szCs w:val="24"/>
              </w:rPr>
              <w:t>initiale</w:t>
            </w:r>
            <w:proofErr w:type="spellEnd"/>
            <w:r w:rsidRPr="00596F57">
              <w:rPr>
                <w:rFonts w:ascii="Times New Roman" w:hAnsi="Times New Roman" w:cs="Times New Roman"/>
                <w:sz w:val="24"/>
                <w:szCs w:val="24"/>
              </w:rPr>
              <w:t xml:space="preserve"> </w:t>
            </w:r>
            <w:r w:rsidRPr="00596F57">
              <w:rPr>
                <w:rFonts w:ascii="Times New Roman" w:hAnsi="Times New Roman" w:cs="Times New Roman"/>
                <w:sz w:val="24"/>
                <w:szCs w:val="24"/>
                <w:lang w:val="ro-RO"/>
              </w:rPr>
              <w:t xml:space="preserve">pe universități, se propune utilizarea finanțării universităților în baza unei formule de calcul, descrisă în prezenta </w:t>
            </w:r>
            <w:proofErr w:type="spellStart"/>
            <w:r w:rsidRPr="00596F57">
              <w:rPr>
                <w:rFonts w:ascii="Times New Roman" w:eastAsia="Times New Roman" w:hAnsi="Times New Roman" w:cs="Times New Roman"/>
                <w:sz w:val="24"/>
                <w:szCs w:val="24"/>
                <w:lang w:eastAsia="ru-RU"/>
              </w:rPr>
              <w:t>Metodologie</w:t>
            </w:r>
            <w:proofErr w:type="spellEnd"/>
            <w:r w:rsidRPr="00596F57">
              <w:rPr>
                <w:rFonts w:ascii="Times New Roman" w:eastAsia="Times New Roman" w:hAnsi="Times New Roman" w:cs="Times New Roman"/>
                <w:sz w:val="24"/>
                <w:szCs w:val="24"/>
                <w:lang w:eastAsia="ru-RU"/>
              </w:rPr>
              <w:t xml:space="preserve"> de </w:t>
            </w:r>
            <w:proofErr w:type="spellStart"/>
            <w:r w:rsidRPr="00596F57">
              <w:rPr>
                <w:rFonts w:ascii="Times New Roman" w:eastAsia="Times New Roman" w:hAnsi="Times New Roman" w:cs="Times New Roman"/>
                <w:sz w:val="24"/>
                <w:szCs w:val="24"/>
                <w:lang w:eastAsia="ru-RU"/>
              </w:rPr>
              <w:t>finanțare</w:t>
            </w:r>
            <w:proofErr w:type="spellEnd"/>
            <w:r w:rsidRPr="00596F57">
              <w:rPr>
                <w:rFonts w:ascii="Times New Roman" w:eastAsia="Times New Roman" w:hAnsi="Times New Roman" w:cs="Times New Roman"/>
                <w:sz w:val="24"/>
                <w:szCs w:val="24"/>
                <w:lang w:eastAsia="ru-RU"/>
              </w:rPr>
              <w:t xml:space="preserve"> a </w:t>
            </w:r>
            <w:proofErr w:type="spellStart"/>
            <w:r w:rsidRPr="00596F57">
              <w:rPr>
                <w:rFonts w:ascii="Times New Roman" w:eastAsia="Times New Roman" w:hAnsi="Times New Roman" w:cs="Times New Roman"/>
                <w:sz w:val="24"/>
                <w:szCs w:val="24"/>
                <w:lang w:eastAsia="ru-RU"/>
              </w:rPr>
              <w:t>învățământului</w:t>
            </w:r>
            <w:proofErr w:type="spellEnd"/>
            <w:r w:rsidRPr="00596F57">
              <w:rPr>
                <w:rFonts w:ascii="Times New Roman" w:eastAsia="Times New Roman" w:hAnsi="Times New Roman" w:cs="Times New Roman"/>
                <w:sz w:val="24"/>
                <w:szCs w:val="24"/>
                <w:lang w:eastAsia="ru-RU"/>
              </w:rPr>
              <w:t xml:space="preserve"> superior public</w:t>
            </w:r>
            <w:r w:rsidRPr="00596F57">
              <w:rPr>
                <w:rFonts w:ascii="Times New Roman" w:hAnsi="Times New Roman" w:cs="Times New Roman"/>
                <w:sz w:val="24"/>
                <w:szCs w:val="24"/>
                <w:lang w:val="ro-RO"/>
              </w:rPr>
              <w:t>.  Metodologia propusă se referă doar la finanțarea activităților de predare-învățare</w:t>
            </w:r>
            <w:r w:rsidRPr="00596F57">
              <w:rPr>
                <w:rFonts w:ascii="Times New Roman" w:hAnsi="Times New Roman" w:cs="Times New Roman"/>
                <w:sz w:val="24"/>
                <w:szCs w:val="24"/>
              </w:rPr>
              <w:t xml:space="preserve"> (f</w:t>
            </w:r>
            <w:r w:rsidRPr="00596F57">
              <w:rPr>
                <w:rFonts w:ascii="Times New Roman" w:hAnsi="Times New Roman" w:cs="Times New Roman"/>
                <w:sz w:val="24"/>
                <w:szCs w:val="24"/>
                <w:lang w:val="ro-RO"/>
              </w:rPr>
              <w:t>ă</w:t>
            </w:r>
            <w:r w:rsidRPr="00596F57">
              <w:rPr>
                <w:rFonts w:ascii="Times New Roman" w:hAnsi="Times New Roman" w:cs="Times New Roman"/>
                <w:sz w:val="24"/>
                <w:szCs w:val="24"/>
              </w:rPr>
              <w:t>r</w:t>
            </w:r>
            <w:r w:rsidRPr="00596F57">
              <w:rPr>
                <w:rFonts w:ascii="Times New Roman" w:hAnsi="Times New Roman" w:cs="Times New Roman"/>
                <w:sz w:val="24"/>
                <w:szCs w:val="24"/>
                <w:lang w:val="ro-RO"/>
              </w:rPr>
              <w:t>ă</w:t>
            </w:r>
            <w:r w:rsidRPr="00596F57">
              <w:rPr>
                <w:rFonts w:ascii="Times New Roman" w:hAnsi="Times New Roman" w:cs="Times New Roman"/>
                <w:sz w:val="24"/>
                <w:szCs w:val="24"/>
              </w:rPr>
              <w:t xml:space="preserve"> burse </w:t>
            </w:r>
            <w:proofErr w:type="spellStart"/>
            <w:r w:rsidR="00552C72">
              <w:rPr>
                <w:rFonts w:ascii="Times New Roman" w:hAnsi="Times New Roman" w:cs="Times New Roman"/>
                <w:sz w:val="24"/>
                <w:szCs w:val="24"/>
              </w:rPr>
              <w:t>ș</w:t>
            </w:r>
            <w:r w:rsidRPr="00596F57">
              <w:rPr>
                <w:rFonts w:ascii="Times New Roman" w:hAnsi="Times New Roman" w:cs="Times New Roman"/>
                <w:sz w:val="24"/>
                <w:szCs w:val="24"/>
              </w:rPr>
              <w:t>i</w:t>
            </w:r>
            <w:proofErr w:type="spellEnd"/>
            <w:r w:rsidRPr="00596F57">
              <w:rPr>
                <w:rFonts w:ascii="Times New Roman" w:hAnsi="Times New Roman" w:cs="Times New Roman"/>
                <w:sz w:val="24"/>
                <w:szCs w:val="24"/>
              </w:rPr>
              <w:t xml:space="preserve"> </w:t>
            </w:r>
            <w:proofErr w:type="spellStart"/>
            <w:r w:rsidRPr="00596F57">
              <w:rPr>
                <w:rFonts w:ascii="Times New Roman" w:hAnsi="Times New Roman" w:cs="Times New Roman"/>
                <w:sz w:val="24"/>
                <w:szCs w:val="24"/>
              </w:rPr>
              <w:t>investi</w:t>
            </w:r>
            <w:proofErr w:type="spellEnd"/>
            <w:r w:rsidRPr="00596F57">
              <w:rPr>
                <w:rFonts w:ascii="Times New Roman" w:hAnsi="Times New Roman" w:cs="Times New Roman"/>
                <w:sz w:val="24"/>
                <w:szCs w:val="24"/>
                <w:lang w:val="ro-RO"/>
              </w:rPr>
              <w:t>ț</w:t>
            </w:r>
            <w:r w:rsidRPr="00596F57">
              <w:rPr>
                <w:rFonts w:ascii="Times New Roman" w:hAnsi="Times New Roman" w:cs="Times New Roman"/>
                <w:sz w:val="24"/>
                <w:szCs w:val="24"/>
              </w:rPr>
              <w:t xml:space="preserve">ii </w:t>
            </w:r>
            <w:r w:rsidRPr="00596F57">
              <w:rPr>
                <w:rFonts w:ascii="Times New Roman" w:hAnsi="Times New Roman" w:cs="Times New Roman"/>
                <w:sz w:val="24"/>
                <w:szCs w:val="24"/>
                <w:lang w:val="ro-RO"/>
              </w:rPr>
              <w:t>în</w:t>
            </w:r>
            <w:r w:rsidRPr="00596F57">
              <w:rPr>
                <w:rFonts w:ascii="Times New Roman" w:hAnsi="Times New Roman" w:cs="Times New Roman"/>
                <w:sz w:val="24"/>
                <w:szCs w:val="24"/>
              </w:rPr>
              <w:t xml:space="preserve"> c</w:t>
            </w:r>
            <w:r w:rsidRPr="00596F57">
              <w:rPr>
                <w:rFonts w:ascii="Times New Roman" w:hAnsi="Times New Roman" w:cs="Times New Roman"/>
                <w:sz w:val="24"/>
                <w:szCs w:val="24"/>
                <w:lang w:val="ro-RO"/>
              </w:rPr>
              <w:t>ă</w:t>
            </w:r>
            <w:r w:rsidRPr="00596F57">
              <w:rPr>
                <w:rFonts w:ascii="Times New Roman" w:hAnsi="Times New Roman" w:cs="Times New Roman"/>
                <w:sz w:val="24"/>
                <w:szCs w:val="24"/>
              </w:rPr>
              <w:t>mine)</w:t>
            </w:r>
            <w:r w:rsidRPr="00596F57">
              <w:rPr>
                <w:rFonts w:ascii="Times New Roman" w:hAnsi="Times New Roman" w:cs="Times New Roman"/>
                <w:sz w:val="24"/>
                <w:szCs w:val="24"/>
                <w:lang w:val="ro-RO"/>
              </w:rPr>
              <w:t xml:space="preserve"> și ia în considerare pentru finanțarea standard trei componente  de  bază: finanțarea  de bază (FB), finanțarea de performanță (FP) și f</w:t>
            </w:r>
            <w:proofErr w:type="spellStart"/>
            <w:r w:rsidRPr="00596F57">
              <w:rPr>
                <w:rFonts w:ascii="Times New Roman" w:hAnsi="Times New Roman" w:cs="Times New Roman"/>
                <w:sz w:val="24"/>
                <w:szCs w:val="24"/>
              </w:rPr>
              <w:t>ondul</w:t>
            </w:r>
            <w:proofErr w:type="spellEnd"/>
            <w:r w:rsidRPr="00596F57">
              <w:rPr>
                <w:rFonts w:ascii="Times New Roman" w:hAnsi="Times New Roman" w:cs="Times New Roman"/>
                <w:sz w:val="24"/>
                <w:szCs w:val="24"/>
                <w:lang w:val="ro-RO"/>
              </w:rPr>
              <w:t xml:space="preserve"> de rezervă (FR). </w:t>
            </w:r>
            <w:r w:rsidRPr="00596F57">
              <w:rPr>
                <w:rFonts w:ascii="Times New Roman" w:hAnsi="Times New Roman" w:cs="Times New Roman"/>
                <w:i/>
                <w:sz w:val="24"/>
                <w:szCs w:val="24"/>
                <w:lang w:val="ro-RO"/>
              </w:rPr>
              <w:t>Finanțarea de bază</w:t>
            </w:r>
            <w:r w:rsidRPr="00596F57">
              <w:rPr>
                <w:rFonts w:ascii="Times New Roman" w:hAnsi="Times New Roman" w:cs="Times New Roman"/>
                <w:sz w:val="24"/>
                <w:szCs w:val="24"/>
                <w:lang w:val="ro-RO"/>
              </w:rPr>
              <w:t xml:space="preserve"> este destinată pentru a acoperi cheltuielile de predare-învățare-evaluare a universităților și include cheltuieli </w:t>
            </w:r>
            <w:proofErr w:type="spellStart"/>
            <w:r w:rsidRPr="00596F57">
              <w:rPr>
                <w:rFonts w:ascii="Times New Roman" w:hAnsi="Times New Roman" w:cs="Times New Roman"/>
                <w:sz w:val="24"/>
                <w:szCs w:val="24"/>
              </w:rPr>
              <w:t>pentru</w:t>
            </w:r>
            <w:proofErr w:type="spellEnd"/>
            <w:r w:rsidRPr="00596F57">
              <w:rPr>
                <w:rFonts w:ascii="Times New Roman" w:hAnsi="Times New Roman" w:cs="Times New Roman"/>
                <w:sz w:val="24"/>
                <w:szCs w:val="24"/>
              </w:rPr>
              <w:t xml:space="preserve"> </w:t>
            </w:r>
            <w:r w:rsidRPr="00596F57">
              <w:rPr>
                <w:rFonts w:ascii="Times New Roman" w:hAnsi="Times New Roman" w:cs="Times New Roman"/>
                <w:sz w:val="24"/>
                <w:szCs w:val="24"/>
                <w:lang w:val="ro-RO"/>
              </w:rPr>
              <w:t xml:space="preserve"> salarizarea personalului implicat în predare, salarizarea</w:t>
            </w:r>
          </w:p>
          <w:p w:rsidR="00596F57" w:rsidRPr="00596F57" w:rsidRDefault="00596F57" w:rsidP="00064CA9">
            <w:pPr>
              <w:ind w:left="360"/>
              <w:rPr>
                <w:rFonts w:ascii="Times New Roman" w:hAnsi="Times New Roman" w:cs="Times New Roman"/>
                <w:b/>
                <w:sz w:val="24"/>
                <w:szCs w:val="24"/>
                <w:lang w:val="ro-RO"/>
              </w:rPr>
            </w:pPr>
          </w:p>
        </w:tc>
      </w:tr>
      <w:tr w:rsidR="00596F57" w:rsidRPr="00596F57" w:rsidTr="00596F57">
        <w:trPr>
          <w:trHeight w:val="7787"/>
        </w:trPr>
        <w:tc>
          <w:tcPr>
            <w:tcW w:w="10260" w:type="dxa"/>
          </w:tcPr>
          <w:p w:rsidR="00F41986" w:rsidRPr="00596F57" w:rsidRDefault="00F41986" w:rsidP="007542F0">
            <w:pPr>
              <w:spacing w:after="0" w:line="276" w:lineRule="auto"/>
              <w:ind w:firstLine="708"/>
              <w:jc w:val="both"/>
              <w:rPr>
                <w:rFonts w:ascii="Times New Roman" w:eastAsia="Times New Roman" w:hAnsi="Times New Roman" w:cs="Times New Roman"/>
                <w:sz w:val="24"/>
                <w:szCs w:val="24"/>
                <w:lang w:val="ro-RO"/>
              </w:rPr>
            </w:pPr>
            <w:r w:rsidRPr="00596F57">
              <w:rPr>
                <w:rFonts w:ascii="Times New Roman" w:hAnsi="Times New Roman" w:cs="Times New Roman"/>
                <w:sz w:val="24"/>
                <w:szCs w:val="24"/>
                <w:lang w:val="ro-RO"/>
              </w:rPr>
              <w:t xml:space="preserve">personalului auxiliar,  contribuțiile pentru asigurări sociale și medicale obligatorii, achiziționarea mărfurilor, serviciilor și lucrărilor necesare pentru asigurarea desfășurării procesului educațional, procurări de mijloace fixe în scopuri educaționale și de cercetări științifice. Calculele cu referire la finanțarea de bază  au ca punct de pornire doi piloni: numărul de studenți echivalenți și costul standard per student. </w:t>
            </w:r>
            <w:r w:rsidRPr="00596F57">
              <w:rPr>
                <w:rFonts w:ascii="Times New Roman" w:eastAsia="Times New Roman" w:hAnsi="Times New Roman" w:cs="Times New Roman"/>
                <w:sz w:val="24"/>
                <w:szCs w:val="24"/>
                <w:lang w:val="ro-RO"/>
              </w:rPr>
              <w:t xml:space="preserve">Noţiunea  de  student echivalent este introdusă pentru a exprima   faptul că procesul de pregătire universitară a unui student necesită costuri diferite,  în funcţie de forma de învăţământ,  ciclul </w:t>
            </w:r>
            <w:r w:rsidR="00E80C3C" w:rsidRPr="00596F57">
              <w:rPr>
                <w:rFonts w:ascii="Times New Roman" w:eastAsia="Times New Roman" w:hAnsi="Times New Roman" w:cs="Times New Roman"/>
                <w:sz w:val="24"/>
                <w:szCs w:val="24"/>
              </w:rPr>
              <w:t xml:space="preserve">de </w:t>
            </w:r>
            <w:proofErr w:type="spellStart"/>
            <w:r w:rsidR="00E80C3C" w:rsidRPr="00596F57">
              <w:rPr>
                <w:rFonts w:ascii="Times New Roman" w:eastAsia="Times New Roman" w:hAnsi="Times New Roman" w:cs="Times New Roman"/>
                <w:sz w:val="24"/>
                <w:szCs w:val="24"/>
              </w:rPr>
              <w:t>studii</w:t>
            </w:r>
            <w:proofErr w:type="spellEnd"/>
            <w:r w:rsidR="00E80C3C" w:rsidRPr="00596F57">
              <w:rPr>
                <w:rFonts w:ascii="Times New Roman" w:eastAsia="Times New Roman" w:hAnsi="Times New Roman" w:cs="Times New Roman"/>
                <w:sz w:val="24"/>
                <w:szCs w:val="24"/>
              </w:rPr>
              <w:t xml:space="preserve"> </w:t>
            </w:r>
            <w:r w:rsidRPr="00596F57">
              <w:rPr>
                <w:rFonts w:ascii="Times New Roman" w:eastAsia="Times New Roman" w:hAnsi="Times New Roman" w:cs="Times New Roman"/>
                <w:sz w:val="24"/>
                <w:szCs w:val="24"/>
                <w:lang w:val="ro-RO"/>
              </w:rPr>
              <w:t>la care acesta este înscris, domeniul de studiu în care este pregătit.</w:t>
            </w:r>
          </w:p>
          <w:p w:rsidR="00F41986" w:rsidRPr="00596F57" w:rsidRDefault="00F41986" w:rsidP="007542F0">
            <w:pPr>
              <w:spacing w:line="276" w:lineRule="auto"/>
              <w:ind w:firstLine="708"/>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 xml:space="preserve"> În vederea calculării numărului de studenți echivalenți metodologia dată propune introducerea unor coeficienți de ajustare, care iau în considerare domeniile de studii (toate domeniile sunt </w:t>
            </w:r>
            <w:proofErr w:type="spellStart"/>
            <w:r w:rsidR="00933900" w:rsidRPr="00596F57">
              <w:rPr>
                <w:rFonts w:ascii="Times New Roman" w:hAnsi="Times New Roman" w:cs="Times New Roman"/>
                <w:sz w:val="24"/>
                <w:szCs w:val="24"/>
              </w:rPr>
              <w:t>prezentate</w:t>
            </w:r>
            <w:proofErr w:type="spellEnd"/>
            <w:r w:rsidRPr="00596F57">
              <w:rPr>
                <w:rFonts w:ascii="Times New Roman" w:hAnsi="Times New Roman" w:cs="Times New Roman"/>
                <w:sz w:val="24"/>
                <w:szCs w:val="24"/>
                <w:lang w:val="ro-RO"/>
              </w:rPr>
              <w:t xml:space="preserve"> în 6 grupe), nivelul de studii (licență, master), forma de învățământ (cu frecvență, cu frecvența redusă)</w:t>
            </w:r>
            <w:r w:rsidR="00E80C3C" w:rsidRPr="00596F57">
              <w:rPr>
                <w:rFonts w:ascii="Times New Roman" w:hAnsi="Times New Roman" w:cs="Times New Roman"/>
                <w:sz w:val="24"/>
                <w:szCs w:val="24"/>
              </w:rPr>
              <w:t xml:space="preserve">, </w:t>
            </w:r>
            <w:proofErr w:type="spellStart"/>
            <w:r w:rsidR="00E80C3C" w:rsidRPr="00596F57">
              <w:rPr>
                <w:rFonts w:ascii="Times New Roman" w:hAnsi="Times New Roman" w:cs="Times New Roman"/>
                <w:sz w:val="24"/>
                <w:szCs w:val="24"/>
              </w:rPr>
              <w:t>limba</w:t>
            </w:r>
            <w:proofErr w:type="spellEnd"/>
            <w:r w:rsidR="00E80C3C" w:rsidRPr="00596F57">
              <w:rPr>
                <w:rFonts w:ascii="Times New Roman" w:hAnsi="Times New Roman" w:cs="Times New Roman"/>
                <w:sz w:val="24"/>
                <w:szCs w:val="24"/>
              </w:rPr>
              <w:t xml:space="preserve"> de </w:t>
            </w:r>
            <w:proofErr w:type="spellStart"/>
            <w:r w:rsidR="00E80C3C" w:rsidRPr="00596F57">
              <w:rPr>
                <w:rFonts w:ascii="Times New Roman" w:hAnsi="Times New Roman" w:cs="Times New Roman"/>
                <w:sz w:val="24"/>
                <w:szCs w:val="24"/>
              </w:rPr>
              <w:t>instruire</w:t>
            </w:r>
            <w:proofErr w:type="spellEnd"/>
            <w:r w:rsidRPr="00596F57">
              <w:rPr>
                <w:rFonts w:ascii="Times New Roman" w:hAnsi="Times New Roman" w:cs="Times New Roman"/>
                <w:sz w:val="24"/>
                <w:szCs w:val="24"/>
                <w:lang w:val="ro-RO"/>
              </w:rPr>
              <w:t>.  Costul standard per student reprezintă suma de bani alocată pentru un student înscris la licență, într-un program cuprins în domeniul 1.</w:t>
            </w:r>
          </w:p>
          <w:p w:rsidR="00F41986" w:rsidRPr="00596F57" w:rsidRDefault="00F41986" w:rsidP="007542F0">
            <w:pPr>
              <w:spacing w:line="276" w:lineRule="auto"/>
              <w:ind w:firstLine="708"/>
              <w:jc w:val="both"/>
              <w:rPr>
                <w:rFonts w:ascii="Times New Roman" w:hAnsi="Times New Roman" w:cs="Times New Roman"/>
                <w:sz w:val="24"/>
                <w:szCs w:val="24"/>
                <w:lang w:val="ro-RO"/>
              </w:rPr>
            </w:pPr>
            <w:r w:rsidRPr="00596F57">
              <w:rPr>
                <w:rFonts w:ascii="Times New Roman" w:hAnsi="Times New Roman" w:cs="Times New Roman"/>
                <w:i/>
                <w:sz w:val="24"/>
                <w:szCs w:val="24"/>
                <w:lang w:val="ro-RO"/>
              </w:rPr>
              <w:t>Finanțarea de performanță</w:t>
            </w:r>
            <w:r w:rsidRPr="00596F57">
              <w:rPr>
                <w:rFonts w:ascii="Times New Roman" w:hAnsi="Times New Roman" w:cs="Times New Roman"/>
                <w:sz w:val="24"/>
                <w:szCs w:val="24"/>
                <w:lang w:val="ro-RO"/>
              </w:rPr>
              <w:t xml:space="preserve"> presupune formarea bugetului de performanță, care se bazează pe un </w:t>
            </w:r>
            <w:r w:rsidR="00933900" w:rsidRPr="00596F57">
              <w:rPr>
                <w:rFonts w:ascii="Times New Roman" w:hAnsi="Times New Roman" w:cs="Times New Roman"/>
                <w:sz w:val="24"/>
                <w:szCs w:val="24"/>
              </w:rPr>
              <w:t>set</w:t>
            </w:r>
            <w:r w:rsidRPr="00596F57">
              <w:rPr>
                <w:rFonts w:ascii="Times New Roman" w:hAnsi="Times New Roman" w:cs="Times New Roman"/>
                <w:sz w:val="24"/>
                <w:szCs w:val="24"/>
                <w:lang w:val="ro-RO"/>
              </w:rPr>
              <w:t xml:space="preserve"> de indicatori de</w:t>
            </w:r>
            <w:r w:rsidR="00933900" w:rsidRPr="00596F57">
              <w:rPr>
                <w:rFonts w:ascii="Times New Roman" w:hAnsi="Times New Roman" w:cs="Times New Roman"/>
                <w:sz w:val="24"/>
                <w:szCs w:val="24"/>
              </w:rPr>
              <w:t xml:space="preserve"> </w:t>
            </w:r>
            <w:r w:rsidR="00933900" w:rsidRPr="00596F57">
              <w:rPr>
                <w:rFonts w:ascii="Times New Roman" w:hAnsi="Times New Roman" w:cs="Times New Roman"/>
                <w:i/>
                <w:sz w:val="24"/>
                <w:szCs w:val="24"/>
                <w:lang w:val="ro-RO"/>
              </w:rPr>
              <w:t>performanță</w:t>
            </w:r>
            <w:r w:rsidRPr="00596F57">
              <w:rPr>
                <w:rFonts w:ascii="Times New Roman" w:hAnsi="Times New Roman" w:cs="Times New Roman"/>
                <w:sz w:val="24"/>
                <w:szCs w:val="24"/>
                <w:lang w:val="ro-RO"/>
              </w:rPr>
              <w:t>, ce se vor referi la patru direcții distincte: procesul de predare-învățare, cercetare științifică, internaționalizare, orientare socială. Indicatorii de performanță și metodologia de calculare a acestora va fi concretizată pentru fiecare an.</w:t>
            </w:r>
          </w:p>
          <w:tbl>
            <w:tblPr>
              <w:tblW w:w="10179" w:type="dxa"/>
              <w:tblCellSpacing w:w="60" w:type="dxa"/>
              <w:tblCellMar>
                <w:top w:w="120" w:type="dxa"/>
                <w:left w:w="120" w:type="dxa"/>
                <w:bottom w:w="120" w:type="dxa"/>
                <w:right w:w="120" w:type="dxa"/>
              </w:tblCellMar>
              <w:tblLook w:val="04A0" w:firstRow="1" w:lastRow="0" w:firstColumn="1" w:lastColumn="0" w:noHBand="0" w:noVBand="1"/>
            </w:tblPr>
            <w:tblGrid>
              <w:gridCol w:w="10179"/>
            </w:tblGrid>
            <w:tr w:rsidR="00596F57" w:rsidRPr="00596F57" w:rsidTr="00596F57">
              <w:trPr>
                <w:trHeight w:val="1501"/>
                <w:tblCellSpacing w:w="60" w:type="dxa"/>
              </w:trPr>
              <w:tc>
                <w:tcPr>
                  <w:tcW w:w="0" w:type="auto"/>
                  <w:tcBorders>
                    <w:top w:val="nil"/>
                    <w:left w:val="nil"/>
                    <w:bottom w:val="nil"/>
                    <w:right w:val="nil"/>
                  </w:tcBorders>
                  <w:vAlign w:val="center"/>
                  <w:hideMark/>
                </w:tcPr>
                <w:p w:rsidR="00E91750" w:rsidRPr="00596F57" w:rsidRDefault="00F41986" w:rsidP="007542F0">
                  <w:pPr>
                    <w:spacing w:after="0" w:line="276" w:lineRule="auto"/>
                    <w:jc w:val="both"/>
                    <w:rPr>
                      <w:rFonts w:ascii="Times New Roman" w:eastAsia="Times New Roman" w:hAnsi="Times New Roman" w:cs="Times New Roman"/>
                      <w:b/>
                      <w:bCs/>
                      <w:i/>
                      <w:sz w:val="24"/>
                      <w:szCs w:val="24"/>
                      <w:lang w:eastAsia="ro-RO"/>
                    </w:rPr>
                  </w:pPr>
                  <w:r w:rsidRPr="00596F57">
                    <w:rPr>
                      <w:rFonts w:ascii="Times New Roman" w:hAnsi="Times New Roman" w:cs="Times New Roman"/>
                      <w:i/>
                      <w:sz w:val="24"/>
                      <w:szCs w:val="24"/>
                      <w:lang w:val="ro-RO"/>
                    </w:rPr>
                    <w:t>F</w:t>
                  </w:r>
                  <w:proofErr w:type="spellStart"/>
                  <w:r w:rsidR="00933900" w:rsidRPr="00596F57">
                    <w:rPr>
                      <w:rFonts w:ascii="Times New Roman" w:hAnsi="Times New Roman" w:cs="Times New Roman"/>
                      <w:i/>
                      <w:sz w:val="24"/>
                      <w:szCs w:val="24"/>
                    </w:rPr>
                    <w:t>ondul</w:t>
                  </w:r>
                  <w:proofErr w:type="spellEnd"/>
                  <w:r w:rsidR="00933900" w:rsidRPr="00596F57">
                    <w:rPr>
                      <w:rFonts w:ascii="Times New Roman" w:hAnsi="Times New Roman" w:cs="Times New Roman"/>
                      <w:i/>
                      <w:sz w:val="24"/>
                      <w:szCs w:val="24"/>
                    </w:rPr>
                    <w:t xml:space="preserve"> </w:t>
                  </w:r>
                  <w:r w:rsidRPr="00596F57">
                    <w:rPr>
                      <w:rFonts w:ascii="Times New Roman" w:hAnsi="Times New Roman" w:cs="Times New Roman"/>
                      <w:i/>
                      <w:sz w:val="24"/>
                      <w:szCs w:val="24"/>
                      <w:lang w:val="ro-RO"/>
                    </w:rPr>
                    <w:t>de rezervă</w:t>
                  </w:r>
                  <w:r w:rsidRPr="00596F57">
                    <w:rPr>
                      <w:rFonts w:ascii="Times New Roman" w:hAnsi="Times New Roman" w:cs="Times New Roman"/>
                      <w:b/>
                      <w:sz w:val="24"/>
                      <w:szCs w:val="24"/>
                      <w:lang w:val="ro-RO"/>
                    </w:rPr>
                    <w:t xml:space="preserve"> </w:t>
                  </w:r>
                  <w:r w:rsidRPr="00596F57">
                    <w:rPr>
                      <w:rFonts w:ascii="Times New Roman" w:hAnsi="Times New Roman" w:cs="Times New Roman"/>
                      <w:sz w:val="24"/>
                      <w:szCs w:val="24"/>
                      <w:lang w:val="ro-RO"/>
                    </w:rPr>
                    <w:t>reprezintă partea din finanțarea standard, care se află la dispoziția</w:t>
                  </w:r>
                  <w:r w:rsidRPr="00596F57">
                    <w:rPr>
                      <w:rFonts w:ascii="Times New Roman" w:hAnsi="Times New Roman" w:cs="Times New Roman"/>
                      <w:b/>
                      <w:sz w:val="24"/>
                      <w:szCs w:val="24"/>
                      <w:lang w:val="ro-RO"/>
                    </w:rPr>
                    <w:t xml:space="preserve"> </w:t>
                  </w:r>
                  <w:r w:rsidRPr="00596F57">
                    <w:rPr>
                      <w:rFonts w:ascii="Times New Roman" w:hAnsi="Times New Roman" w:cs="Times New Roman"/>
                      <w:sz w:val="24"/>
                      <w:szCs w:val="24"/>
                      <w:lang w:val="ro-RO"/>
                    </w:rPr>
                    <w:t xml:space="preserve">Ministerului Educației, Culturii și Cercetării </w:t>
                  </w:r>
                  <w:r w:rsidR="009664FB" w:rsidRPr="00596F57">
                    <w:rPr>
                      <w:rFonts w:ascii="Times New Roman" w:hAnsi="Times New Roman" w:cs="Times New Roman"/>
                      <w:sz w:val="24"/>
                      <w:szCs w:val="24"/>
                      <w:lang w:val="ro-RO"/>
                    </w:rPr>
                    <w:t>și ministerel</w:t>
                  </w:r>
                  <w:r w:rsidR="00933900" w:rsidRPr="00596F57">
                    <w:rPr>
                      <w:rFonts w:ascii="Times New Roman" w:hAnsi="Times New Roman" w:cs="Times New Roman"/>
                      <w:sz w:val="24"/>
                      <w:szCs w:val="24"/>
                    </w:rPr>
                    <w:t>o</w:t>
                  </w:r>
                  <w:r w:rsidR="009664FB" w:rsidRPr="00596F57">
                    <w:rPr>
                      <w:rFonts w:ascii="Times New Roman" w:hAnsi="Times New Roman" w:cs="Times New Roman"/>
                      <w:sz w:val="24"/>
                      <w:szCs w:val="24"/>
                      <w:lang w:val="ro-RO"/>
                    </w:rPr>
                    <w:t xml:space="preserve">r de resort </w:t>
                  </w:r>
                  <w:r w:rsidRPr="00596F57">
                    <w:rPr>
                      <w:rFonts w:ascii="Times New Roman" w:hAnsi="Times New Roman" w:cs="Times New Roman"/>
                      <w:sz w:val="24"/>
                      <w:szCs w:val="24"/>
                      <w:lang w:val="ro-RO"/>
                    </w:rPr>
                    <w:t>pentru situații speciale, neprevăzute</w:t>
                  </w:r>
                  <w:r w:rsidR="00933900" w:rsidRPr="00596F57">
                    <w:rPr>
                      <w:rFonts w:ascii="Times New Roman" w:hAnsi="Times New Roman" w:cs="Times New Roman"/>
                      <w:sz w:val="24"/>
                      <w:szCs w:val="24"/>
                    </w:rPr>
                    <w:t xml:space="preserve"> </w:t>
                  </w:r>
                  <w:proofErr w:type="spellStart"/>
                  <w:r w:rsidR="00933900" w:rsidRPr="00596F57">
                    <w:rPr>
                      <w:rFonts w:ascii="Times New Roman" w:hAnsi="Times New Roman" w:cs="Times New Roman"/>
                      <w:sz w:val="24"/>
                      <w:szCs w:val="24"/>
                    </w:rPr>
                    <w:t>si</w:t>
                  </w:r>
                  <w:proofErr w:type="spellEnd"/>
                  <w:r w:rsidR="00933900" w:rsidRPr="00596F57">
                    <w:rPr>
                      <w:rFonts w:ascii="Times New Roman" w:hAnsi="Times New Roman" w:cs="Times New Roman"/>
                      <w:sz w:val="24"/>
                      <w:szCs w:val="24"/>
                    </w:rPr>
                    <w:t xml:space="preserve"> se </w:t>
                  </w:r>
                  <w:proofErr w:type="spellStart"/>
                  <w:r w:rsidR="00933900" w:rsidRPr="00596F57">
                    <w:rPr>
                      <w:rFonts w:ascii="Times New Roman" w:hAnsi="Times New Roman" w:cs="Times New Roman"/>
                      <w:sz w:val="24"/>
                      <w:szCs w:val="24"/>
                    </w:rPr>
                    <w:t>ut</w:t>
                  </w:r>
                  <w:r w:rsidR="007542F0" w:rsidRPr="00596F57">
                    <w:rPr>
                      <w:rFonts w:ascii="Times New Roman" w:hAnsi="Times New Roman" w:cs="Times New Roman"/>
                      <w:sz w:val="24"/>
                      <w:szCs w:val="24"/>
                    </w:rPr>
                    <w:t>i</w:t>
                  </w:r>
                  <w:r w:rsidR="00933900" w:rsidRPr="00596F57">
                    <w:rPr>
                      <w:rFonts w:ascii="Times New Roman" w:hAnsi="Times New Roman" w:cs="Times New Roman"/>
                      <w:sz w:val="24"/>
                      <w:szCs w:val="24"/>
                    </w:rPr>
                    <w:t>lizeaz</w:t>
                  </w:r>
                  <w:proofErr w:type="spellEnd"/>
                  <w:r w:rsidR="00E80C3C" w:rsidRPr="00596F57">
                    <w:rPr>
                      <w:rFonts w:ascii="Times New Roman" w:hAnsi="Times New Roman" w:cs="Times New Roman"/>
                      <w:sz w:val="24"/>
                      <w:szCs w:val="24"/>
                      <w:lang w:val="ro-RO"/>
                    </w:rPr>
                    <w:t>ă</w:t>
                  </w:r>
                  <w:r w:rsidR="00933900" w:rsidRPr="00596F57">
                    <w:rPr>
                      <w:rFonts w:ascii="Times New Roman" w:hAnsi="Times New Roman" w:cs="Times New Roman"/>
                      <w:sz w:val="24"/>
                      <w:szCs w:val="24"/>
                    </w:rPr>
                    <w:t xml:space="preserve"> conform Hot</w:t>
                  </w:r>
                  <w:r w:rsidR="00E80C3C" w:rsidRPr="00596F57">
                    <w:rPr>
                      <w:rFonts w:ascii="Times New Roman" w:hAnsi="Times New Roman" w:cs="Times New Roman"/>
                      <w:sz w:val="24"/>
                      <w:szCs w:val="24"/>
                      <w:lang w:val="ro-RO"/>
                    </w:rPr>
                    <w:t>ă</w:t>
                  </w:r>
                  <w:proofErr w:type="spellStart"/>
                  <w:r w:rsidR="00933900" w:rsidRPr="00596F57">
                    <w:rPr>
                      <w:rFonts w:ascii="Times New Roman" w:hAnsi="Times New Roman" w:cs="Times New Roman"/>
                      <w:sz w:val="24"/>
                      <w:szCs w:val="24"/>
                    </w:rPr>
                    <w:t>r</w:t>
                  </w:r>
                  <w:r w:rsidR="00552C72">
                    <w:rPr>
                      <w:rFonts w:ascii="Times New Roman" w:hAnsi="Times New Roman" w:cs="Times New Roman"/>
                      <w:sz w:val="24"/>
                      <w:szCs w:val="24"/>
                    </w:rPr>
                    <w:t>â</w:t>
                  </w:r>
                  <w:r w:rsidR="00933900" w:rsidRPr="00596F57">
                    <w:rPr>
                      <w:rFonts w:ascii="Times New Roman" w:hAnsi="Times New Roman" w:cs="Times New Roman"/>
                      <w:sz w:val="24"/>
                      <w:szCs w:val="24"/>
                    </w:rPr>
                    <w:t>rii</w:t>
                  </w:r>
                  <w:proofErr w:type="spellEnd"/>
                  <w:r w:rsidR="00933900" w:rsidRPr="00596F57">
                    <w:rPr>
                      <w:rFonts w:ascii="Times New Roman" w:hAnsi="Times New Roman" w:cs="Times New Roman"/>
                      <w:sz w:val="24"/>
                      <w:szCs w:val="24"/>
                    </w:rPr>
                    <w:t xml:space="preserve"> de </w:t>
                  </w:r>
                  <w:proofErr w:type="spellStart"/>
                  <w:r w:rsidR="00933900" w:rsidRPr="00596F57">
                    <w:rPr>
                      <w:rFonts w:ascii="Times New Roman" w:hAnsi="Times New Roman" w:cs="Times New Roman"/>
                      <w:sz w:val="24"/>
                      <w:szCs w:val="24"/>
                    </w:rPr>
                    <w:t>Guvern</w:t>
                  </w:r>
                  <w:proofErr w:type="spellEnd"/>
                  <w:r w:rsidR="00933900" w:rsidRPr="00596F57">
                    <w:rPr>
                      <w:rFonts w:ascii="Times New Roman" w:hAnsi="Times New Roman" w:cs="Times New Roman"/>
                      <w:sz w:val="24"/>
                      <w:szCs w:val="24"/>
                    </w:rPr>
                    <w:t xml:space="preserve"> nr.983 din </w:t>
                  </w:r>
                  <w:r w:rsidR="00E91750" w:rsidRPr="00596F57">
                    <w:rPr>
                      <w:rFonts w:ascii="Times New Roman" w:hAnsi="Times New Roman" w:cs="Times New Roman"/>
                      <w:sz w:val="24"/>
                      <w:szCs w:val="24"/>
                    </w:rPr>
                    <w:t xml:space="preserve">12 </w:t>
                  </w:r>
                  <w:proofErr w:type="spellStart"/>
                  <w:r w:rsidR="00933900" w:rsidRPr="00596F57">
                    <w:rPr>
                      <w:rFonts w:ascii="Times New Roman" w:hAnsi="Times New Roman" w:cs="Times New Roman"/>
                      <w:sz w:val="24"/>
                      <w:szCs w:val="24"/>
                    </w:rPr>
                    <w:t>decembrie</w:t>
                  </w:r>
                  <w:proofErr w:type="spellEnd"/>
                  <w:r w:rsidR="00933900" w:rsidRPr="00596F57">
                    <w:rPr>
                      <w:rFonts w:ascii="Times New Roman" w:hAnsi="Times New Roman" w:cs="Times New Roman"/>
                      <w:sz w:val="24"/>
                      <w:szCs w:val="24"/>
                    </w:rPr>
                    <w:t xml:space="preserve"> 201</w:t>
                  </w:r>
                  <w:r w:rsidR="00E91750" w:rsidRPr="00596F57">
                    <w:rPr>
                      <w:rFonts w:ascii="Times New Roman" w:hAnsi="Times New Roman" w:cs="Times New Roman"/>
                      <w:sz w:val="24"/>
                      <w:szCs w:val="24"/>
                    </w:rPr>
                    <w:t xml:space="preserve">2 </w:t>
                  </w:r>
                  <w:r w:rsidR="00E91750" w:rsidRPr="00596F57">
                    <w:rPr>
                      <w:rFonts w:ascii="Times New Roman" w:hAnsi="Times New Roman" w:cs="Times New Roman"/>
                      <w:i/>
                      <w:sz w:val="24"/>
                      <w:szCs w:val="24"/>
                    </w:rPr>
                    <w:t xml:space="preserve">cu </w:t>
                  </w:r>
                  <w:r w:rsidR="00E91750" w:rsidRPr="00596F57">
                    <w:rPr>
                      <w:rFonts w:ascii="Times New Roman" w:eastAsia="Times New Roman" w:hAnsi="Times New Roman" w:cs="Times New Roman"/>
                      <w:bCs/>
                      <w:i/>
                      <w:sz w:val="24"/>
                      <w:szCs w:val="24"/>
                      <w:lang w:val="ro-RO" w:eastAsia="ro-RO"/>
                    </w:rPr>
                    <w:t>privire la modul de funcţionare a instituţiilor de învăţămînt superior de stat în condiţii de autonomie financiară</w:t>
                  </w:r>
                  <w:r w:rsidR="00E91750" w:rsidRPr="00596F57">
                    <w:rPr>
                      <w:rFonts w:ascii="Times New Roman" w:eastAsia="Times New Roman" w:hAnsi="Times New Roman" w:cs="Times New Roman"/>
                      <w:b/>
                      <w:bCs/>
                      <w:i/>
                      <w:sz w:val="24"/>
                      <w:szCs w:val="24"/>
                      <w:lang w:val="ro-RO" w:eastAsia="ro-RO"/>
                    </w:rPr>
                    <w:t xml:space="preserve"> </w:t>
                  </w:r>
                  <w:r w:rsidR="00E91750" w:rsidRPr="00596F57">
                    <w:rPr>
                      <w:rFonts w:ascii="Times New Roman" w:eastAsia="Times New Roman" w:hAnsi="Times New Roman" w:cs="Times New Roman"/>
                      <w:b/>
                      <w:bCs/>
                      <w:i/>
                      <w:sz w:val="24"/>
                      <w:szCs w:val="24"/>
                      <w:lang w:eastAsia="ro-RO"/>
                    </w:rPr>
                    <w:t>.</w:t>
                  </w:r>
                </w:p>
                <w:p w:rsidR="00E91750" w:rsidRPr="00596F57" w:rsidRDefault="00E91750" w:rsidP="007542F0">
                  <w:pPr>
                    <w:spacing w:after="0" w:line="276" w:lineRule="auto"/>
                    <w:jc w:val="both"/>
                    <w:rPr>
                      <w:rFonts w:ascii="Times New Roman" w:eastAsia="Times New Roman" w:hAnsi="Times New Roman" w:cs="Times New Roman"/>
                      <w:sz w:val="24"/>
                      <w:szCs w:val="24"/>
                      <w:lang w:eastAsia="ro-RO"/>
                    </w:rPr>
                  </w:pPr>
                  <w:r w:rsidRPr="00596F57">
                    <w:rPr>
                      <w:rFonts w:ascii="Times New Roman" w:hAnsi="Times New Roman" w:cs="Times New Roman"/>
                      <w:bCs/>
                      <w:sz w:val="24"/>
                      <w:szCs w:val="24"/>
                      <w:lang w:val="ro-RO"/>
                    </w:rPr>
                    <w:t>Metodologia propusă descrie, pas cu pas, formula de alocare a surselor bugetare către universități</w:t>
                  </w:r>
                  <w:r w:rsidR="007542F0" w:rsidRPr="00596F57">
                    <w:rPr>
                      <w:rFonts w:ascii="Times New Roman" w:hAnsi="Times New Roman" w:cs="Times New Roman"/>
                      <w:bCs/>
                      <w:sz w:val="24"/>
                      <w:szCs w:val="24"/>
                    </w:rPr>
                    <w:t>.</w:t>
                  </w:r>
                </w:p>
              </w:tc>
            </w:tr>
          </w:tbl>
          <w:p w:rsidR="00F41986" w:rsidRPr="00596F57" w:rsidRDefault="00F41986" w:rsidP="007542F0">
            <w:pPr>
              <w:spacing w:after="0" w:line="360" w:lineRule="auto"/>
              <w:jc w:val="both"/>
              <w:rPr>
                <w:rFonts w:ascii="Times New Roman" w:hAnsi="Times New Roman" w:cs="Times New Roman"/>
                <w:sz w:val="24"/>
                <w:szCs w:val="24"/>
                <w:lang w:val="ro-RO"/>
              </w:rPr>
            </w:pPr>
            <w:r w:rsidRPr="00596F57">
              <w:rPr>
                <w:rFonts w:ascii="Times New Roman" w:hAnsi="Times New Roman" w:cs="Times New Roman"/>
                <w:bCs/>
                <w:sz w:val="24"/>
                <w:szCs w:val="24"/>
                <w:lang w:val="ro-RO"/>
              </w:rPr>
              <w:t xml:space="preserve"> </w:t>
            </w:r>
          </w:p>
        </w:tc>
      </w:tr>
      <w:tr w:rsidR="00596F57" w:rsidRPr="00596F57" w:rsidTr="00596F57">
        <w:trPr>
          <w:trHeight w:val="70"/>
        </w:trPr>
        <w:tc>
          <w:tcPr>
            <w:tcW w:w="10260" w:type="dxa"/>
          </w:tcPr>
          <w:p w:rsidR="00F41986" w:rsidRPr="00596F57" w:rsidRDefault="007542F0" w:rsidP="00F41986">
            <w:pPr>
              <w:pStyle w:val="ListParagraph"/>
              <w:numPr>
                <w:ilvl w:val="0"/>
                <w:numId w:val="3"/>
              </w:numPr>
              <w:spacing w:after="0" w:line="240" w:lineRule="auto"/>
              <w:rPr>
                <w:rFonts w:ascii="Times New Roman" w:hAnsi="Times New Roman" w:cs="Times New Roman"/>
                <w:b/>
                <w:sz w:val="24"/>
                <w:szCs w:val="24"/>
                <w:lang w:val="ro-RO"/>
              </w:rPr>
            </w:pPr>
            <w:r w:rsidRPr="00596F57">
              <w:rPr>
                <w:rFonts w:ascii="Times New Roman" w:hAnsi="Times New Roman" w:cs="Times New Roman"/>
                <w:b/>
                <w:sz w:val="24"/>
                <w:szCs w:val="24"/>
                <w:lang w:val="ru-RU"/>
              </w:rPr>
              <w:t>C</w:t>
            </w:r>
            <w:r w:rsidR="00F41986" w:rsidRPr="00596F57">
              <w:rPr>
                <w:rFonts w:ascii="Times New Roman" w:hAnsi="Times New Roman" w:cs="Times New Roman"/>
                <w:b/>
                <w:sz w:val="24"/>
                <w:szCs w:val="24"/>
                <w:lang w:val="ro-RO"/>
              </w:rPr>
              <w:t>ostul implementării</w:t>
            </w:r>
          </w:p>
        </w:tc>
      </w:tr>
      <w:tr w:rsidR="00596F57" w:rsidRPr="00596F57" w:rsidTr="00596F57">
        <w:tc>
          <w:tcPr>
            <w:tcW w:w="10260" w:type="dxa"/>
          </w:tcPr>
          <w:p w:rsidR="00F41986" w:rsidRPr="00596F57" w:rsidRDefault="00F41986" w:rsidP="00552C72">
            <w:pPr>
              <w:spacing w:after="0" w:line="276" w:lineRule="auto"/>
              <w:ind w:firstLine="708"/>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Proiectul Hotărârii de Guvern cu privire la aprobarea Metodologiei de finanțare a învățământului superior</w:t>
            </w:r>
            <w:r w:rsidR="00E80C3C" w:rsidRPr="00596F57">
              <w:rPr>
                <w:rFonts w:ascii="Times New Roman" w:hAnsi="Times New Roman" w:cs="Times New Roman"/>
                <w:sz w:val="24"/>
                <w:szCs w:val="24"/>
              </w:rPr>
              <w:t xml:space="preserve"> public</w:t>
            </w:r>
            <w:r w:rsidRPr="00596F57">
              <w:rPr>
                <w:rFonts w:ascii="Times New Roman" w:hAnsi="Times New Roman" w:cs="Times New Roman"/>
                <w:sz w:val="24"/>
                <w:szCs w:val="24"/>
                <w:lang w:val="ro-RO"/>
              </w:rPr>
              <w:t xml:space="preserve"> se va încadra în limita bugetului aprobat și nu necesită cheltuieli suplimentare.</w:t>
            </w:r>
          </w:p>
          <w:p w:rsidR="00F41986" w:rsidRPr="00596F57" w:rsidRDefault="00F41986" w:rsidP="00064CA9">
            <w:pPr>
              <w:pStyle w:val="ListParagraph"/>
              <w:tabs>
                <w:tab w:val="left" w:pos="851"/>
              </w:tabs>
              <w:ind w:left="426"/>
              <w:jc w:val="both"/>
              <w:rPr>
                <w:rFonts w:ascii="Times New Roman" w:hAnsi="Times New Roman" w:cs="Times New Roman"/>
                <w:sz w:val="24"/>
                <w:szCs w:val="24"/>
                <w:lang w:val="ro-RO"/>
              </w:rPr>
            </w:pPr>
          </w:p>
        </w:tc>
      </w:tr>
      <w:tr w:rsidR="00596F57" w:rsidRPr="00596F57" w:rsidTr="00596F57">
        <w:tc>
          <w:tcPr>
            <w:tcW w:w="10260" w:type="dxa"/>
          </w:tcPr>
          <w:p w:rsidR="00F41986" w:rsidRPr="00596F57" w:rsidRDefault="00F41986" w:rsidP="00F41986">
            <w:pPr>
              <w:pStyle w:val="ListParagraph"/>
              <w:numPr>
                <w:ilvl w:val="0"/>
                <w:numId w:val="3"/>
              </w:numPr>
              <w:spacing w:after="0" w:line="240" w:lineRule="auto"/>
              <w:rPr>
                <w:rFonts w:ascii="Times New Roman" w:hAnsi="Times New Roman" w:cs="Times New Roman"/>
                <w:b/>
                <w:sz w:val="24"/>
                <w:szCs w:val="24"/>
                <w:lang w:val="ro-RO"/>
              </w:rPr>
            </w:pPr>
            <w:r w:rsidRPr="00596F57">
              <w:rPr>
                <w:rFonts w:ascii="Times New Roman" w:hAnsi="Times New Roman" w:cs="Times New Roman"/>
                <w:b/>
                <w:sz w:val="24"/>
                <w:szCs w:val="24"/>
                <w:lang w:val="ro-RO"/>
              </w:rPr>
              <w:t>Impactul implementării</w:t>
            </w:r>
          </w:p>
        </w:tc>
      </w:tr>
      <w:tr w:rsidR="00596F57" w:rsidRPr="00596F57" w:rsidTr="00596F57">
        <w:tc>
          <w:tcPr>
            <w:tcW w:w="10260" w:type="dxa"/>
          </w:tcPr>
          <w:p w:rsidR="00F41986" w:rsidRPr="00596F57" w:rsidRDefault="00F41986" w:rsidP="007A1314">
            <w:pPr>
              <w:spacing w:after="0" w:line="276" w:lineRule="auto"/>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 xml:space="preserve">Aprobarea Metodologiei de finanțare a învățământului superior </w:t>
            </w:r>
            <w:r w:rsidR="007542F0" w:rsidRPr="00596F57">
              <w:rPr>
                <w:rFonts w:ascii="Times New Roman" w:hAnsi="Times New Roman" w:cs="Times New Roman"/>
                <w:sz w:val="24"/>
                <w:szCs w:val="24"/>
              </w:rPr>
              <w:t xml:space="preserve">public </w:t>
            </w:r>
            <w:r w:rsidRPr="00596F57">
              <w:rPr>
                <w:rFonts w:ascii="Times New Roman" w:hAnsi="Times New Roman" w:cs="Times New Roman"/>
                <w:sz w:val="24"/>
                <w:szCs w:val="24"/>
                <w:lang w:val="ro-RO"/>
              </w:rPr>
              <w:t>va permite:</w:t>
            </w:r>
          </w:p>
          <w:p w:rsidR="00F41986" w:rsidRPr="00596F57" w:rsidRDefault="00F41986" w:rsidP="007A1314">
            <w:pPr>
              <w:pStyle w:val="ListParagraph"/>
              <w:numPr>
                <w:ilvl w:val="0"/>
                <w:numId w:val="1"/>
              </w:numPr>
              <w:spacing w:after="0" w:line="276" w:lineRule="auto"/>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Utilizarea mai eficientă a resurselor financiare, destinate învățământului superior</w:t>
            </w:r>
            <w:r w:rsidR="007542F0" w:rsidRPr="00596F57">
              <w:rPr>
                <w:rFonts w:ascii="Times New Roman" w:hAnsi="Times New Roman" w:cs="Times New Roman"/>
                <w:sz w:val="24"/>
                <w:szCs w:val="24"/>
              </w:rPr>
              <w:t xml:space="preserve">, </w:t>
            </w:r>
            <w:proofErr w:type="spellStart"/>
            <w:r w:rsidR="007542F0" w:rsidRPr="00596F57">
              <w:rPr>
                <w:rFonts w:ascii="Times New Roman" w:hAnsi="Times New Roman" w:cs="Times New Roman"/>
                <w:sz w:val="24"/>
                <w:szCs w:val="24"/>
              </w:rPr>
              <w:t>dar</w:t>
            </w:r>
            <w:proofErr w:type="spellEnd"/>
            <w:r w:rsidR="007542F0" w:rsidRPr="00596F57">
              <w:rPr>
                <w:rFonts w:ascii="Times New Roman" w:hAnsi="Times New Roman" w:cs="Times New Roman"/>
                <w:sz w:val="24"/>
                <w:szCs w:val="24"/>
              </w:rPr>
              <w:t xml:space="preserve"> </w:t>
            </w:r>
            <w:r w:rsidR="007542F0" w:rsidRPr="00596F57">
              <w:rPr>
                <w:rFonts w:ascii="Times New Roman" w:eastAsia="Times New Roman" w:hAnsi="Times New Roman" w:cs="Times New Roman"/>
                <w:sz w:val="24"/>
                <w:szCs w:val="24"/>
                <w:lang w:val="ro-RO"/>
              </w:rPr>
              <w:t>și</w:t>
            </w:r>
            <w:r w:rsidR="007542F0" w:rsidRPr="00596F57">
              <w:rPr>
                <w:rFonts w:ascii="Times New Roman" w:hAnsi="Times New Roman" w:cs="Times New Roman"/>
                <w:sz w:val="24"/>
                <w:szCs w:val="24"/>
              </w:rPr>
              <w:t xml:space="preserve"> </w:t>
            </w:r>
            <w:proofErr w:type="spellStart"/>
            <w:r w:rsidR="007542F0" w:rsidRPr="00596F57">
              <w:rPr>
                <w:rFonts w:ascii="Times New Roman" w:hAnsi="Times New Roman" w:cs="Times New Roman"/>
                <w:sz w:val="24"/>
                <w:szCs w:val="24"/>
              </w:rPr>
              <w:t>cre</w:t>
            </w:r>
            <w:proofErr w:type="spellEnd"/>
            <w:r w:rsidR="007542F0" w:rsidRPr="00596F57">
              <w:rPr>
                <w:rFonts w:ascii="Times New Roman" w:eastAsia="Times New Roman" w:hAnsi="Times New Roman" w:cs="Times New Roman"/>
                <w:sz w:val="24"/>
                <w:szCs w:val="24"/>
                <w:lang w:val="ro-RO"/>
              </w:rPr>
              <w:t>ș</w:t>
            </w:r>
            <w:proofErr w:type="spellStart"/>
            <w:r w:rsidR="007542F0" w:rsidRPr="00596F57">
              <w:rPr>
                <w:rFonts w:ascii="Times New Roman" w:hAnsi="Times New Roman" w:cs="Times New Roman"/>
                <w:sz w:val="24"/>
                <w:szCs w:val="24"/>
              </w:rPr>
              <w:t>terea</w:t>
            </w:r>
            <w:proofErr w:type="spellEnd"/>
            <w:r w:rsidR="007542F0" w:rsidRPr="00596F57">
              <w:rPr>
                <w:rFonts w:ascii="Times New Roman" w:hAnsi="Times New Roman" w:cs="Times New Roman"/>
                <w:sz w:val="24"/>
                <w:szCs w:val="24"/>
              </w:rPr>
              <w:t xml:space="preserve"> </w:t>
            </w:r>
            <w:proofErr w:type="spellStart"/>
            <w:r w:rsidR="007542F0" w:rsidRPr="00596F57">
              <w:rPr>
                <w:rFonts w:ascii="Times New Roman" w:hAnsi="Times New Roman" w:cs="Times New Roman"/>
                <w:sz w:val="24"/>
                <w:szCs w:val="24"/>
              </w:rPr>
              <w:t>calit</w:t>
            </w:r>
            <w:proofErr w:type="spellEnd"/>
            <w:r w:rsidR="007A1314" w:rsidRPr="00596F57">
              <w:rPr>
                <w:rFonts w:ascii="Times New Roman" w:eastAsia="Times New Roman" w:hAnsi="Times New Roman" w:cs="Times New Roman"/>
                <w:sz w:val="24"/>
                <w:szCs w:val="24"/>
                <w:lang w:val="ro-RO"/>
              </w:rPr>
              <w:t>ăț</w:t>
            </w:r>
            <w:r w:rsidR="007542F0" w:rsidRPr="00596F57">
              <w:rPr>
                <w:rFonts w:ascii="Times New Roman" w:hAnsi="Times New Roman" w:cs="Times New Roman"/>
                <w:sz w:val="24"/>
                <w:szCs w:val="24"/>
              </w:rPr>
              <w:t xml:space="preserve">ii </w:t>
            </w:r>
            <w:r w:rsidR="00552C72">
              <w:rPr>
                <w:rFonts w:ascii="Times New Roman" w:hAnsi="Times New Roman" w:cs="Times New Roman"/>
                <w:sz w:val="24"/>
                <w:szCs w:val="24"/>
                <w:lang w:val="ro-RO"/>
              </w:rPr>
              <w:t>ș</w:t>
            </w:r>
            <w:proofErr w:type="spellStart"/>
            <w:r w:rsidR="007542F0" w:rsidRPr="00596F57">
              <w:rPr>
                <w:rFonts w:ascii="Times New Roman" w:hAnsi="Times New Roman" w:cs="Times New Roman"/>
                <w:sz w:val="24"/>
                <w:szCs w:val="24"/>
              </w:rPr>
              <w:t>i</w:t>
            </w:r>
            <w:proofErr w:type="spellEnd"/>
            <w:r w:rsidR="007542F0" w:rsidRPr="00596F57">
              <w:rPr>
                <w:rFonts w:ascii="Times New Roman" w:hAnsi="Times New Roman" w:cs="Times New Roman"/>
                <w:sz w:val="24"/>
                <w:szCs w:val="24"/>
              </w:rPr>
              <w:t xml:space="preserve"> </w:t>
            </w:r>
            <w:proofErr w:type="spellStart"/>
            <w:r w:rsidR="007542F0" w:rsidRPr="00596F57">
              <w:rPr>
                <w:rFonts w:ascii="Times New Roman" w:hAnsi="Times New Roman" w:cs="Times New Roman"/>
                <w:sz w:val="24"/>
                <w:szCs w:val="24"/>
              </w:rPr>
              <w:t>relevan</w:t>
            </w:r>
            <w:proofErr w:type="spellEnd"/>
            <w:r w:rsidR="007A1314" w:rsidRPr="00596F57">
              <w:rPr>
                <w:rFonts w:ascii="Times New Roman" w:eastAsia="Times New Roman" w:hAnsi="Times New Roman" w:cs="Times New Roman"/>
                <w:sz w:val="24"/>
                <w:szCs w:val="24"/>
                <w:lang w:val="ro-RO"/>
              </w:rPr>
              <w:t>ț</w:t>
            </w:r>
            <w:proofErr w:type="spellStart"/>
            <w:r w:rsidR="007542F0" w:rsidRPr="00596F57">
              <w:rPr>
                <w:rFonts w:ascii="Times New Roman" w:hAnsi="Times New Roman" w:cs="Times New Roman"/>
                <w:sz w:val="24"/>
                <w:szCs w:val="24"/>
              </w:rPr>
              <w:t>ei</w:t>
            </w:r>
            <w:proofErr w:type="spellEnd"/>
            <w:r w:rsidR="007542F0" w:rsidRPr="00596F57">
              <w:rPr>
                <w:rFonts w:ascii="Times New Roman" w:hAnsi="Times New Roman" w:cs="Times New Roman"/>
                <w:sz w:val="24"/>
                <w:szCs w:val="24"/>
              </w:rPr>
              <w:t xml:space="preserve"> </w:t>
            </w:r>
            <w:proofErr w:type="spellStart"/>
            <w:r w:rsidR="007542F0" w:rsidRPr="00596F57">
              <w:rPr>
                <w:rFonts w:ascii="Times New Roman" w:hAnsi="Times New Roman" w:cs="Times New Roman"/>
                <w:sz w:val="24"/>
                <w:szCs w:val="24"/>
              </w:rPr>
              <w:t>acestuia</w:t>
            </w:r>
            <w:proofErr w:type="spellEnd"/>
            <w:r w:rsidRPr="00596F57">
              <w:rPr>
                <w:rFonts w:ascii="Times New Roman" w:hAnsi="Times New Roman" w:cs="Times New Roman"/>
                <w:sz w:val="24"/>
                <w:szCs w:val="24"/>
                <w:lang w:val="ro-RO"/>
              </w:rPr>
              <w:t>;</w:t>
            </w:r>
          </w:p>
          <w:p w:rsidR="00F41986" w:rsidRPr="00596F57" w:rsidRDefault="00F41986" w:rsidP="007A1314">
            <w:pPr>
              <w:pStyle w:val="ListParagraph"/>
              <w:numPr>
                <w:ilvl w:val="0"/>
                <w:numId w:val="1"/>
              </w:numPr>
              <w:spacing w:after="0" w:line="276" w:lineRule="auto"/>
              <w:jc w:val="both"/>
              <w:rPr>
                <w:rFonts w:ascii="Times New Roman" w:hAnsi="Times New Roman" w:cs="Times New Roman"/>
                <w:sz w:val="24"/>
                <w:szCs w:val="24"/>
                <w:lang w:val="ro-RO"/>
              </w:rPr>
            </w:pPr>
            <w:r w:rsidRPr="00596F57">
              <w:rPr>
                <w:rFonts w:ascii="Times New Roman" w:hAnsi="Times New Roman" w:cs="Times New Roman"/>
                <w:sz w:val="24"/>
                <w:szCs w:val="24"/>
                <w:lang w:val="ro-RO"/>
              </w:rPr>
              <w:t>Realizarea scopurilor strategice de către stat în acest sector;</w:t>
            </w:r>
          </w:p>
          <w:p w:rsidR="00F41986" w:rsidRPr="00596F57" w:rsidRDefault="00F41986" w:rsidP="007A1314">
            <w:pPr>
              <w:pStyle w:val="ListParagraph"/>
              <w:numPr>
                <w:ilvl w:val="0"/>
                <w:numId w:val="1"/>
              </w:numPr>
              <w:spacing w:after="0" w:line="276" w:lineRule="auto"/>
              <w:jc w:val="both"/>
              <w:rPr>
                <w:rFonts w:ascii="Times New Roman" w:hAnsi="Times New Roman" w:cs="Times New Roman"/>
                <w:sz w:val="24"/>
                <w:szCs w:val="24"/>
                <w:lang w:val="ro-RO"/>
              </w:rPr>
            </w:pPr>
            <w:r w:rsidRPr="00596F57">
              <w:rPr>
                <w:rFonts w:ascii="Times New Roman" w:eastAsia="Times New Roman" w:hAnsi="Times New Roman" w:cs="Times New Roman"/>
                <w:sz w:val="24"/>
                <w:szCs w:val="24"/>
                <w:lang w:val="ro-RO"/>
              </w:rPr>
              <w:t>Creșterea transparenței deciziilor privind alocările bugetare către universități, și păstrarea, tot odată a formei de control aflată la dispoziția Ministerului Educației, Culturii și Cercetării</w:t>
            </w:r>
            <w:r w:rsidR="009664FB" w:rsidRPr="00596F57">
              <w:rPr>
                <w:rFonts w:ascii="Times New Roman" w:eastAsia="Times New Roman" w:hAnsi="Times New Roman" w:cs="Times New Roman"/>
                <w:sz w:val="24"/>
                <w:szCs w:val="24"/>
                <w:lang w:val="ro-RO"/>
              </w:rPr>
              <w:t xml:space="preserve"> și a minist</w:t>
            </w:r>
            <w:r w:rsidR="00552C72">
              <w:rPr>
                <w:rFonts w:ascii="Times New Roman" w:eastAsia="Times New Roman" w:hAnsi="Times New Roman" w:cs="Times New Roman"/>
                <w:sz w:val="24"/>
                <w:szCs w:val="24"/>
                <w:lang w:val="ro-RO"/>
              </w:rPr>
              <w:t>e</w:t>
            </w:r>
            <w:r w:rsidR="009664FB" w:rsidRPr="00596F57">
              <w:rPr>
                <w:rFonts w:ascii="Times New Roman" w:eastAsia="Times New Roman" w:hAnsi="Times New Roman" w:cs="Times New Roman"/>
                <w:sz w:val="24"/>
                <w:szCs w:val="24"/>
                <w:lang w:val="ro-RO"/>
              </w:rPr>
              <w:t>relor de resort</w:t>
            </w:r>
            <w:r w:rsidRPr="00596F57">
              <w:rPr>
                <w:rFonts w:ascii="Times New Roman" w:eastAsia="Times New Roman" w:hAnsi="Times New Roman" w:cs="Times New Roman"/>
                <w:sz w:val="24"/>
                <w:szCs w:val="24"/>
                <w:lang w:val="ro-RO"/>
              </w:rPr>
              <w:t>.</w:t>
            </w:r>
          </w:p>
        </w:tc>
      </w:tr>
    </w:tbl>
    <w:p w:rsidR="001F423B" w:rsidRPr="00596F57" w:rsidRDefault="00F41986" w:rsidP="00596F57">
      <w:pPr>
        <w:ind w:left="720" w:firstLine="720"/>
        <w:jc w:val="both"/>
        <w:rPr>
          <w:rFonts w:ascii="Times New Roman" w:eastAsia="Times New Roman" w:hAnsi="Times New Roman" w:cs="Times New Roman"/>
          <w:sz w:val="24"/>
          <w:szCs w:val="24"/>
          <w:lang w:val="ro-RO"/>
        </w:rPr>
      </w:pPr>
      <w:r w:rsidRPr="00596F57">
        <w:rPr>
          <w:rStyle w:val="docbody1"/>
          <w:b/>
          <w:color w:val="auto"/>
          <w:lang w:val="ro-RO"/>
        </w:rPr>
        <w:t xml:space="preserve">      Ministru          </w:t>
      </w:r>
      <w:r w:rsidRPr="00596F57">
        <w:rPr>
          <w:rStyle w:val="docbody1"/>
          <w:b/>
          <w:color w:val="auto"/>
          <w:lang w:val="ro-RO"/>
        </w:rPr>
        <w:tab/>
      </w:r>
      <w:r w:rsidRPr="00596F57">
        <w:rPr>
          <w:rStyle w:val="docbody1"/>
          <w:b/>
          <w:color w:val="auto"/>
          <w:lang w:val="ro-RO"/>
        </w:rPr>
        <w:tab/>
      </w:r>
      <w:r w:rsidRPr="00596F57">
        <w:rPr>
          <w:rStyle w:val="docbody1"/>
          <w:b/>
          <w:color w:val="auto"/>
          <w:lang w:val="ro-RO"/>
        </w:rPr>
        <w:tab/>
      </w:r>
      <w:r w:rsidRPr="00596F57">
        <w:rPr>
          <w:rStyle w:val="docbody1"/>
          <w:b/>
          <w:color w:val="auto"/>
          <w:lang w:val="ro-RO"/>
        </w:rPr>
        <w:tab/>
        <w:t>Monica BABUC</w:t>
      </w:r>
      <w:r w:rsidR="00B97FFA" w:rsidRPr="00596F57">
        <w:rPr>
          <w:rFonts w:ascii="Times New Roman" w:hAnsi="Times New Roman" w:cs="Times New Roman"/>
          <w:b/>
          <w:bCs/>
          <w:sz w:val="24"/>
          <w:szCs w:val="24"/>
          <w:lang w:val="ro-RO"/>
        </w:rPr>
        <w:t xml:space="preserve"> </w:t>
      </w:r>
    </w:p>
    <w:p w:rsidR="00FD6FDE" w:rsidRPr="00596F57" w:rsidRDefault="00FD6FDE" w:rsidP="00F67083">
      <w:pPr>
        <w:pStyle w:val="ListParagraph"/>
        <w:spacing w:after="0" w:line="360" w:lineRule="auto"/>
        <w:jc w:val="both"/>
        <w:rPr>
          <w:rFonts w:ascii="Times New Roman" w:hAnsi="Times New Roman" w:cs="Times New Roman"/>
          <w:sz w:val="24"/>
          <w:szCs w:val="24"/>
          <w:lang w:val="ro-RO"/>
        </w:rPr>
      </w:pPr>
    </w:p>
    <w:sectPr w:rsidR="00FD6FDE" w:rsidRPr="00596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80BD5"/>
    <w:multiLevelType w:val="hybridMultilevel"/>
    <w:tmpl w:val="94D090AA"/>
    <w:lvl w:ilvl="0" w:tplc="60980420">
      <w:start w:val="1"/>
      <w:numFmt w:val="bullet"/>
      <w:lvlText w:val="-"/>
      <w:lvlJc w:val="left"/>
      <w:pPr>
        <w:ind w:left="360" w:hanging="360"/>
      </w:pPr>
      <w:rPr>
        <w:rFonts w:ascii="Times New Roman" w:eastAsia="Verdana"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D335682"/>
    <w:multiLevelType w:val="hybridMultilevel"/>
    <w:tmpl w:val="EDE659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E51673"/>
    <w:multiLevelType w:val="hybridMultilevel"/>
    <w:tmpl w:val="552E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61573C"/>
    <w:multiLevelType w:val="hybridMultilevel"/>
    <w:tmpl w:val="D396B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990E3C"/>
    <w:multiLevelType w:val="hybridMultilevel"/>
    <w:tmpl w:val="905CB702"/>
    <w:lvl w:ilvl="0" w:tplc="04180001">
      <w:start w:val="1"/>
      <w:numFmt w:val="bullet"/>
      <w:lvlText w:val=""/>
      <w:lvlJc w:val="left"/>
      <w:pPr>
        <w:ind w:left="1211" w:hanging="360"/>
      </w:pPr>
      <w:rPr>
        <w:rFonts w:ascii="Symbol" w:hAnsi="Symbol"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5">
    <w:nsid w:val="7B7A387C"/>
    <w:multiLevelType w:val="hybridMultilevel"/>
    <w:tmpl w:val="F60248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A08"/>
    <w:rsid w:val="000F3C1E"/>
    <w:rsid w:val="0011312A"/>
    <w:rsid w:val="001307CC"/>
    <w:rsid w:val="001960A8"/>
    <w:rsid w:val="001F423B"/>
    <w:rsid w:val="002157C0"/>
    <w:rsid w:val="0034691E"/>
    <w:rsid w:val="00420A08"/>
    <w:rsid w:val="00460738"/>
    <w:rsid w:val="0051321A"/>
    <w:rsid w:val="00520D28"/>
    <w:rsid w:val="00535DE5"/>
    <w:rsid w:val="00546E14"/>
    <w:rsid w:val="00552C72"/>
    <w:rsid w:val="00596F57"/>
    <w:rsid w:val="00636CFF"/>
    <w:rsid w:val="00651538"/>
    <w:rsid w:val="007542F0"/>
    <w:rsid w:val="0076312B"/>
    <w:rsid w:val="007A1314"/>
    <w:rsid w:val="007C2494"/>
    <w:rsid w:val="007F151F"/>
    <w:rsid w:val="008102B6"/>
    <w:rsid w:val="008425B3"/>
    <w:rsid w:val="008466E4"/>
    <w:rsid w:val="008E2BA8"/>
    <w:rsid w:val="008F16A6"/>
    <w:rsid w:val="00933900"/>
    <w:rsid w:val="009664FB"/>
    <w:rsid w:val="009711A1"/>
    <w:rsid w:val="00A16FFE"/>
    <w:rsid w:val="00AA4B05"/>
    <w:rsid w:val="00AD02FF"/>
    <w:rsid w:val="00AF5913"/>
    <w:rsid w:val="00B01691"/>
    <w:rsid w:val="00B318F4"/>
    <w:rsid w:val="00B773E5"/>
    <w:rsid w:val="00B97FFA"/>
    <w:rsid w:val="00BF27B8"/>
    <w:rsid w:val="00C15496"/>
    <w:rsid w:val="00CD67C8"/>
    <w:rsid w:val="00D9557C"/>
    <w:rsid w:val="00E80C3C"/>
    <w:rsid w:val="00E91750"/>
    <w:rsid w:val="00EB7A35"/>
    <w:rsid w:val="00ED0643"/>
    <w:rsid w:val="00F41986"/>
    <w:rsid w:val="00F67083"/>
    <w:rsid w:val="00FD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03CB14-0A08-4733-AFFC-BAB91246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A08"/>
    <w:pPr>
      <w:spacing w:after="160" w:line="259" w:lineRule="auto"/>
    </w:pPr>
    <w:rPr>
      <w:rFonts w:ascii="Calibri" w:eastAsia="Calibri" w:hAnsi="Calibri" w:cs="Calibri"/>
    </w:rPr>
  </w:style>
  <w:style w:type="paragraph" w:styleId="Heading2">
    <w:name w:val="heading 2"/>
    <w:basedOn w:val="Normal"/>
    <w:next w:val="Normal"/>
    <w:link w:val="Heading2Char"/>
    <w:qFormat/>
    <w:rsid w:val="00F41986"/>
    <w:pPr>
      <w:keepNext/>
      <w:tabs>
        <w:tab w:val="left" w:pos="8580"/>
      </w:tabs>
      <w:spacing w:after="0" w:line="360" w:lineRule="auto"/>
      <w:ind w:firstLine="720"/>
      <w:jc w:val="center"/>
      <w:outlineLvl w:val="1"/>
    </w:pPr>
    <w:rPr>
      <w:rFonts w:ascii="Times New Roman" w:hAnsi="Times New Roman" w:cs="Times New Roman"/>
      <w:sz w:val="24"/>
      <w:szCs w:val="24"/>
      <w:u w:val="single"/>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0A0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FFA"/>
    <w:rPr>
      <w:rFonts w:ascii="Tahoma" w:eastAsia="Calibri" w:hAnsi="Tahoma" w:cs="Tahoma"/>
      <w:sz w:val="16"/>
      <w:szCs w:val="16"/>
    </w:rPr>
  </w:style>
  <w:style w:type="paragraph" w:styleId="ListParagraph">
    <w:name w:val="List Paragraph"/>
    <w:basedOn w:val="Normal"/>
    <w:uiPriority w:val="34"/>
    <w:qFormat/>
    <w:rsid w:val="00FD6FDE"/>
    <w:pPr>
      <w:ind w:left="720"/>
      <w:contextualSpacing/>
    </w:pPr>
  </w:style>
  <w:style w:type="character" w:customStyle="1" w:styleId="Heading2Char">
    <w:name w:val="Heading 2 Char"/>
    <w:basedOn w:val="DefaultParagraphFont"/>
    <w:link w:val="Heading2"/>
    <w:rsid w:val="00F41986"/>
    <w:rPr>
      <w:rFonts w:ascii="Times New Roman" w:eastAsia="Calibri" w:hAnsi="Times New Roman" w:cs="Times New Roman"/>
      <w:sz w:val="24"/>
      <w:szCs w:val="24"/>
      <w:u w:val="single"/>
      <w:lang w:val="ro-RO"/>
    </w:rPr>
  </w:style>
  <w:style w:type="table" w:styleId="TableGrid">
    <w:name w:val="Table Grid"/>
    <w:basedOn w:val="TableNormal"/>
    <w:uiPriority w:val="59"/>
    <w:rsid w:val="00F419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body1">
    <w:name w:val="doc_body1"/>
    <w:rsid w:val="00F41986"/>
    <w:rPr>
      <w:rFonts w:ascii="Times New Roman" w:hAnsi="Times New Roman" w:cs="Times New Roman" w:hint="default"/>
      <w:color w:val="000000"/>
      <w:sz w:val="24"/>
      <w:szCs w:val="24"/>
    </w:rPr>
  </w:style>
  <w:style w:type="paragraph" w:customStyle="1" w:styleId="12titlu">
    <w:name w:val="1.2.titlu"/>
    <w:basedOn w:val="Normal"/>
    <w:rsid w:val="00F41986"/>
    <w:pPr>
      <w:spacing w:after="0" w:line="360" w:lineRule="auto"/>
      <w:ind w:firstLine="720"/>
      <w:jc w:val="both"/>
    </w:pPr>
    <w:rPr>
      <w:rFonts w:ascii="Times New Roman" w:hAnsi="Times New Roman" w:cs="Times New Roman"/>
      <w:b/>
      <w:i/>
      <w:sz w:val="28"/>
      <w:szCs w:val="24"/>
      <w:lang w:val="ro-RO" w:eastAsia="ru-RU"/>
    </w:rPr>
  </w:style>
  <w:style w:type="character" w:styleId="Strong">
    <w:name w:val="Strong"/>
    <w:basedOn w:val="DefaultParagraphFont"/>
    <w:uiPriority w:val="22"/>
    <w:qFormat/>
    <w:rsid w:val="00E91750"/>
    <w:rPr>
      <w:b/>
      <w:bCs/>
    </w:rPr>
  </w:style>
  <w:style w:type="character" w:customStyle="1" w:styleId="docheader">
    <w:name w:val="doc_header"/>
    <w:basedOn w:val="DefaultParagraphFont"/>
    <w:rsid w:val="00E9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69951">
      <w:bodyDiv w:val="1"/>
      <w:marLeft w:val="0"/>
      <w:marRight w:val="0"/>
      <w:marTop w:val="0"/>
      <w:marBottom w:val="0"/>
      <w:divBdr>
        <w:top w:val="none" w:sz="0" w:space="0" w:color="auto"/>
        <w:left w:val="none" w:sz="0" w:space="0" w:color="auto"/>
        <w:bottom w:val="none" w:sz="0" w:space="0" w:color="auto"/>
        <w:right w:val="none" w:sz="0" w:space="0" w:color="auto"/>
      </w:divBdr>
    </w:div>
    <w:div w:id="948391733">
      <w:bodyDiv w:val="1"/>
      <w:marLeft w:val="0"/>
      <w:marRight w:val="0"/>
      <w:marTop w:val="0"/>
      <w:marBottom w:val="0"/>
      <w:divBdr>
        <w:top w:val="none" w:sz="0" w:space="0" w:color="auto"/>
        <w:left w:val="none" w:sz="0" w:space="0" w:color="auto"/>
        <w:bottom w:val="none" w:sz="0" w:space="0" w:color="auto"/>
        <w:right w:val="none" w:sz="0" w:space="0" w:color="auto"/>
      </w:divBdr>
      <w:divsChild>
        <w:div w:id="495539655">
          <w:marLeft w:val="0"/>
          <w:marRight w:val="0"/>
          <w:marTop w:val="0"/>
          <w:marBottom w:val="0"/>
          <w:divBdr>
            <w:top w:val="none" w:sz="0" w:space="0" w:color="auto"/>
            <w:left w:val="none" w:sz="0" w:space="0" w:color="auto"/>
            <w:bottom w:val="none" w:sz="0" w:space="0" w:color="auto"/>
            <w:right w:val="none" w:sz="0" w:space="0" w:color="auto"/>
          </w:divBdr>
        </w:div>
        <w:div w:id="1240141051">
          <w:marLeft w:val="0"/>
          <w:marRight w:val="0"/>
          <w:marTop w:val="0"/>
          <w:marBottom w:val="0"/>
          <w:divBdr>
            <w:top w:val="none" w:sz="0" w:space="0" w:color="auto"/>
            <w:left w:val="none" w:sz="0" w:space="0" w:color="auto"/>
            <w:bottom w:val="none" w:sz="0" w:space="0" w:color="auto"/>
            <w:right w:val="none" w:sz="0" w:space="0" w:color="auto"/>
          </w:divBdr>
        </w:div>
        <w:div w:id="262810655">
          <w:marLeft w:val="0"/>
          <w:marRight w:val="0"/>
          <w:marTop w:val="0"/>
          <w:marBottom w:val="0"/>
          <w:divBdr>
            <w:top w:val="none" w:sz="0" w:space="0" w:color="auto"/>
            <w:left w:val="none" w:sz="0" w:space="0" w:color="auto"/>
            <w:bottom w:val="none" w:sz="0" w:space="0" w:color="auto"/>
            <w:right w:val="none" w:sz="0" w:space="0" w:color="auto"/>
          </w:divBdr>
        </w:div>
        <w:div w:id="1184711126">
          <w:marLeft w:val="0"/>
          <w:marRight w:val="0"/>
          <w:marTop w:val="0"/>
          <w:marBottom w:val="0"/>
          <w:divBdr>
            <w:top w:val="none" w:sz="0" w:space="0" w:color="auto"/>
            <w:left w:val="none" w:sz="0" w:space="0" w:color="auto"/>
            <w:bottom w:val="none" w:sz="0" w:space="0" w:color="auto"/>
            <w:right w:val="none" w:sz="0" w:space="0" w:color="auto"/>
          </w:divBdr>
        </w:div>
      </w:divsChild>
    </w:div>
    <w:div w:id="1764835656">
      <w:bodyDiv w:val="1"/>
      <w:marLeft w:val="0"/>
      <w:marRight w:val="0"/>
      <w:marTop w:val="0"/>
      <w:marBottom w:val="0"/>
      <w:divBdr>
        <w:top w:val="none" w:sz="0" w:space="0" w:color="auto"/>
        <w:left w:val="none" w:sz="0" w:space="0" w:color="auto"/>
        <w:bottom w:val="none" w:sz="0" w:space="0" w:color="auto"/>
        <w:right w:val="none" w:sz="0" w:space="0" w:color="auto"/>
      </w:divBdr>
      <w:divsChild>
        <w:div w:id="1757898685">
          <w:marLeft w:val="0"/>
          <w:marRight w:val="0"/>
          <w:marTop w:val="0"/>
          <w:marBottom w:val="0"/>
          <w:divBdr>
            <w:top w:val="none" w:sz="0" w:space="0" w:color="auto"/>
            <w:left w:val="none" w:sz="0" w:space="0" w:color="auto"/>
            <w:bottom w:val="none" w:sz="0" w:space="0" w:color="auto"/>
            <w:right w:val="none" w:sz="0" w:space="0" w:color="auto"/>
          </w:divBdr>
        </w:div>
        <w:div w:id="1466699695">
          <w:marLeft w:val="0"/>
          <w:marRight w:val="0"/>
          <w:marTop w:val="0"/>
          <w:marBottom w:val="0"/>
          <w:divBdr>
            <w:top w:val="none" w:sz="0" w:space="0" w:color="auto"/>
            <w:left w:val="none" w:sz="0" w:space="0" w:color="auto"/>
            <w:bottom w:val="none" w:sz="0" w:space="0" w:color="auto"/>
            <w:right w:val="none" w:sz="0" w:space="0" w:color="auto"/>
          </w:divBdr>
        </w:div>
        <w:div w:id="821195428">
          <w:marLeft w:val="0"/>
          <w:marRight w:val="0"/>
          <w:marTop w:val="0"/>
          <w:marBottom w:val="0"/>
          <w:divBdr>
            <w:top w:val="none" w:sz="0" w:space="0" w:color="auto"/>
            <w:left w:val="none" w:sz="0" w:space="0" w:color="auto"/>
            <w:bottom w:val="none" w:sz="0" w:space="0" w:color="auto"/>
            <w:right w:val="none" w:sz="0" w:space="0" w:color="auto"/>
          </w:divBdr>
        </w:div>
        <w:div w:id="420613103">
          <w:marLeft w:val="0"/>
          <w:marRight w:val="0"/>
          <w:marTop w:val="0"/>
          <w:marBottom w:val="0"/>
          <w:divBdr>
            <w:top w:val="none" w:sz="0" w:space="0" w:color="auto"/>
            <w:left w:val="none" w:sz="0" w:space="0" w:color="auto"/>
            <w:bottom w:val="none" w:sz="0" w:space="0" w:color="auto"/>
            <w:right w:val="none" w:sz="0" w:space="0" w:color="auto"/>
          </w:divBdr>
        </w:div>
        <w:div w:id="1368873827">
          <w:marLeft w:val="0"/>
          <w:marRight w:val="0"/>
          <w:marTop w:val="0"/>
          <w:marBottom w:val="0"/>
          <w:divBdr>
            <w:top w:val="none" w:sz="0" w:space="0" w:color="auto"/>
            <w:left w:val="none" w:sz="0" w:space="0" w:color="auto"/>
            <w:bottom w:val="none" w:sz="0" w:space="0" w:color="auto"/>
            <w:right w:val="none" w:sz="0" w:space="0" w:color="auto"/>
          </w:divBdr>
        </w:div>
        <w:div w:id="2041122323">
          <w:marLeft w:val="0"/>
          <w:marRight w:val="0"/>
          <w:marTop w:val="0"/>
          <w:marBottom w:val="0"/>
          <w:divBdr>
            <w:top w:val="none" w:sz="0" w:space="0" w:color="auto"/>
            <w:left w:val="none" w:sz="0" w:space="0" w:color="auto"/>
            <w:bottom w:val="none" w:sz="0" w:space="0" w:color="auto"/>
            <w:right w:val="none" w:sz="0" w:space="0" w:color="auto"/>
          </w:divBdr>
        </w:div>
        <w:div w:id="15348991">
          <w:marLeft w:val="0"/>
          <w:marRight w:val="0"/>
          <w:marTop w:val="0"/>
          <w:marBottom w:val="0"/>
          <w:divBdr>
            <w:top w:val="none" w:sz="0" w:space="0" w:color="auto"/>
            <w:left w:val="none" w:sz="0" w:space="0" w:color="auto"/>
            <w:bottom w:val="none" w:sz="0" w:space="0" w:color="auto"/>
            <w:right w:val="none" w:sz="0" w:space="0" w:color="auto"/>
          </w:divBdr>
        </w:div>
        <w:div w:id="684408419">
          <w:marLeft w:val="0"/>
          <w:marRight w:val="0"/>
          <w:marTop w:val="0"/>
          <w:marBottom w:val="0"/>
          <w:divBdr>
            <w:top w:val="none" w:sz="0" w:space="0" w:color="auto"/>
            <w:left w:val="none" w:sz="0" w:space="0" w:color="auto"/>
            <w:bottom w:val="none" w:sz="0" w:space="0" w:color="auto"/>
            <w:right w:val="none" w:sz="0" w:space="0" w:color="auto"/>
          </w:divBdr>
        </w:div>
        <w:div w:id="27683927">
          <w:marLeft w:val="0"/>
          <w:marRight w:val="0"/>
          <w:marTop w:val="0"/>
          <w:marBottom w:val="0"/>
          <w:divBdr>
            <w:top w:val="none" w:sz="0" w:space="0" w:color="auto"/>
            <w:left w:val="none" w:sz="0" w:space="0" w:color="auto"/>
            <w:bottom w:val="none" w:sz="0" w:space="0" w:color="auto"/>
            <w:right w:val="none" w:sz="0" w:space="0" w:color="auto"/>
          </w:divBdr>
        </w:div>
        <w:div w:id="2018726508">
          <w:marLeft w:val="0"/>
          <w:marRight w:val="0"/>
          <w:marTop w:val="0"/>
          <w:marBottom w:val="0"/>
          <w:divBdr>
            <w:top w:val="none" w:sz="0" w:space="0" w:color="auto"/>
            <w:left w:val="none" w:sz="0" w:space="0" w:color="auto"/>
            <w:bottom w:val="none" w:sz="0" w:space="0" w:color="auto"/>
            <w:right w:val="none" w:sz="0" w:space="0" w:color="auto"/>
          </w:divBdr>
        </w:div>
        <w:div w:id="165440303">
          <w:marLeft w:val="0"/>
          <w:marRight w:val="0"/>
          <w:marTop w:val="0"/>
          <w:marBottom w:val="0"/>
          <w:divBdr>
            <w:top w:val="none" w:sz="0" w:space="0" w:color="auto"/>
            <w:left w:val="none" w:sz="0" w:space="0" w:color="auto"/>
            <w:bottom w:val="none" w:sz="0" w:space="0" w:color="auto"/>
            <w:right w:val="none" w:sz="0" w:space="0" w:color="auto"/>
          </w:divBdr>
        </w:div>
        <w:div w:id="201863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786</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2</cp:revision>
  <cp:lastPrinted>2018-05-02T13:14:00Z</cp:lastPrinted>
  <dcterms:created xsi:type="dcterms:W3CDTF">2018-05-05T06:03:00Z</dcterms:created>
  <dcterms:modified xsi:type="dcterms:W3CDTF">2018-05-05T06:03:00Z</dcterms:modified>
</cp:coreProperties>
</file>