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A762B2" w:rsidTr="00743202">
        <w:tc>
          <w:tcPr>
            <w:tcW w:w="10435" w:type="dxa"/>
            <w:shd w:val="clear" w:color="auto" w:fill="FFFFFF" w:themeFill="background1"/>
          </w:tcPr>
          <w:p w:rsidR="00F726AF" w:rsidRPr="00A762B2" w:rsidRDefault="00F726AF" w:rsidP="002B1035">
            <w:pPr>
              <w:pStyle w:val="NoSpacing"/>
              <w:ind w:firstLine="576"/>
              <w:jc w:val="center"/>
              <w:rPr>
                <w:rFonts w:ascii="Times New Roman" w:hAnsi="Times New Roman" w:cs="Times New Roman"/>
                <w:b/>
                <w:sz w:val="26"/>
                <w:szCs w:val="26"/>
              </w:rPr>
            </w:pPr>
            <w:r w:rsidRPr="00A762B2">
              <w:rPr>
                <w:rFonts w:ascii="Times New Roman" w:hAnsi="Times New Roman" w:cs="Times New Roman"/>
                <w:b/>
                <w:sz w:val="26"/>
                <w:szCs w:val="26"/>
              </w:rPr>
              <w:t>NOTĂ INFORMATIVĂ</w:t>
            </w:r>
          </w:p>
          <w:p w:rsidR="00F726AF" w:rsidRPr="00A762B2" w:rsidRDefault="00F726AF" w:rsidP="00DD0FF6">
            <w:pPr>
              <w:pStyle w:val="tt"/>
              <w:rPr>
                <w:b w:val="0"/>
                <w:sz w:val="26"/>
                <w:szCs w:val="26"/>
                <w:lang w:val="ro-RO"/>
              </w:rPr>
            </w:pPr>
            <w:r w:rsidRPr="00A762B2">
              <w:rPr>
                <w:b w:val="0"/>
                <w:sz w:val="26"/>
                <w:szCs w:val="26"/>
                <w:lang w:val="ro-RO"/>
              </w:rPr>
              <w:t xml:space="preserve">la proiectul </w:t>
            </w:r>
            <w:r w:rsidR="00765F8A" w:rsidRPr="00A762B2">
              <w:rPr>
                <w:b w:val="0"/>
                <w:sz w:val="26"/>
                <w:szCs w:val="26"/>
                <w:lang w:val="ro-RO"/>
              </w:rPr>
              <w:t>hotărârii</w:t>
            </w:r>
            <w:r w:rsidRPr="00A762B2">
              <w:rPr>
                <w:b w:val="0"/>
                <w:sz w:val="26"/>
                <w:szCs w:val="26"/>
                <w:lang w:val="ro-RO"/>
              </w:rPr>
              <w:t xml:space="preserve"> Guvernului „</w:t>
            </w:r>
            <w:r w:rsidR="00A97092" w:rsidRPr="00A762B2">
              <w:rPr>
                <w:b w:val="0"/>
                <w:sz w:val="26"/>
                <w:szCs w:val="26"/>
                <w:lang w:val="ro-RO"/>
              </w:rPr>
              <w:t xml:space="preserve">Cu privire la aprobarea </w:t>
            </w:r>
            <w:r w:rsidR="00C40B60" w:rsidRPr="00A762B2">
              <w:rPr>
                <w:b w:val="0"/>
                <w:sz w:val="26"/>
                <w:szCs w:val="26"/>
                <w:lang w:val="ro-RO"/>
              </w:rPr>
              <w:t xml:space="preserve">Metodologiei </w:t>
            </w:r>
            <w:r w:rsidR="00D57321" w:rsidRPr="00A762B2">
              <w:rPr>
                <w:b w:val="0"/>
                <w:sz w:val="26"/>
                <w:szCs w:val="26"/>
                <w:lang w:val="ro-RO"/>
              </w:rPr>
              <w:t>controlului de stat asupra activității de întreprinzător în baza analizei riscurilor pentru domeniul supravegherii tehnice</w:t>
            </w:r>
            <w:r w:rsidRPr="00A762B2">
              <w:rPr>
                <w:b w:val="0"/>
                <w:sz w:val="26"/>
                <w:szCs w:val="26"/>
                <w:lang w:val="ro-RO"/>
              </w:rPr>
              <w:t>”</w:t>
            </w:r>
          </w:p>
        </w:tc>
      </w:tr>
      <w:tr w:rsidR="00EE64F3" w:rsidRPr="00A762B2" w:rsidTr="00743202">
        <w:tc>
          <w:tcPr>
            <w:tcW w:w="10435" w:type="dxa"/>
            <w:tcBorders>
              <w:left w:val="nil"/>
              <w:right w:val="nil"/>
            </w:tcBorders>
            <w:shd w:val="clear" w:color="auto" w:fill="FFFFFF" w:themeFill="background1"/>
          </w:tcPr>
          <w:p w:rsidR="00F726AF" w:rsidRPr="00A762B2" w:rsidRDefault="00F726AF" w:rsidP="002B1035">
            <w:pPr>
              <w:spacing w:after="120"/>
              <w:rPr>
                <w:rFonts w:ascii="Times New Roman" w:hAnsi="Times New Roman" w:cs="Times New Roman"/>
                <w:b/>
                <w:sz w:val="26"/>
                <w:szCs w:val="26"/>
              </w:rPr>
            </w:pPr>
          </w:p>
        </w:tc>
      </w:tr>
      <w:tr w:rsidR="00EE64F3" w:rsidRPr="00A762B2" w:rsidTr="00743202">
        <w:tc>
          <w:tcPr>
            <w:tcW w:w="10435" w:type="dxa"/>
            <w:shd w:val="clear" w:color="auto" w:fill="FFFFFF" w:themeFill="background1"/>
          </w:tcPr>
          <w:p w:rsidR="00F726AF" w:rsidRPr="00A762B2" w:rsidRDefault="00F726AF" w:rsidP="00B205D7">
            <w:pPr>
              <w:spacing w:after="80"/>
              <w:ind w:firstLine="720"/>
              <w:jc w:val="both"/>
              <w:rPr>
                <w:rFonts w:ascii="Times New Roman" w:hAnsi="Times New Roman" w:cs="Times New Roman"/>
                <w:b/>
                <w:sz w:val="26"/>
                <w:szCs w:val="26"/>
              </w:rPr>
            </w:pPr>
            <w:r w:rsidRPr="00A762B2">
              <w:rPr>
                <w:rFonts w:ascii="Times New Roman" w:hAnsi="Times New Roman" w:cs="Times New Roman"/>
                <w:b/>
                <w:sz w:val="26"/>
                <w:szCs w:val="26"/>
              </w:rPr>
              <w:t>I. Condițiile ce au impus elaborarea proiectului</w:t>
            </w:r>
          </w:p>
        </w:tc>
      </w:tr>
      <w:tr w:rsidR="00EE64F3" w:rsidRPr="00A762B2" w:rsidTr="00743202">
        <w:tc>
          <w:tcPr>
            <w:tcW w:w="10435" w:type="dxa"/>
            <w:shd w:val="clear" w:color="auto" w:fill="FFFFFF" w:themeFill="background1"/>
          </w:tcPr>
          <w:p w:rsidR="00B70F06" w:rsidRPr="00A762B2" w:rsidRDefault="001937C7" w:rsidP="00B205D7">
            <w:pPr>
              <w:ind w:firstLine="720"/>
              <w:jc w:val="both"/>
              <w:rPr>
                <w:rFonts w:ascii="Times New Roman" w:hAnsi="Times New Roman" w:cs="Times New Roman"/>
                <w:sz w:val="26"/>
                <w:szCs w:val="26"/>
              </w:rPr>
            </w:pPr>
            <w:hyperlink r:id="rId6" w:history="1">
              <w:r w:rsidR="00B70F06" w:rsidRPr="00A762B2">
                <w:rPr>
                  <w:rStyle w:val="Hyperlink"/>
                  <w:rFonts w:ascii="Times New Roman" w:hAnsi="Times New Roman" w:cs="Times New Roman"/>
                  <w:color w:val="auto"/>
                  <w:sz w:val="26"/>
                  <w:szCs w:val="26"/>
                  <w:u w:val="none"/>
                </w:rPr>
                <w:t>Legea nr.131 din 8 iunie 2012</w:t>
              </w:r>
            </w:hyperlink>
            <w:r w:rsidR="00B70F06" w:rsidRPr="00A762B2">
              <w:rPr>
                <w:rFonts w:ascii="Times New Roman" w:hAnsi="Times New Roman" w:cs="Times New Roman"/>
                <w:sz w:val="26"/>
                <w:szCs w:val="26"/>
              </w:rPr>
              <w:t xml:space="preserve"> privind controlul de stat asupra activității de întreprinzător stabilește că controlul activității unui agent </w:t>
            </w:r>
            <w:r w:rsidR="00CF6B36" w:rsidRPr="00A762B2">
              <w:rPr>
                <w:rFonts w:ascii="Times New Roman" w:hAnsi="Times New Roman" w:cs="Times New Roman"/>
                <w:sz w:val="26"/>
                <w:szCs w:val="26"/>
              </w:rPr>
              <w:t>economic</w:t>
            </w:r>
            <w:r w:rsidR="00B70F06" w:rsidRPr="00A762B2">
              <w:rPr>
                <w:rFonts w:ascii="Times New Roman" w:hAnsi="Times New Roman" w:cs="Times New Roman"/>
                <w:sz w:val="26"/>
                <w:szCs w:val="26"/>
              </w:rPr>
              <w:t xml:space="preserve"> se </w:t>
            </w:r>
            <w:r w:rsidR="00CF6B36" w:rsidRPr="00A762B2">
              <w:rPr>
                <w:rFonts w:ascii="Times New Roman" w:hAnsi="Times New Roman" w:cs="Times New Roman"/>
                <w:sz w:val="26"/>
                <w:szCs w:val="26"/>
              </w:rPr>
              <w:t>inițiază</w:t>
            </w:r>
            <w:r w:rsidR="00B70F06" w:rsidRPr="00A762B2">
              <w:rPr>
                <w:rFonts w:ascii="Times New Roman" w:hAnsi="Times New Roman" w:cs="Times New Roman"/>
                <w:sz w:val="26"/>
                <w:szCs w:val="26"/>
              </w:rPr>
              <w:t xml:space="preserve"> doar în urma analizei şi evaluării riscurilor</w:t>
            </w:r>
            <w:r w:rsidR="00CF6B36" w:rsidRPr="00A762B2">
              <w:rPr>
                <w:rFonts w:ascii="Times New Roman" w:hAnsi="Times New Roman" w:cs="Times New Roman"/>
                <w:sz w:val="26"/>
                <w:szCs w:val="26"/>
              </w:rPr>
              <w:t>, iar p</w:t>
            </w:r>
            <w:r w:rsidR="00B70F06" w:rsidRPr="00A762B2">
              <w:rPr>
                <w:rFonts w:ascii="Times New Roman" w:hAnsi="Times New Roman" w:cs="Times New Roman"/>
                <w:sz w:val="26"/>
                <w:szCs w:val="26"/>
              </w:rPr>
              <w:t xml:space="preserve">lanul controalelor se </w:t>
            </w:r>
            <w:r w:rsidR="00CF6B36" w:rsidRPr="00A762B2">
              <w:rPr>
                <w:rFonts w:ascii="Times New Roman" w:hAnsi="Times New Roman" w:cs="Times New Roman"/>
                <w:sz w:val="26"/>
                <w:szCs w:val="26"/>
              </w:rPr>
              <w:t>întocmește</w:t>
            </w:r>
            <w:r w:rsidR="00B70F06" w:rsidRPr="00A762B2">
              <w:rPr>
                <w:rFonts w:ascii="Times New Roman" w:hAnsi="Times New Roman" w:cs="Times New Roman"/>
                <w:sz w:val="26"/>
                <w:szCs w:val="26"/>
              </w:rPr>
              <w:t xml:space="preserve"> de către organul de control în baza criteriilor de risc stabilite conform </w:t>
            </w:r>
            <w:r w:rsidR="00CF6B36" w:rsidRPr="00A762B2">
              <w:rPr>
                <w:rFonts w:ascii="Times New Roman" w:hAnsi="Times New Roman" w:cs="Times New Roman"/>
                <w:sz w:val="26"/>
                <w:szCs w:val="26"/>
              </w:rPr>
              <w:t>particularităților</w:t>
            </w:r>
            <w:r w:rsidR="00B70F06" w:rsidRPr="00A762B2">
              <w:rPr>
                <w:rFonts w:ascii="Times New Roman" w:hAnsi="Times New Roman" w:cs="Times New Roman"/>
                <w:sz w:val="26"/>
                <w:szCs w:val="26"/>
              </w:rPr>
              <w:t xml:space="preserve"> obiectului controlului, persoanelor supuse controlului şi ale raporturilor anterioare cu organul de control (data efectuării ultimului control, încălcări anterioare). </w:t>
            </w:r>
          </w:p>
          <w:p w:rsidR="00A97092" w:rsidRPr="00A762B2" w:rsidRDefault="00A97092"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Prin </w:t>
            </w:r>
            <w:r w:rsidR="00C40B60" w:rsidRPr="00A762B2">
              <w:rPr>
                <w:rFonts w:ascii="Times New Roman" w:hAnsi="Times New Roman" w:cs="Times New Roman"/>
                <w:sz w:val="26"/>
                <w:szCs w:val="26"/>
              </w:rPr>
              <w:t>Hotărârea</w:t>
            </w:r>
            <w:r w:rsidR="001E5593" w:rsidRPr="00A762B2">
              <w:rPr>
                <w:rFonts w:ascii="Times New Roman" w:hAnsi="Times New Roman" w:cs="Times New Roman"/>
                <w:sz w:val="26"/>
                <w:szCs w:val="26"/>
              </w:rPr>
              <w:t xml:space="preserve"> Guvernului nr.886 din 01.11.2017, </w:t>
            </w:r>
            <w:r w:rsidRPr="00A762B2">
              <w:rPr>
                <w:rFonts w:ascii="Times New Roman" w:hAnsi="Times New Roman" w:cs="Times New Roman"/>
                <w:sz w:val="26"/>
                <w:szCs w:val="26"/>
              </w:rPr>
              <w:t>a fost</w:t>
            </w:r>
            <w:r w:rsidR="001E5593" w:rsidRPr="00A762B2">
              <w:rPr>
                <w:rFonts w:ascii="Times New Roman" w:hAnsi="Times New Roman" w:cs="Times New Roman"/>
                <w:sz w:val="26"/>
                <w:szCs w:val="26"/>
              </w:rPr>
              <w:t xml:space="preserve"> crea</w:t>
            </w:r>
            <w:r w:rsidRPr="00A762B2">
              <w:rPr>
                <w:rFonts w:ascii="Times New Roman" w:hAnsi="Times New Roman" w:cs="Times New Roman"/>
                <w:sz w:val="26"/>
                <w:szCs w:val="26"/>
              </w:rPr>
              <w:t>tă Agenția</w:t>
            </w:r>
            <w:r w:rsidR="001E5593" w:rsidRPr="00A762B2">
              <w:rPr>
                <w:rFonts w:ascii="Times New Roman" w:hAnsi="Times New Roman" w:cs="Times New Roman"/>
                <w:sz w:val="26"/>
                <w:szCs w:val="26"/>
              </w:rPr>
              <w:t xml:space="preserve"> pentru Supraveghere Tehnică</w:t>
            </w:r>
            <w:r w:rsidR="007B08C6" w:rsidRPr="00A762B2">
              <w:rPr>
                <w:rFonts w:ascii="Times New Roman" w:hAnsi="Times New Roman" w:cs="Times New Roman"/>
                <w:sz w:val="26"/>
                <w:szCs w:val="26"/>
              </w:rPr>
              <w:t xml:space="preserve"> (A</w:t>
            </w:r>
            <w:r w:rsidR="00BD5932" w:rsidRPr="00A762B2">
              <w:rPr>
                <w:rFonts w:ascii="Times New Roman" w:hAnsi="Times New Roman" w:cs="Times New Roman"/>
                <w:sz w:val="26"/>
                <w:szCs w:val="26"/>
              </w:rPr>
              <w:t>genția</w:t>
            </w:r>
            <w:r w:rsidR="007B08C6" w:rsidRPr="00A762B2">
              <w:rPr>
                <w:rFonts w:ascii="Times New Roman" w:hAnsi="Times New Roman" w:cs="Times New Roman"/>
                <w:sz w:val="26"/>
                <w:szCs w:val="26"/>
              </w:rPr>
              <w:t>)</w:t>
            </w:r>
            <w:r w:rsidR="00C40B60" w:rsidRPr="00A762B2">
              <w:rPr>
                <w:rFonts w:ascii="Times New Roman" w:hAnsi="Times New Roman" w:cs="Times New Roman"/>
                <w:sz w:val="26"/>
                <w:szCs w:val="26"/>
              </w:rPr>
              <w:t xml:space="preserve">, iar Regulamentului de organizare și funcționare a Agenției </w:t>
            </w:r>
            <w:r w:rsidRPr="00A762B2">
              <w:rPr>
                <w:rFonts w:ascii="Times New Roman" w:hAnsi="Times New Roman" w:cs="Times New Roman"/>
                <w:sz w:val="26"/>
                <w:szCs w:val="26"/>
              </w:rPr>
              <w:t>a fost aprobat</w:t>
            </w:r>
            <w:r w:rsidR="00C40B60" w:rsidRPr="00A762B2">
              <w:rPr>
                <w:rFonts w:ascii="Times New Roman" w:hAnsi="Times New Roman" w:cs="Times New Roman"/>
                <w:sz w:val="26"/>
                <w:szCs w:val="26"/>
              </w:rPr>
              <w:t xml:space="preserve"> prin</w:t>
            </w:r>
            <w:r w:rsidRPr="00A762B2">
              <w:rPr>
                <w:rFonts w:ascii="Times New Roman" w:hAnsi="Times New Roman" w:cs="Times New Roman"/>
                <w:sz w:val="26"/>
                <w:szCs w:val="26"/>
              </w:rPr>
              <w:t xml:space="preserve"> </w:t>
            </w:r>
            <w:r w:rsidR="00C40B60" w:rsidRPr="00A762B2">
              <w:rPr>
                <w:rFonts w:ascii="Times New Roman" w:hAnsi="Times New Roman" w:cs="Times New Roman"/>
                <w:sz w:val="26"/>
                <w:szCs w:val="26"/>
              </w:rPr>
              <w:t>Hotărârea</w:t>
            </w:r>
            <w:r w:rsidRPr="00A762B2">
              <w:rPr>
                <w:rFonts w:ascii="Times New Roman" w:hAnsi="Times New Roman" w:cs="Times New Roman"/>
                <w:sz w:val="26"/>
                <w:szCs w:val="26"/>
              </w:rPr>
              <w:t xml:space="preserve"> Guvernului nr.1088 din 18.12.2017</w:t>
            </w:r>
            <w:r w:rsidR="00C40B60" w:rsidRPr="00A762B2">
              <w:rPr>
                <w:rFonts w:ascii="Times New Roman" w:hAnsi="Times New Roman" w:cs="Times New Roman"/>
                <w:sz w:val="26"/>
                <w:szCs w:val="26"/>
              </w:rPr>
              <w:t>.</w:t>
            </w:r>
          </w:p>
          <w:p w:rsidR="007B08C6" w:rsidRPr="00A762B2" w:rsidRDefault="00BD5932"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Agenția</w:t>
            </w:r>
            <w:r w:rsidR="007B08C6" w:rsidRPr="00A762B2">
              <w:rPr>
                <w:rFonts w:ascii="Times New Roman" w:hAnsi="Times New Roman" w:cs="Times New Roman"/>
                <w:sz w:val="26"/>
                <w:szCs w:val="26"/>
              </w:rPr>
              <w:t xml:space="preserve"> este responsabilă de asigurarea implement</w:t>
            </w:r>
            <w:r w:rsidR="00CC6541" w:rsidRPr="00A762B2">
              <w:rPr>
                <w:rFonts w:ascii="Times New Roman" w:hAnsi="Times New Roman" w:cs="Times New Roman"/>
                <w:color w:val="FF0000"/>
                <w:sz w:val="26"/>
                <w:szCs w:val="26"/>
              </w:rPr>
              <w:t>ării</w:t>
            </w:r>
            <w:r w:rsidR="007B08C6" w:rsidRPr="00A762B2">
              <w:rPr>
                <w:rFonts w:ascii="Times New Roman" w:hAnsi="Times New Roman" w:cs="Times New Roman"/>
                <w:sz w:val="26"/>
                <w:szCs w:val="26"/>
              </w:rPr>
              <w:t xml:space="preserve"> politicii statului în următoarele domenii:</w:t>
            </w:r>
            <w:bookmarkStart w:id="0" w:name="_GoBack"/>
            <w:bookmarkEnd w:id="0"/>
          </w:p>
          <w:p w:rsidR="007B08C6" w:rsidRPr="00A762B2" w:rsidRDefault="007B08C6"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1) </w:t>
            </w:r>
            <w:r w:rsidR="008F5F43" w:rsidRPr="00A762B2">
              <w:rPr>
                <w:rFonts w:ascii="Times New Roman" w:hAnsi="Times New Roman" w:cs="Times New Roman"/>
                <w:sz w:val="26"/>
                <w:szCs w:val="26"/>
              </w:rPr>
              <w:t>siguranța</w:t>
            </w:r>
            <w:r w:rsidRPr="00A762B2">
              <w:rPr>
                <w:rFonts w:ascii="Times New Roman" w:hAnsi="Times New Roman" w:cs="Times New Roman"/>
                <w:sz w:val="26"/>
                <w:szCs w:val="26"/>
              </w:rPr>
              <w:t xml:space="preserve"> obiectelor industriale periculoase; </w:t>
            </w:r>
          </w:p>
          <w:p w:rsidR="007B08C6" w:rsidRPr="00A762B2" w:rsidRDefault="007B08C6" w:rsidP="00B205D7">
            <w:pPr>
              <w:pStyle w:val="NormalWeb"/>
              <w:ind w:firstLine="720"/>
              <w:rPr>
                <w:sz w:val="26"/>
                <w:szCs w:val="26"/>
                <w:lang w:val="ro-RO"/>
              </w:rPr>
            </w:pPr>
            <w:r w:rsidRPr="00A762B2">
              <w:rPr>
                <w:sz w:val="26"/>
                <w:szCs w:val="26"/>
                <w:lang w:val="ro-RO"/>
              </w:rPr>
              <w:t xml:space="preserve">2) construcții şi urbanism; </w:t>
            </w:r>
          </w:p>
          <w:p w:rsidR="007B08C6" w:rsidRPr="00A762B2" w:rsidRDefault="007B08C6" w:rsidP="00D57321">
            <w:pPr>
              <w:pStyle w:val="NormalWeb"/>
              <w:ind w:firstLine="720"/>
              <w:jc w:val="left"/>
              <w:rPr>
                <w:sz w:val="26"/>
                <w:szCs w:val="26"/>
                <w:lang w:val="ro-RO"/>
              </w:rPr>
            </w:pPr>
            <w:r w:rsidRPr="00A762B2">
              <w:rPr>
                <w:sz w:val="26"/>
                <w:szCs w:val="26"/>
                <w:lang w:val="ro-RO"/>
              </w:rPr>
              <w:t xml:space="preserve">3) supravegherea </w:t>
            </w:r>
            <w:r w:rsidR="00C40B60" w:rsidRPr="00A762B2">
              <w:rPr>
                <w:sz w:val="26"/>
                <w:szCs w:val="26"/>
                <w:lang w:val="ro-RO"/>
              </w:rPr>
              <w:t>pieței</w:t>
            </w:r>
            <w:r w:rsidRPr="00A762B2">
              <w:rPr>
                <w:sz w:val="26"/>
                <w:szCs w:val="26"/>
                <w:lang w:val="ro-RO"/>
              </w:rPr>
              <w:t xml:space="preserve"> privind materialele de construcție şi utilajele/obiectele industriale periculoase;</w:t>
            </w:r>
          </w:p>
          <w:p w:rsidR="007B08C6" w:rsidRPr="00A762B2" w:rsidRDefault="007B08C6" w:rsidP="00B205D7">
            <w:pPr>
              <w:pStyle w:val="NormalWeb"/>
              <w:ind w:firstLine="720"/>
              <w:rPr>
                <w:sz w:val="26"/>
                <w:szCs w:val="26"/>
                <w:lang w:val="ro-RO"/>
              </w:rPr>
            </w:pPr>
            <w:r w:rsidRPr="00A762B2">
              <w:rPr>
                <w:sz w:val="26"/>
                <w:szCs w:val="26"/>
                <w:lang w:val="ro-RO"/>
              </w:rPr>
              <w:t xml:space="preserve">4) </w:t>
            </w:r>
            <w:r w:rsidR="00C40B60" w:rsidRPr="00A762B2">
              <w:rPr>
                <w:sz w:val="26"/>
                <w:szCs w:val="26"/>
                <w:lang w:val="ro-RO"/>
              </w:rPr>
              <w:t>siguranța</w:t>
            </w:r>
            <w:r w:rsidRPr="00A762B2">
              <w:rPr>
                <w:sz w:val="26"/>
                <w:szCs w:val="26"/>
                <w:lang w:val="ro-RO"/>
              </w:rPr>
              <w:t xml:space="preserve"> antiincendiară şi </w:t>
            </w:r>
            <w:r w:rsidR="00C40B60" w:rsidRPr="00A762B2">
              <w:rPr>
                <w:sz w:val="26"/>
                <w:szCs w:val="26"/>
                <w:lang w:val="ro-RO"/>
              </w:rPr>
              <w:t>protecția</w:t>
            </w:r>
            <w:r w:rsidRPr="00A762B2">
              <w:rPr>
                <w:sz w:val="26"/>
                <w:szCs w:val="26"/>
                <w:lang w:val="ro-RO"/>
              </w:rPr>
              <w:t xml:space="preserve"> civilă;</w:t>
            </w:r>
          </w:p>
          <w:p w:rsidR="007B08C6" w:rsidRPr="00A762B2" w:rsidRDefault="007B08C6" w:rsidP="00B205D7">
            <w:pPr>
              <w:pStyle w:val="NormalWeb"/>
              <w:ind w:firstLine="720"/>
              <w:rPr>
                <w:sz w:val="26"/>
                <w:szCs w:val="26"/>
                <w:lang w:val="ro-RO"/>
              </w:rPr>
            </w:pPr>
            <w:r w:rsidRPr="00A762B2">
              <w:rPr>
                <w:sz w:val="26"/>
                <w:szCs w:val="26"/>
                <w:lang w:val="ro-RO"/>
              </w:rPr>
              <w:t xml:space="preserve">5) geodezie şi cartografie; </w:t>
            </w:r>
          </w:p>
          <w:p w:rsidR="007B08C6" w:rsidRPr="00A762B2" w:rsidRDefault="003E69DA"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P</w:t>
            </w:r>
            <w:r w:rsidR="007B08C6" w:rsidRPr="00A762B2">
              <w:rPr>
                <w:rFonts w:ascii="Times New Roman" w:hAnsi="Times New Roman" w:cs="Times New Roman"/>
                <w:sz w:val="26"/>
                <w:szCs w:val="26"/>
              </w:rPr>
              <w:t xml:space="preserve">lanificarea controalelor pentru aceste domenii se efectua conform </w:t>
            </w:r>
            <w:r w:rsidR="002B1035" w:rsidRPr="00A762B2">
              <w:rPr>
                <w:rFonts w:ascii="Times New Roman" w:hAnsi="Times New Roman" w:cs="Times New Roman"/>
                <w:sz w:val="26"/>
                <w:szCs w:val="26"/>
              </w:rPr>
              <w:t>m</w:t>
            </w:r>
            <w:r w:rsidR="00D41BC3" w:rsidRPr="00A762B2">
              <w:rPr>
                <w:rFonts w:ascii="Times New Roman" w:hAnsi="Times New Roman" w:cs="Times New Roman"/>
                <w:sz w:val="26"/>
                <w:szCs w:val="26"/>
              </w:rPr>
              <w:t>etodologiilor de planificare și efectuare a controlului în baza analizei criteriilor de risc pentru fiecare domeniu separat</w:t>
            </w:r>
            <w:r w:rsidRPr="00A762B2">
              <w:rPr>
                <w:rFonts w:ascii="Times New Roman" w:hAnsi="Times New Roman" w:cs="Times New Roman"/>
                <w:sz w:val="26"/>
                <w:szCs w:val="26"/>
              </w:rPr>
              <w:t>.</w:t>
            </w:r>
            <w:r w:rsidR="00D41BC3" w:rsidRPr="00A762B2">
              <w:rPr>
                <w:rFonts w:ascii="Times New Roman" w:hAnsi="Times New Roman" w:cs="Times New Roman"/>
                <w:sz w:val="26"/>
                <w:szCs w:val="26"/>
              </w:rPr>
              <w:t xml:space="preserve"> </w:t>
            </w:r>
            <w:r w:rsidR="00D57321" w:rsidRPr="00A762B2">
              <w:rPr>
                <w:rFonts w:ascii="Times New Roman" w:hAnsi="Times New Roman" w:cs="Times New Roman"/>
                <w:sz w:val="26"/>
                <w:szCs w:val="26"/>
              </w:rPr>
              <w:t>Respectiv</w:t>
            </w:r>
            <w:r w:rsidRPr="00A762B2">
              <w:rPr>
                <w:rFonts w:ascii="Times New Roman" w:hAnsi="Times New Roman" w:cs="Times New Roman"/>
                <w:sz w:val="26"/>
                <w:szCs w:val="26"/>
              </w:rPr>
              <w:t xml:space="preserve">, </w:t>
            </w:r>
            <w:r w:rsidR="00BD5932" w:rsidRPr="00A762B2">
              <w:rPr>
                <w:rFonts w:ascii="Times New Roman" w:hAnsi="Times New Roman" w:cs="Times New Roman"/>
                <w:sz w:val="26"/>
                <w:szCs w:val="26"/>
              </w:rPr>
              <w:t>Agenției</w:t>
            </w:r>
            <w:r w:rsidR="00D41BC3" w:rsidRPr="00A762B2">
              <w:rPr>
                <w:rFonts w:ascii="Times New Roman" w:hAnsi="Times New Roman" w:cs="Times New Roman"/>
                <w:sz w:val="26"/>
                <w:szCs w:val="26"/>
              </w:rPr>
              <w:t xml:space="preserve"> i-au revenit </w:t>
            </w:r>
            <w:r w:rsidRPr="00A762B2">
              <w:rPr>
                <w:rFonts w:ascii="Times New Roman" w:hAnsi="Times New Roman" w:cs="Times New Roman"/>
                <w:sz w:val="26"/>
                <w:szCs w:val="26"/>
              </w:rPr>
              <w:t xml:space="preserve">pentru aplicare </w:t>
            </w:r>
            <w:r w:rsidR="00D41BC3" w:rsidRPr="00A762B2">
              <w:rPr>
                <w:rFonts w:ascii="Times New Roman" w:hAnsi="Times New Roman" w:cs="Times New Roman"/>
                <w:sz w:val="26"/>
                <w:szCs w:val="26"/>
              </w:rPr>
              <w:t>5 metodologii (HG nr.363 din 27.05.2014, HG nr.364 din 27.05.2014, HG nr.367 din 27.05.2</w:t>
            </w:r>
            <w:r w:rsidR="00C40B60" w:rsidRPr="00A762B2">
              <w:rPr>
                <w:rFonts w:ascii="Times New Roman" w:hAnsi="Times New Roman" w:cs="Times New Roman"/>
                <w:sz w:val="26"/>
                <w:szCs w:val="26"/>
              </w:rPr>
              <w:t>014 și HG nr.371 din 27.05.2014</w:t>
            </w:r>
            <w:r w:rsidR="00D41BC3" w:rsidRPr="00A762B2">
              <w:rPr>
                <w:rFonts w:ascii="Times New Roman" w:hAnsi="Times New Roman" w:cs="Times New Roman"/>
                <w:sz w:val="26"/>
                <w:szCs w:val="26"/>
              </w:rPr>
              <w:t xml:space="preserve">). </w:t>
            </w:r>
          </w:p>
          <w:p w:rsidR="00E36192" w:rsidRPr="00A762B2" w:rsidRDefault="00E36192" w:rsidP="00B205D7">
            <w:pPr>
              <w:pStyle w:val="Default"/>
              <w:ind w:firstLine="720"/>
              <w:jc w:val="both"/>
              <w:rPr>
                <w:sz w:val="26"/>
                <w:szCs w:val="26"/>
                <w:lang w:val="ro-RO"/>
              </w:rPr>
            </w:pPr>
            <w:r w:rsidRPr="00A762B2">
              <w:rPr>
                <w:sz w:val="26"/>
                <w:szCs w:val="26"/>
                <w:lang w:val="ro-RO"/>
              </w:rPr>
              <w:t>Este de menționat că</w:t>
            </w:r>
            <w:r w:rsidR="00765F8A" w:rsidRPr="00A762B2">
              <w:rPr>
                <w:sz w:val="26"/>
                <w:szCs w:val="26"/>
                <w:lang w:val="ro-RO"/>
              </w:rPr>
              <w:t>,</w:t>
            </w:r>
            <w:r w:rsidRPr="00A762B2">
              <w:rPr>
                <w:sz w:val="26"/>
                <w:szCs w:val="26"/>
                <w:lang w:val="ro-RO"/>
              </w:rPr>
              <w:t xml:space="preserve"> Guvernul a aprobat Metodologia generală privind controlul de stat asupra activității de întreprinzător în baza analizei riscurilor (Hotărârea Guvernului nr. din 27.0</w:t>
            </w:r>
            <w:r w:rsidR="00E46FB0" w:rsidRPr="00A762B2">
              <w:rPr>
                <w:sz w:val="26"/>
                <w:szCs w:val="26"/>
                <w:lang w:val="ro-RO"/>
              </w:rPr>
              <w:t>4</w:t>
            </w:r>
            <w:r w:rsidRPr="00A762B2">
              <w:rPr>
                <w:sz w:val="26"/>
                <w:szCs w:val="26"/>
                <w:lang w:val="ro-RO"/>
              </w:rPr>
              <w:t>.201</w:t>
            </w:r>
            <w:r w:rsidR="00E46FB0" w:rsidRPr="00A762B2">
              <w:rPr>
                <w:sz w:val="26"/>
                <w:szCs w:val="26"/>
                <w:lang w:val="ro-RO"/>
              </w:rPr>
              <w:t>8</w:t>
            </w:r>
            <w:r w:rsidRPr="00A762B2">
              <w:rPr>
                <w:sz w:val="26"/>
                <w:szCs w:val="26"/>
                <w:lang w:val="ro-RO"/>
              </w:rPr>
              <w:t xml:space="preserve">). Scopul căreia este consolidarea analizei criteriilor de risc ca sursă primordială pentru efectuarea controalelor de stat al activității de întreprinzător, cât și ameliorarea metodologiilor aplicate (sau nu) de organele de control. Organele de control trebuie să aducă în concordanță metodologiile sectoriale privind controlul de stat asupra activității de întreprinzător conform standardelor instituite prin noua metodologie-cadru. </w:t>
            </w:r>
          </w:p>
          <w:p w:rsidR="00C0149C" w:rsidRPr="00A762B2" w:rsidRDefault="00E36192"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R</w:t>
            </w:r>
            <w:r w:rsidR="003E69DA" w:rsidRPr="00A762B2">
              <w:rPr>
                <w:rFonts w:ascii="Times New Roman" w:hAnsi="Times New Roman" w:cs="Times New Roman"/>
                <w:sz w:val="26"/>
                <w:szCs w:val="26"/>
              </w:rPr>
              <w:t>eieșind</w:t>
            </w:r>
            <w:r w:rsidR="00C0149C" w:rsidRPr="00A762B2">
              <w:rPr>
                <w:rFonts w:ascii="Times New Roman" w:hAnsi="Times New Roman" w:cs="Times New Roman"/>
                <w:sz w:val="26"/>
                <w:szCs w:val="26"/>
              </w:rPr>
              <w:t xml:space="preserve"> din practica aplicării metodologiilor </w:t>
            </w:r>
            <w:r w:rsidRPr="00A762B2">
              <w:rPr>
                <w:rFonts w:ascii="Times New Roman" w:hAnsi="Times New Roman" w:cs="Times New Roman"/>
                <w:sz w:val="26"/>
                <w:szCs w:val="26"/>
              </w:rPr>
              <w:t xml:space="preserve">sectoriale </w:t>
            </w:r>
            <w:r w:rsidR="003E69DA" w:rsidRPr="00A762B2">
              <w:rPr>
                <w:rFonts w:ascii="Times New Roman" w:hAnsi="Times New Roman" w:cs="Times New Roman"/>
                <w:sz w:val="26"/>
                <w:szCs w:val="26"/>
              </w:rPr>
              <w:t>respective</w:t>
            </w:r>
            <w:r w:rsidR="002B1035" w:rsidRPr="00A762B2">
              <w:rPr>
                <w:rFonts w:ascii="Times New Roman" w:hAnsi="Times New Roman" w:cs="Times New Roman"/>
                <w:sz w:val="26"/>
                <w:szCs w:val="26"/>
              </w:rPr>
              <w:t>,</w:t>
            </w:r>
            <w:r w:rsidR="00C0149C" w:rsidRPr="00A762B2">
              <w:rPr>
                <w:rFonts w:ascii="Times New Roman" w:hAnsi="Times New Roman" w:cs="Times New Roman"/>
                <w:sz w:val="26"/>
                <w:szCs w:val="26"/>
              </w:rPr>
              <w:t xml:space="preserve"> </w:t>
            </w:r>
            <w:r w:rsidR="003E69DA" w:rsidRPr="00A762B2">
              <w:rPr>
                <w:rFonts w:ascii="Times New Roman" w:hAnsi="Times New Roman" w:cs="Times New Roman"/>
                <w:sz w:val="26"/>
                <w:szCs w:val="26"/>
              </w:rPr>
              <w:t xml:space="preserve">precum </w:t>
            </w:r>
            <w:r w:rsidR="002B1035" w:rsidRPr="00A762B2">
              <w:rPr>
                <w:rFonts w:ascii="Times New Roman" w:hAnsi="Times New Roman" w:cs="Times New Roman"/>
                <w:sz w:val="26"/>
                <w:szCs w:val="26"/>
              </w:rPr>
              <w:t>ș</w:t>
            </w:r>
            <w:r w:rsidR="003E69DA" w:rsidRPr="00A762B2">
              <w:rPr>
                <w:rFonts w:ascii="Times New Roman" w:hAnsi="Times New Roman" w:cs="Times New Roman"/>
                <w:sz w:val="26"/>
                <w:szCs w:val="26"/>
              </w:rPr>
              <w:t xml:space="preserve">i </w:t>
            </w:r>
            <w:r w:rsidR="00CF6B36" w:rsidRPr="00A762B2">
              <w:rPr>
                <w:rFonts w:ascii="Times New Roman" w:hAnsi="Times New Roman" w:cs="Times New Roman"/>
                <w:sz w:val="26"/>
                <w:szCs w:val="26"/>
              </w:rPr>
              <w:t>în scopul</w:t>
            </w:r>
            <w:r w:rsidR="003E69DA" w:rsidRPr="00A762B2">
              <w:rPr>
                <w:rFonts w:ascii="Times New Roman" w:hAnsi="Times New Roman" w:cs="Times New Roman"/>
                <w:sz w:val="26"/>
                <w:szCs w:val="26"/>
              </w:rPr>
              <w:t xml:space="preserve"> uniformizării aplicării acestora </w:t>
            </w:r>
            <w:r w:rsidR="00E46FB0" w:rsidRPr="00A762B2">
              <w:rPr>
                <w:rFonts w:ascii="Times New Roman" w:hAnsi="Times New Roman" w:cs="Times New Roman"/>
                <w:sz w:val="26"/>
                <w:szCs w:val="26"/>
              </w:rPr>
              <w:t>au fost</w:t>
            </w:r>
            <w:r w:rsidR="00C0149C" w:rsidRPr="00A762B2">
              <w:rPr>
                <w:rFonts w:ascii="Times New Roman" w:hAnsi="Times New Roman" w:cs="Times New Roman"/>
                <w:sz w:val="26"/>
                <w:szCs w:val="26"/>
              </w:rPr>
              <w:t xml:space="preserve"> revizui</w:t>
            </w:r>
            <w:r w:rsidR="00E46FB0" w:rsidRPr="00A762B2">
              <w:rPr>
                <w:rFonts w:ascii="Times New Roman" w:hAnsi="Times New Roman" w:cs="Times New Roman"/>
                <w:sz w:val="26"/>
                <w:szCs w:val="26"/>
              </w:rPr>
              <w:t>te</w:t>
            </w:r>
            <w:r w:rsidR="00C0149C" w:rsidRPr="00A762B2">
              <w:rPr>
                <w:rFonts w:ascii="Times New Roman" w:hAnsi="Times New Roman" w:cs="Times New Roman"/>
                <w:sz w:val="26"/>
                <w:szCs w:val="26"/>
              </w:rPr>
              <w:t xml:space="preserve"> criteriilor de risc, precum și necesitatea </w:t>
            </w:r>
            <w:r w:rsidR="003E69DA" w:rsidRPr="00A762B2">
              <w:rPr>
                <w:rFonts w:ascii="Times New Roman" w:hAnsi="Times New Roman" w:cs="Times New Roman"/>
                <w:sz w:val="26"/>
                <w:szCs w:val="26"/>
              </w:rPr>
              <w:t xml:space="preserve">aplicării </w:t>
            </w:r>
            <w:r w:rsidR="00C0149C" w:rsidRPr="00A762B2">
              <w:rPr>
                <w:rFonts w:ascii="Times New Roman" w:hAnsi="Times New Roman" w:cs="Times New Roman"/>
                <w:sz w:val="26"/>
                <w:szCs w:val="26"/>
              </w:rPr>
              <w:t xml:space="preserve">unor criterii </w:t>
            </w:r>
            <w:r w:rsidR="00CC6541" w:rsidRPr="00A762B2">
              <w:rPr>
                <w:rFonts w:ascii="Times New Roman" w:hAnsi="Times New Roman" w:cs="Times New Roman"/>
                <w:sz w:val="26"/>
                <w:szCs w:val="26"/>
              </w:rPr>
              <w:t>obligatorii</w:t>
            </w:r>
            <w:r w:rsidR="00C0149C" w:rsidRPr="00A762B2">
              <w:rPr>
                <w:rFonts w:ascii="Times New Roman" w:hAnsi="Times New Roman" w:cs="Times New Roman"/>
                <w:sz w:val="26"/>
                <w:szCs w:val="26"/>
              </w:rPr>
              <w:t xml:space="preserve"> </w:t>
            </w:r>
            <w:r w:rsidR="003E69DA" w:rsidRPr="00A762B2">
              <w:rPr>
                <w:rFonts w:ascii="Times New Roman" w:hAnsi="Times New Roman" w:cs="Times New Roman"/>
                <w:sz w:val="26"/>
                <w:szCs w:val="26"/>
              </w:rPr>
              <w:t xml:space="preserve">pentru toate domeniile </w:t>
            </w:r>
            <w:r w:rsidR="00C0149C" w:rsidRPr="00A762B2">
              <w:rPr>
                <w:rFonts w:ascii="Times New Roman" w:hAnsi="Times New Roman" w:cs="Times New Roman"/>
                <w:sz w:val="26"/>
                <w:szCs w:val="26"/>
              </w:rPr>
              <w:t>și specificare</w:t>
            </w:r>
            <w:r w:rsidR="003E69DA" w:rsidRPr="00A762B2">
              <w:rPr>
                <w:rFonts w:ascii="Times New Roman" w:hAnsi="Times New Roman" w:cs="Times New Roman"/>
                <w:sz w:val="26"/>
                <w:szCs w:val="26"/>
              </w:rPr>
              <w:t>a</w:t>
            </w:r>
            <w:r w:rsidR="00C0149C" w:rsidRPr="00A762B2">
              <w:rPr>
                <w:rFonts w:ascii="Times New Roman" w:hAnsi="Times New Roman" w:cs="Times New Roman"/>
                <w:sz w:val="26"/>
                <w:szCs w:val="26"/>
              </w:rPr>
              <w:t xml:space="preserve"> unor criterii specific</w:t>
            </w:r>
            <w:r w:rsidR="00CC6541" w:rsidRPr="00A762B2">
              <w:rPr>
                <w:rFonts w:ascii="Times New Roman" w:hAnsi="Times New Roman" w:cs="Times New Roman"/>
                <w:sz w:val="26"/>
                <w:szCs w:val="26"/>
              </w:rPr>
              <w:t>e</w:t>
            </w:r>
            <w:r w:rsidR="00C0149C" w:rsidRPr="00A762B2">
              <w:rPr>
                <w:rFonts w:ascii="Times New Roman" w:hAnsi="Times New Roman" w:cs="Times New Roman"/>
                <w:sz w:val="26"/>
                <w:szCs w:val="26"/>
              </w:rPr>
              <w:t xml:space="preserve"> fiecărui domeniu</w:t>
            </w:r>
            <w:r w:rsidR="003E69DA" w:rsidRPr="00A762B2">
              <w:rPr>
                <w:rFonts w:ascii="Times New Roman" w:hAnsi="Times New Roman" w:cs="Times New Roman"/>
                <w:sz w:val="26"/>
                <w:szCs w:val="26"/>
              </w:rPr>
              <w:t xml:space="preserve"> separat</w:t>
            </w:r>
            <w:r w:rsidR="00C0149C" w:rsidRPr="00A762B2">
              <w:rPr>
                <w:rFonts w:ascii="Times New Roman" w:hAnsi="Times New Roman" w:cs="Times New Roman"/>
                <w:sz w:val="26"/>
                <w:szCs w:val="26"/>
              </w:rPr>
              <w:t>.</w:t>
            </w:r>
            <w:r w:rsidR="003E69DA" w:rsidRPr="00A762B2">
              <w:rPr>
                <w:rFonts w:ascii="Times New Roman" w:hAnsi="Times New Roman" w:cs="Times New Roman"/>
                <w:sz w:val="26"/>
                <w:szCs w:val="26"/>
              </w:rPr>
              <w:t xml:space="preserve"> </w:t>
            </w:r>
          </w:p>
          <w:p w:rsidR="00F726AF" w:rsidRPr="00A762B2" w:rsidRDefault="003E69DA"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Soluția cea mai acceptabilă </w:t>
            </w:r>
            <w:r w:rsidR="00CC6541" w:rsidRPr="00A762B2">
              <w:rPr>
                <w:rFonts w:ascii="Times New Roman" w:hAnsi="Times New Roman" w:cs="Times New Roman"/>
                <w:sz w:val="26"/>
                <w:szCs w:val="26"/>
              </w:rPr>
              <w:t xml:space="preserve">identificată a fost </w:t>
            </w:r>
            <w:r w:rsidRPr="00A762B2">
              <w:rPr>
                <w:rFonts w:ascii="Times New Roman" w:hAnsi="Times New Roman" w:cs="Times New Roman"/>
                <w:sz w:val="26"/>
                <w:szCs w:val="26"/>
              </w:rPr>
              <w:t>elabora</w:t>
            </w:r>
            <w:r w:rsidR="00CC6541" w:rsidRPr="00A762B2">
              <w:rPr>
                <w:rFonts w:ascii="Times New Roman" w:hAnsi="Times New Roman" w:cs="Times New Roman"/>
                <w:sz w:val="26"/>
                <w:szCs w:val="26"/>
              </w:rPr>
              <w:t>rea</w:t>
            </w:r>
            <w:r w:rsidRPr="00A762B2">
              <w:rPr>
                <w:rFonts w:ascii="Times New Roman" w:hAnsi="Times New Roman" w:cs="Times New Roman"/>
                <w:sz w:val="26"/>
                <w:szCs w:val="26"/>
              </w:rPr>
              <w:t xml:space="preserve"> </w:t>
            </w:r>
            <w:r w:rsidR="00CC6541" w:rsidRPr="00A762B2">
              <w:rPr>
                <w:rFonts w:ascii="Times New Roman" w:hAnsi="Times New Roman" w:cs="Times New Roman"/>
                <w:sz w:val="26"/>
                <w:szCs w:val="26"/>
              </w:rPr>
              <w:t>a unei</w:t>
            </w:r>
            <w:r w:rsidRPr="00A762B2">
              <w:rPr>
                <w:rFonts w:ascii="Times New Roman" w:hAnsi="Times New Roman" w:cs="Times New Roman"/>
                <w:sz w:val="26"/>
                <w:szCs w:val="26"/>
              </w:rPr>
              <w:t xml:space="preserve"> singur</w:t>
            </w:r>
            <w:r w:rsidR="00CC6541" w:rsidRPr="00A762B2">
              <w:rPr>
                <w:rFonts w:ascii="Times New Roman" w:hAnsi="Times New Roman" w:cs="Times New Roman"/>
                <w:sz w:val="26"/>
                <w:szCs w:val="26"/>
              </w:rPr>
              <w:t>e</w:t>
            </w:r>
            <w:r w:rsidRPr="00A762B2">
              <w:rPr>
                <w:rFonts w:ascii="Times New Roman" w:hAnsi="Times New Roman" w:cs="Times New Roman"/>
                <w:sz w:val="26"/>
                <w:szCs w:val="26"/>
              </w:rPr>
              <w:t xml:space="preserve"> </w:t>
            </w:r>
            <w:r w:rsidR="00765F8A" w:rsidRPr="00A762B2">
              <w:rPr>
                <w:rFonts w:ascii="Times New Roman" w:hAnsi="Times New Roman" w:cs="Times New Roman"/>
                <w:sz w:val="26"/>
                <w:szCs w:val="26"/>
              </w:rPr>
              <w:t>metodologiei de planificare a activităților de control de stat în baza analizei criteriilor de risc în domeniile de competență ale Agenției</w:t>
            </w:r>
            <w:r w:rsidR="00BD5932" w:rsidRPr="00A762B2">
              <w:rPr>
                <w:rFonts w:ascii="Times New Roman" w:hAnsi="Times New Roman" w:cs="Times New Roman"/>
                <w:sz w:val="26"/>
                <w:szCs w:val="26"/>
              </w:rPr>
              <w:t>.</w:t>
            </w:r>
          </w:p>
        </w:tc>
      </w:tr>
      <w:tr w:rsidR="00EE64F3" w:rsidRPr="00A762B2" w:rsidTr="00743202">
        <w:tc>
          <w:tcPr>
            <w:tcW w:w="10435" w:type="dxa"/>
            <w:shd w:val="clear" w:color="auto" w:fill="FFFFFF" w:themeFill="background1"/>
          </w:tcPr>
          <w:p w:rsidR="00F726AF" w:rsidRPr="00A762B2" w:rsidRDefault="00825BB5" w:rsidP="00B205D7">
            <w:pPr>
              <w:spacing w:after="80"/>
              <w:ind w:firstLine="720"/>
              <w:jc w:val="both"/>
              <w:rPr>
                <w:rFonts w:ascii="Times New Roman" w:hAnsi="Times New Roman" w:cs="Times New Roman"/>
                <w:b/>
                <w:sz w:val="26"/>
                <w:szCs w:val="26"/>
              </w:rPr>
            </w:pPr>
            <w:r w:rsidRPr="00A762B2">
              <w:rPr>
                <w:rFonts w:ascii="Times New Roman" w:hAnsi="Times New Roman" w:cs="Times New Roman"/>
                <w:b/>
                <w:sz w:val="26"/>
                <w:szCs w:val="26"/>
              </w:rPr>
              <w:t xml:space="preserve">II. </w:t>
            </w:r>
            <w:r w:rsidR="00F726AF" w:rsidRPr="00A762B2">
              <w:rPr>
                <w:rFonts w:ascii="Times New Roman" w:hAnsi="Times New Roman" w:cs="Times New Roman"/>
                <w:b/>
                <w:sz w:val="26"/>
                <w:szCs w:val="26"/>
              </w:rPr>
              <w:t xml:space="preserve">Scopul elaborării </w:t>
            </w:r>
          </w:p>
        </w:tc>
      </w:tr>
      <w:tr w:rsidR="00EE64F3" w:rsidRPr="00A762B2" w:rsidTr="00743202">
        <w:tc>
          <w:tcPr>
            <w:tcW w:w="10435" w:type="dxa"/>
            <w:shd w:val="clear" w:color="auto" w:fill="FFFFFF" w:themeFill="background1"/>
          </w:tcPr>
          <w:p w:rsidR="00825BB5" w:rsidRPr="00A762B2" w:rsidRDefault="00BB085D" w:rsidP="00B205D7">
            <w:pPr>
              <w:pStyle w:val="tt"/>
              <w:ind w:firstLine="720"/>
              <w:jc w:val="both"/>
              <w:rPr>
                <w:b w:val="0"/>
                <w:sz w:val="26"/>
                <w:szCs w:val="26"/>
                <w:lang w:val="ro-RO"/>
              </w:rPr>
            </w:pPr>
            <w:r w:rsidRPr="00A762B2">
              <w:rPr>
                <w:b w:val="0"/>
                <w:sz w:val="26"/>
                <w:szCs w:val="26"/>
                <w:lang w:val="ro-RO"/>
              </w:rPr>
              <w:t xml:space="preserve">Proiectul </w:t>
            </w:r>
            <w:r w:rsidR="00054510" w:rsidRPr="00A762B2">
              <w:rPr>
                <w:b w:val="0"/>
                <w:sz w:val="26"/>
                <w:szCs w:val="26"/>
                <w:lang w:val="ro-RO"/>
              </w:rPr>
              <w:t>hotărârii</w:t>
            </w:r>
            <w:r w:rsidRPr="00A762B2">
              <w:rPr>
                <w:b w:val="0"/>
                <w:sz w:val="26"/>
                <w:szCs w:val="26"/>
                <w:lang w:val="ro-RO"/>
              </w:rPr>
              <w:t xml:space="preserve"> de Guvern </w:t>
            </w:r>
            <w:r w:rsidR="00BD5932" w:rsidRPr="00A762B2">
              <w:rPr>
                <w:b w:val="0"/>
                <w:sz w:val="26"/>
                <w:szCs w:val="26"/>
                <w:lang w:val="ro-RO"/>
              </w:rPr>
              <w:t xml:space="preserve">„Cu privire la aprobarea </w:t>
            </w:r>
            <w:r w:rsidR="00054510" w:rsidRPr="00A762B2">
              <w:rPr>
                <w:b w:val="0"/>
                <w:sz w:val="26"/>
                <w:szCs w:val="26"/>
                <w:lang w:val="ro-RO"/>
              </w:rPr>
              <w:t xml:space="preserve">Metodologiei </w:t>
            </w:r>
            <w:r w:rsidR="00D57321" w:rsidRPr="00A762B2">
              <w:rPr>
                <w:b w:val="0"/>
                <w:sz w:val="26"/>
                <w:szCs w:val="26"/>
                <w:lang w:val="ro-RO"/>
              </w:rPr>
              <w:t>controlului de stat asupra activității de întreprinzător în baza analizei riscurilor pentru domeniul supravegherii tehnice</w:t>
            </w:r>
            <w:r w:rsidR="00D57321" w:rsidRPr="00A762B2">
              <w:rPr>
                <w:b w:val="0"/>
                <w:sz w:val="26"/>
                <w:szCs w:val="26"/>
                <w:lang w:val="ro-RO"/>
              </w:rPr>
              <w:t xml:space="preserve"> </w:t>
            </w:r>
            <w:r w:rsidR="00BD5932" w:rsidRPr="00A762B2">
              <w:rPr>
                <w:b w:val="0"/>
                <w:sz w:val="26"/>
                <w:szCs w:val="26"/>
                <w:lang w:val="ro-RO"/>
              </w:rPr>
              <w:t>(</w:t>
            </w:r>
            <w:r w:rsidR="00752E84" w:rsidRPr="00A762B2">
              <w:rPr>
                <w:b w:val="0"/>
                <w:sz w:val="26"/>
                <w:szCs w:val="26"/>
                <w:lang w:val="ro-RO"/>
              </w:rPr>
              <w:t xml:space="preserve">în continuare - </w:t>
            </w:r>
            <w:r w:rsidR="00BD5932" w:rsidRPr="00A762B2">
              <w:rPr>
                <w:b w:val="0"/>
                <w:sz w:val="26"/>
                <w:szCs w:val="26"/>
                <w:lang w:val="ro-RO"/>
              </w:rPr>
              <w:t xml:space="preserve">proiect) </w:t>
            </w:r>
            <w:r w:rsidR="00752E84" w:rsidRPr="00A762B2">
              <w:rPr>
                <w:b w:val="0"/>
                <w:sz w:val="26"/>
                <w:szCs w:val="26"/>
                <w:lang w:val="ro-RO"/>
              </w:rPr>
              <w:t>are drept</w:t>
            </w:r>
            <w:r w:rsidRPr="00A762B2">
              <w:rPr>
                <w:b w:val="0"/>
                <w:sz w:val="26"/>
                <w:szCs w:val="26"/>
                <w:lang w:val="ro-RO"/>
              </w:rPr>
              <w:t xml:space="preserve"> scop</w:t>
            </w:r>
            <w:r w:rsidR="00752E84" w:rsidRPr="00A762B2">
              <w:rPr>
                <w:sz w:val="26"/>
                <w:szCs w:val="26"/>
                <w:lang w:val="ro-RO"/>
              </w:rPr>
              <w:t xml:space="preserve"> </w:t>
            </w:r>
            <w:r w:rsidR="00752E84" w:rsidRPr="00A762B2">
              <w:rPr>
                <w:b w:val="0"/>
                <w:sz w:val="26"/>
                <w:szCs w:val="26"/>
                <w:lang w:val="ro-RO"/>
              </w:rPr>
              <w:t>stabilirea cadrului organizatoric şi metodologic de planificare a activităților de control de stat asupra activităților şi/sau lucrărilor desfășurate în domeniile de competență al Agenției, în funcție de riscul pe care acestea prezintă pentru viața şi sănătatea persoanelor, precum şi de impactul asupra mediului înconjurător.</w:t>
            </w:r>
          </w:p>
        </w:tc>
      </w:tr>
      <w:tr w:rsidR="00EE64F3" w:rsidRPr="00A762B2" w:rsidTr="00743202">
        <w:tc>
          <w:tcPr>
            <w:tcW w:w="10435" w:type="dxa"/>
            <w:shd w:val="clear" w:color="auto" w:fill="FFFFFF" w:themeFill="background1"/>
          </w:tcPr>
          <w:p w:rsidR="00825BB5" w:rsidRPr="00A762B2" w:rsidRDefault="00825BB5" w:rsidP="00B205D7">
            <w:pPr>
              <w:spacing w:after="80"/>
              <w:ind w:firstLine="720"/>
              <w:jc w:val="both"/>
              <w:rPr>
                <w:rFonts w:ascii="Times New Roman" w:hAnsi="Times New Roman" w:cs="Times New Roman"/>
                <w:sz w:val="26"/>
                <w:szCs w:val="26"/>
              </w:rPr>
            </w:pPr>
            <w:r w:rsidRPr="00A762B2">
              <w:rPr>
                <w:rFonts w:ascii="Times New Roman" w:eastAsia="Times New Roman" w:hAnsi="Times New Roman" w:cs="Times New Roman"/>
                <w:b/>
                <w:bCs/>
                <w:sz w:val="26"/>
                <w:szCs w:val="26"/>
                <w:lang w:eastAsia="ru-RU"/>
              </w:rPr>
              <w:t>III. Principalele prevederi ale proiectului</w:t>
            </w:r>
          </w:p>
        </w:tc>
      </w:tr>
      <w:tr w:rsidR="00EE64F3" w:rsidRPr="00A762B2" w:rsidTr="00743202">
        <w:tc>
          <w:tcPr>
            <w:tcW w:w="10435" w:type="dxa"/>
            <w:shd w:val="clear" w:color="auto" w:fill="FFFFFF" w:themeFill="background1"/>
          </w:tcPr>
          <w:p w:rsidR="00A762B2" w:rsidRDefault="00BB085D" w:rsidP="00B205D7">
            <w:pPr>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Proiectul are drept elemente constitutive - proiectul </w:t>
            </w:r>
            <w:r w:rsidR="00054510" w:rsidRPr="00A762B2">
              <w:rPr>
                <w:rFonts w:ascii="Times New Roman" w:hAnsi="Times New Roman" w:cs="Times New Roman"/>
                <w:sz w:val="26"/>
                <w:szCs w:val="26"/>
              </w:rPr>
              <w:t>hotărârii</w:t>
            </w:r>
            <w:r w:rsidRPr="00A762B2">
              <w:rPr>
                <w:rFonts w:ascii="Times New Roman" w:hAnsi="Times New Roman" w:cs="Times New Roman"/>
                <w:sz w:val="26"/>
                <w:szCs w:val="26"/>
              </w:rPr>
              <w:t xml:space="preserve"> de Guvern şi </w:t>
            </w:r>
            <w:r w:rsidR="00A762B2">
              <w:rPr>
                <w:rFonts w:ascii="Times New Roman" w:hAnsi="Times New Roman" w:cs="Times New Roman"/>
                <w:sz w:val="26"/>
                <w:szCs w:val="26"/>
              </w:rPr>
              <w:t>2</w:t>
            </w:r>
            <w:r w:rsidR="00BD5932" w:rsidRPr="00A762B2">
              <w:rPr>
                <w:rFonts w:ascii="Times New Roman" w:hAnsi="Times New Roman" w:cs="Times New Roman"/>
                <w:sz w:val="26"/>
                <w:szCs w:val="26"/>
              </w:rPr>
              <w:t xml:space="preserve"> </w:t>
            </w:r>
            <w:r w:rsidRPr="00A762B2">
              <w:rPr>
                <w:rFonts w:ascii="Times New Roman" w:hAnsi="Times New Roman" w:cs="Times New Roman"/>
                <w:sz w:val="26"/>
                <w:szCs w:val="26"/>
              </w:rPr>
              <w:t>anex</w:t>
            </w:r>
            <w:r w:rsidR="00A762B2">
              <w:rPr>
                <w:rFonts w:ascii="Times New Roman" w:hAnsi="Times New Roman" w:cs="Times New Roman"/>
                <w:sz w:val="26"/>
                <w:szCs w:val="26"/>
              </w:rPr>
              <w:t>e.</w:t>
            </w:r>
          </w:p>
          <w:p w:rsidR="00A762B2" w:rsidRDefault="00A762B2" w:rsidP="00A762B2">
            <w:pPr>
              <w:spacing w:after="80"/>
              <w:ind w:firstLine="576"/>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Cu referire la anexele la </w:t>
            </w:r>
            <w:r w:rsidR="006C7988">
              <w:rPr>
                <w:rFonts w:ascii="Times New Roman" w:hAnsi="Times New Roman" w:cs="Times New Roman"/>
                <w:i/>
                <w:sz w:val="26"/>
                <w:szCs w:val="26"/>
              </w:rPr>
              <w:t>hotărârea</w:t>
            </w:r>
            <w:r>
              <w:rPr>
                <w:rFonts w:ascii="Times New Roman" w:hAnsi="Times New Roman" w:cs="Times New Roman"/>
                <w:i/>
                <w:sz w:val="26"/>
                <w:szCs w:val="26"/>
              </w:rPr>
              <w:t xml:space="preserve"> Guvernului</w:t>
            </w:r>
            <w:r>
              <w:rPr>
                <w:rFonts w:ascii="Times New Roman" w:hAnsi="Times New Roman" w:cs="Times New Roman"/>
                <w:sz w:val="26"/>
                <w:szCs w:val="26"/>
              </w:rPr>
              <w:t>:</w:t>
            </w:r>
          </w:p>
          <w:p w:rsidR="00825BB5" w:rsidRPr="00A762B2" w:rsidRDefault="00A762B2" w:rsidP="00A762B2">
            <w:pPr>
              <w:ind w:firstLine="720"/>
              <w:jc w:val="both"/>
              <w:rPr>
                <w:rFonts w:ascii="Times New Roman" w:hAnsi="Times New Roman" w:cs="Times New Roman"/>
                <w:sz w:val="26"/>
                <w:szCs w:val="26"/>
              </w:rPr>
            </w:pPr>
            <w:r>
              <w:rPr>
                <w:rFonts w:ascii="Times New Roman" w:hAnsi="Times New Roman" w:cs="Times New Roman"/>
                <w:sz w:val="26"/>
                <w:szCs w:val="26"/>
                <w:u w:val="single"/>
              </w:rPr>
              <w:t>În anexa nr. 1</w:t>
            </w:r>
            <w:r>
              <w:rPr>
                <w:rFonts w:ascii="Times New Roman" w:hAnsi="Times New Roman" w:cs="Times New Roman"/>
                <w:sz w:val="26"/>
                <w:szCs w:val="26"/>
              </w:rPr>
              <w:t xml:space="preserve"> </w:t>
            </w:r>
            <w:r w:rsidR="00447E3E" w:rsidRPr="00A762B2">
              <w:rPr>
                <w:rFonts w:ascii="Times New Roman" w:hAnsi="Times New Roman" w:cs="Times New Roman"/>
                <w:sz w:val="26"/>
                <w:szCs w:val="26"/>
              </w:rPr>
              <w:t xml:space="preserve">este specificată - </w:t>
            </w:r>
            <w:r w:rsidR="00765F8A" w:rsidRPr="00A762B2">
              <w:rPr>
                <w:rFonts w:ascii="Times New Roman" w:hAnsi="Times New Roman" w:cs="Times New Roman"/>
                <w:sz w:val="26"/>
                <w:szCs w:val="26"/>
              </w:rPr>
              <w:t>Metodologi</w:t>
            </w:r>
            <w:r w:rsidR="00D57321" w:rsidRPr="00A762B2">
              <w:rPr>
                <w:rFonts w:ascii="Times New Roman" w:hAnsi="Times New Roman" w:cs="Times New Roman"/>
                <w:sz w:val="26"/>
                <w:szCs w:val="26"/>
              </w:rPr>
              <w:t>a</w:t>
            </w:r>
            <w:r w:rsidR="00765F8A" w:rsidRPr="00A762B2">
              <w:rPr>
                <w:rFonts w:ascii="Times New Roman" w:hAnsi="Times New Roman" w:cs="Times New Roman"/>
                <w:sz w:val="26"/>
                <w:szCs w:val="26"/>
              </w:rPr>
              <w:t xml:space="preserve"> </w:t>
            </w:r>
            <w:r w:rsidR="00D57321" w:rsidRPr="00A762B2">
              <w:rPr>
                <w:rFonts w:ascii="Times New Roman" w:hAnsi="Times New Roman" w:cs="Times New Roman"/>
                <w:sz w:val="26"/>
                <w:szCs w:val="26"/>
              </w:rPr>
              <w:t>controlului de stat asupra activității de întreprinzător în baza analizei riscurilor pentru domeniul supravegherii tehnice</w:t>
            </w:r>
            <w:r w:rsidR="00D57321" w:rsidRPr="00A762B2">
              <w:rPr>
                <w:rFonts w:ascii="Times New Roman" w:hAnsi="Times New Roman" w:cs="Times New Roman"/>
                <w:sz w:val="26"/>
                <w:szCs w:val="26"/>
              </w:rPr>
              <w:t xml:space="preserve"> </w:t>
            </w:r>
            <w:r w:rsidR="00447E3E" w:rsidRPr="00A762B2">
              <w:rPr>
                <w:rFonts w:ascii="Times New Roman" w:hAnsi="Times New Roman" w:cs="Times New Roman"/>
                <w:sz w:val="26"/>
                <w:szCs w:val="26"/>
              </w:rPr>
              <w:t>(în continuare – Metodologie)</w:t>
            </w:r>
            <w:r w:rsidR="00825BB5" w:rsidRPr="00A762B2">
              <w:rPr>
                <w:rFonts w:ascii="Times New Roman" w:hAnsi="Times New Roman" w:cs="Times New Roman"/>
                <w:sz w:val="26"/>
                <w:szCs w:val="26"/>
              </w:rPr>
              <w:t>.</w:t>
            </w:r>
          </w:p>
          <w:p w:rsidR="00765F8A" w:rsidRPr="00A762B2" w:rsidRDefault="00B205D7" w:rsidP="00B205D7">
            <w:pPr>
              <w:pStyle w:val="NormalWeb"/>
              <w:ind w:firstLine="720"/>
              <w:rPr>
                <w:sz w:val="26"/>
                <w:szCs w:val="26"/>
                <w:lang w:val="ro-RO"/>
              </w:rPr>
            </w:pPr>
            <w:r w:rsidRPr="00A762B2">
              <w:rPr>
                <w:sz w:val="26"/>
                <w:szCs w:val="26"/>
                <w:lang w:val="ro-RO"/>
              </w:rPr>
              <w:t xml:space="preserve">Agenția va utiliza </w:t>
            </w:r>
            <w:r w:rsidR="00752E84" w:rsidRPr="00A762B2">
              <w:rPr>
                <w:sz w:val="26"/>
                <w:szCs w:val="26"/>
                <w:lang w:val="ro-RO"/>
              </w:rPr>
              <w:t>Metodologia pentru</w:t>
            </w:r>
            <w:r w:rsidRPr="00A762B2">
              <w:rPr>
                <w:sz w:val="26"/>
                <w:szCs w:val="26"/>
                <w:lang w:val="ro-RO"/>
              </w:rPr>
              <w:t>:</w:t>
            </w:r>
          </w:p>
          <w:p w:rsidR="00D57321" w:rsidRPr="00A762B2" w:rsidRDefault="00D57321" w:rsidP="00D57321">
            <w:pPr>
              <w:tabs>
                <w:tab w:val="left" w:pos="980"/>
                <w:tab w:val="left" w:pos="1170"/>
                <w:tab w:val="left" w:pos="1260"/>
              </w:tabs>
              <w:ind w:left="709"/>
              <w:rPr>
                <w:rFonts w:ascii="Times New Roman" w:hAnsi="Times New Roman" w:cs="Times New Roman"/>
                <w:sz w:val="26"/>
                <w:szCs w:val="26"/>
              </w:rPr>
            </w:pPr>
            <w:r w:rsidRPr="00A762B2">
              <w:rPr>
                <w:rFonts w:ascii="Times New Roman" w:hAnsi="Times New Roman" w:cs="Times New Roman"/>
                <w:sz w:val="26"/>
                <w:szCs w:val="26"/>
              </w:rPr>
              <w:t>1) la planificarea anuală a controalelor;</w:t>
            </w:r>
          </w:p>
          <w:p w:rsidR="00D57321" w:rsidRPr="00A762B2" w:rsidRDefault="00D57321" w:rsidP="00D57321">
            <w:pPr>
              <w:tabs>
                <w:tab w:val="left" w:pos="980"/>
                <w:tab w:val="left" w:pos="1170"/>
                <w:tab w:val="left" w:pos="1260"/>
              </w:tabs>
              <w:ind w:firstLine="709"/>
              <w:rPr>
                <w:rFonts w:ascii="Times New Roman" w:hAnsi="Times New Roman" w:cs="Times New Roman"/>
                <w:sz w:val="26"/>
                <w:szCs w:val="26"/>
              </w:rPr>
            </w:pPr>
            <w:r w:rsidRPr="00A762B2">
              <w:rPr>
                <w:rFonts w:ascii="Times New Roman" w:hAnsi="Times New Roman" w:cs="Times New Roman"/>
                <w:sz w:val="26"/>
                <w:szCs w:val="26"/>
              </w:rPr>
              <w:t>2) la luarea deciziei privind efectuarea unui control inopinat;</w:t>
            </w:r>
          </w:p>
          <w:p w:rsidR="00D57321" w:rsidRPr="00A762B2" w:rsidRDefault="00D57321" w:rsidP="00D57321">
            <w:pPr>
              <w:tabs>
                <w:tab w:val="left" w:pos="980"/>
                <w:tab w:val="left" w:pos="1170"/>
                <w:tab w:val="left" w:pos="1260"/>
              </w:tabs>
              <w:ind w:firstLine="709"/>
              <w:rPr>
                <w:rFonts w:ascii="Times New Roman" w:hAnsi="Times New Roman" w:cs="Times New Roman"/>
                <w:sz w:val="26"/>
                <w:szCs w:val="26"/>
              </w:rPr>
            </w:pPr>
            <w:r w:rsidRPr="00A762B2">
              <w:rPr>
                <w:rFonts w:ascii="Times New Roman" w:hAnsi="Times New Roman" w:cs="Times New Roman"/>
                <w:sz w:val="26"/>
                <w:szCs w:val="26"/>
              </w:rPr>
              <w:t>3) la identificarea soluției optime cu privire la petiția depusă la organul de control sau la informațiile privind încălcarea legislației care au devenit cunoscute organului de control;</w:t>
            </w:r>
          </w:p>
          <w:p w:rsidR="00D57321" w:rsidRPr="00A762B2" w:rsidRDefault="00D57321" w:rsidP="00D57321">
            <w:pPr>
              <w:tabs>
                <w:tab w:val="left" w:pos="980"/>
                <w:tab w:val="left" w:pos="1170"/>
                <w:tab w:val="left" w:pos="1260"/>
              </w:tabs>
              <w:ind w:firstLine="709"/>
              <w:rPr>
                <w:rFonts w:ascii="Times New Roman" w:hAnsi="Times New Roman" w:cs="Times New Roman"/>
                <w:sz w:val="26"/>
                <w:szCs w:val="26"/>
              </w:rPr>
            </w:pPr>
            <w:r w:rsidRPr="00A762B2">
              <w:rPr>
                <w:rFonts w:ascii="Times New Roman" w:hAnsi="Times New Roman" w:cs="Times New Roman"/>
                <w:sz w:val="26"/>
                <w:szCs w:val="26"/>
              </w:rPr>
              <w:t>4) la elaborarea listelor de verificare și stabilirea cerințelor de reglementare care ar trebui incluse în lista de verificare;</w:t>
            </w:r>
          </w:p>
          <w:p w:rsidR="00D57321" w:rsidRPr="00A762B2" w:rsidRDefault="00D57321" w:rsidP="00D57321">
            <w:pPr>
              <w:tabs>
                <w:tab w:val="left" w:pos="980"/>
                <w:tab w:val="left" w:pos="1170"/>
                <w:tab w:val="left" w:pos="1260"/>
              </w:tabs>
              <w:ind w:firstLine="709"/>
              <w:rPr>
                <w:rFonts w:ascii="Times New Roman" w:hAnsi="Times New Roman" w:cs="Times New Roman"/>
                <w:sz w:val="26"/>
                <w:szCs w:val="26"/>
              </w:rPr>
            </w:pPr>
            <w:r w:rsidRPr="00A762B2">
              <w:rPr>
                <w:rFonts w:ascii="Times New Roman" w:hAnsi="Times New Roman" w:cs="Times New Roman"/>
                <w:sz w:val="26"/>
                <w:szCs w:val="26"/>
              </w:rPr>
              <w:t>5) în cazul planificării strategice a activității sale de control;</w:t>
            </w:r>
          </w:p>
          <w:p w:rsidR="00D57321" w:rsidRPr="00A762B2" w:rsidRDefault="00D57321" w:rsidP="00D57321">
            <w:pPr>
              <w:tabs>
                <w:tab w:val="left" w:pos="980"/>
                <w:tab w:val="left" w:pos="1170"/>
                <w:tab w:val="left" w:pos="1260"/>
              </w:tabs>
              <w:ind w:firstLine="709"/>
              <w:rPr>
                <w:rFonts w:ascii="Times New Roman" w:hAnsi="Times New Roman" w:cs="Times New Roman"/>
                <w:sz w:val="26"/>
                <w:szCs w:val="26"/>
              </w:rPr>
            </w:pPr>
            <w:r w:rsidRPr="00A762B2">
              <w:rPr>
                <w:rFonts w:ascii="Times New Roman" w:hAnsi="Times New Roman" w:cs="Times New Roman"/>
                <w:sz w:val="26"/>
                <w:szCs w:val="26"/>
              </w:rPr>
              <w:t>6) în alte situații referitoare la decizii în domeniul controlului asupra activității de întreprinzător.</w:t>
            </w:r>
          </w:p>
          <w:p w:rsidR="00B205D7" w:rsidRPr="00A762B2" w:rsidRDefault="00B205D7" w:rsidP="005C4DC4">
            <w:pPr>
              <w:pStyle w:val="NormalWeb"/>
              <w:ind w:firstLine="720"/>
              <w:rPr>
                <w:strike/>
                <w:sz w:val="26"/>
                <w:szCs w:val="26"/>
                <w:lang w:val="ro-RO"/>
              </w:rPr>
            </w:pPr>
            <w:r w:rsidRPr="00A762B2">
              <w:rPr>
                <w:sz w:val="26"/>
                <w:szCs w:val="26"/>
                <w:lang w:val="ro-RO"/>
              </w:rPr>
              <w:t>Criteriile de risc sunt selectate în funcție de subiectul controlului, obiectul controlului şi raporturile anterioare cu Agenția.</w:t>
            </w:r>
            <w:r w:rsidRPr="00A762B2">
              <w:rPr>
                <w:strike/>
                <w:sz w:val="26"/>
                <w:szCs w:val="26"/>
                <w:lang w:val="ro-RO"/>
              </w:rPr>
              <w:t xml:space="preserve"> </w:t>
            </w:r>
          </w:p>
          <w:p w:rsidR="00B205D7" w:rsidRPr="00A762B2" w:rsidRDefault="00B205D7" w:rsidP="005C4DC4">
            <w:pPr>
              <w:pStyle w:val="NormalWeb"/>
              <w:ind w:firstLine="720"/>
              <w:rPr>
                <w:sz w:val="26"/>
                <w:szCs w:val="26"/>
                <w:lang w:val="ro-RO"/>
              </w:rPr>
            </w:pPr>
            <w:r w:rsidRPr="00A762B2">
              <w:rPr>
                <w:sz w:val="26"/>
                <w:szCs w:val="26"/>
                <w:lang w:val="ro-RO"/>
              </w:rPr>
              <w:t xml:space="preserve">Criteriile de risc utilizate în mod obligatoriu sunt următoarele: </w:t>
            </w:r>
          </w:p>
          <w:p w:rsidR="00B205D7" w:rsidRPr="00A762B2" w:rsidRDefault="00B205D7" w:rsidP="005C4DC4">
            <w:pPr>
              <w:pStyle w:val="a"/>
              <w:tabs>
                <w:tab w:val="left" w:pos="980"/>
                <w:tab w:val="left" w:pos="1260"/>
              </w:tabs>
              <w:spacing w:before="0"/>
              <w:ind w:left="0" w:firstLine="720"/>
              <w:jc w:val="both"/>
              <w:rPr>
                <w:rFonts w:ascii="Times New Roman" w:hAnsi="Times New Roman"/>
                <w:sz w:val="26"/>
                <w:szCs w:val="26"/>
                <w:lang w:val="ro-RO"/>
              </w:rPr>
            </w:pPr>
            <w:r w:rsidRPr="00A762B2">
              <w:rPr>
                <w:rFonts w:ascii="Times New Roman" w:hAnsi="Times New Roman"/>
                <w:sz w:val="26"/>
                <w:szCs w:val="26"/>
                <w:lang w:val="ro-RO"/>
              </w:rPr>
              <w:t>1) domeniul şi/sau subdomeniul activității economice;</w:t>
            </w:r>
          </w:p>
          <w:p w:rsidR="00B205D7" w:rsidRPr="00A762B2" w:rsidRDefault="00B205D7" w:rsidP="005C4DC4">
            <w:pPr>
              <w:pStyle w:val="a"/>
              <w:tabs>
                <w:tab w:val="left" w:pos="980"/>
                <w:tab w:val="left" w:pos="1260"/>
              </w:tabs>
              <w:spacing w:before="0"/>
              <w:ind w:left="0" w:firstLine="720"/>
              <w:jc w:val="both"/>
              <w:rPr>
                <w:rFonts w:ascii="Times New Roman" w:hAnsi="Times New Roman"/>
                <w:sz w:val="26"/>
                <w:szCs w:val="26"/>
                <w:lang w:val="ro-RO"/>
              </w:rPr>
            </w:pPr>
            <w:r w:rsidRPr="00A762B2">
              <w:rPr>
                <w:rFonts w:ascii="Times New Roman" w:hAnsi="Times New Roman"/>
                <w:sz w:val="26"/>
                <w:szCs w:val="26"/>
                <w:lang w:val="ro-RO"/>
              </w:rPr>
              <w:t>2) istoricul conformității sau neconformității cu prevederile legislației, cât şi cu prescripțiile Agenției;</w:t>
            </w:r>
          </w:p>
          <w:p w:rsidR="002B21ED" w:rsidRPr="00A762B2" w:rsidRDefault="002B21ED" w:rsidP="002B1035">
            <w:pPr>
              <w:pStyle w:val="NormalWeb"/>
              <w:rPr>
                <w:sz w:val="26"/>
                <w:szCs w:val="26"/>
                <w:lang w:val="ro-RO"/>
              </w:rPr>
            </w:pPr>
            <w:r w:rsidRPr="00A762B2">
              <w:rPr>
                <w:bCs/>
                <w:sz w:val="26"/>
                <w:szCs w:val="26"/>
                <w:lang w:val="ro-RO"/>
              </w:rPr>
              <w:t xml:space="preserve">Reieșind din faptul că este </w:t>
            </w:r>
            <w:r w:rsidR="00634708" w:rsidRPr="00A762B2">
              <w:rPr>
                <w:bCs/>
                <w:sz w:val="26"/>
                <w:szCs w:val="26"/>
                <w:lang w:val="ro-RO"/>
              </w:rPr>
              <w:t xml:space="preserve">deja </w:t>
            </w:r>
            <w:r w:rsidRPr="00A762B2">
              <w:rPr>
                <w:bCs/>
                <w:sz w:val="26"/>
                <w:szCs w:val="26"/>
                <w:lang w:val="ro-RO"/>
              </w:rPr>
              <w:t xml:space="preserve">statuată o practică privind planificarea controalelor în domeniile Agenției se propune stabilirea a </w:t>
            </w:r>
            <w:r w:rsidR="005C4DC4" w:rsidRPr="00A762B2">
              <w:rPr>
                <w:bCs/>
                <w:sz w:val="26"/>
                <w:szCs w:val="26"/>
                <w:lang w:val="ro-RO"/>
              </w:rPr>
              <w:t>câte 2</w:t>
            </w:r>
            <w:r w:rsidRPr="00A762B2">
              <w:rPr>
                <w:b/>
                <w:bCs/>
                <w:sz w:val="26"/>
                <w:szCs w:val="26"/>
                <w:lang w:val="ro-RO"/>
              </w:rPr>
              <w:t xml:space="preserve"> </w:t>
            </w:r>
            <w:r w:rsidRPr="00A762B2">
              <w:rPr>
                <w:bCs/>
                <w:sz w:val="26"/>
                <w:szCs w:val="26"/>
                <w:lang w:val="ro-RO"/>
              </w:rPr>
              <w:t>c</w:t>
            </w:r>
            <w:r w:rsidRPr="00A762B2">
              <w:rPr>
                <w:sz w:val="26"/>
                <w:szCs w:val="26"/>
                <w:lang w:val="ro-RO"/>
              </w:rPr>
              <w:t xml:space="preserve">riterii de risc </w:t>
            </w:r>
            <w:r w:rsidR="005C4DC4" w:rsidRPr="00A762B2">
              <w:rPr>
                <w:sz w:val="26"/>
                <w:szCs w:val="26"/>
                <w:lang w:val="ro-RO"/>
              </w:rPr>
              <w:t xml:space="preserve">care vizează </w:t>
            </w:r>
            <w:r w:rsidR="00D57321" w:rsidRPr="00A762B2">
              <w:rPr>
                <w:sz w:val="26"/>
                <w:szCs w:val="26"/>
                <w:lang w:val="ro-MD"/>
              </w:rPr>
              <w:t>persoana/obiectul supus controlului</w:t>
            </w:r>
            <w:r w:rsidR="00D57321" w:rsidRPr="00A762B2">
              <w:rPr>
                <w:sz w:val="26"/>
                <w:szCs w:val="26"/>
                <w:lang w:val="ro-RO"/>
              </w:rPr>
              <w:t xml:space="preserve"> </w:t>
            </w:r>
            <w:r w:rsidR="005C4DC4" w:rsidRPr="00A762B2">
              <w:rPr>
                <w:sz w:val="26"/>
                <w:szCs w:val="26"/>
                <w:lang w:val="ro-RO"/>
              </w:rPr>
              <w:t>în dependență de specificul domeniului de activitate al agentului economic</w:t>
            </w:r>
            <w:r w:rsidRPr="00A762B2">
              <w:rPr>
                <w:sz w:val="26"/>
                <w:szCs w:val="26"/>
                <w:lang w:val="ro-RO"/>
              </w:rPr>
              <w:t xml:space="preserve">, și anume: </w:t>
            </w:r>
          </w:p>
          <w:p w:rsidR="00D57321" w:rsidRPr="00A762B2" w:rsidRDefault="00D57321" w:rsidP="00D57321">
            <w:pPr>
              <w:pStyle w:val="NormalWeb"/>
              <w:ind w:firstLine="720"/>
              <w:rPr>
                <w:sz w:val="26"/>
                <w:szCs w:val="26"/>
                <w:lang w:val="ro-RO"/>
              </w:rPr>
            </w:pPr>
            <w:r w:rsidRPr="00A762B2">
              <w:rPr>
                <w:sz w:val="26"/>
                <w:szCs w:val="26"/>
                <w:lang w:val="ro-RO"/>
              </w:rPr>
              <w:t>1) siguranța obiectelor industriale periculoase:</w:t>
            </w:r>
          </w:p>
          <w:p w:rsidR="00D57321" w:rsidRPr="00A762B2" w:rsidRDefault="00D57321" w:rsidP="00A762B2">
            <w:pPr>
              <w:pStyle w:val="NormalWeb"/>
              <w:ind w:firstLine="990"/>
              <w:rPr>
                <w:sz w:val="26"/>
                <w:szCs w:val="26"/>
                <w:lang w:val="ro-RO" w:eastAsia="ru-RU"/>
              </w:rPr>
            </w:pPr>
            <w:r w:rsidRPr="00A762B2">
              <w:rPr>
                <w:sz w:val="26"/>
                <w:szCs w:val="26"/>
                <w:lang w:val="ro-RO"/>
              </w:rPr>
              <w:t xml:space="preserve">a) tipul și categoria </w:t>
            </w:r>
            <w:r w:rsidRPr="00A762B2">
              <w:rPr>
                <w:bCs/>
                <w:sz w:val="26"/>
                <w:szCs w:val="26"/>
                <w:lang w:val="ro-RO"/>
              </w:rPr>
              <w:t xml:space="preserve">de pericol </w:t>
            </w:r>
            <w:r w:rsidRPr="00A762B2">
              <w:rPr>
                <w:sz w:val="26"/>
                <w:szCs w:val="26"/>
                <w:lang w:val="ro-RO"/>
              </w:rPr>
              <w:t>obiectelor industriale periculoase deținute de persoană supusă controlului;</w:t>
            </w:r>
          </w:p>
          <w:p w:rsidR="00D57321" w:rsidRPr="00A762B2" w:rsidRDefault="00D57321" w:rsidP="00A762B2">
            <w:pPr>
              <w:pStyle w:val="NormalWeb"/>
              <w:ind w:firstLine="990"/>
              <w:rPr>
                <w:sz w:val="26"/>
                <w:szCs w:val="26"/>
                <w:lang w:val="ro-RO"/>
              </w:rPr>
            </w:pPr>
            <w:r w:rsidRPr="00A762B2">
              <w:rPr>
                <w:sz w:val="26"/>
                <w:szCs w:val="26"/>
                <w:lang w:val="ro-RO"/>
              </w:rPr>
              <w:t>b) gradul de uzură a utilajului.</w:t>
            </w:r>
          </w:p>
          <w:p w:rsidR="00D57321" w:rsidRPr="00A762B2" w:rsidRDefault="00D57321" w:rsidP="00D57321">
            <w:pPr>
              <w:pStyle w:val="NormalWeb"/>
              <w:ind w:firstLine="720"/>
              <w:rPr>
                <w:sz w:val="26"/>
                <w:szCs w:val="26"/>
                <w:lang w:val="ro-RO"/>
              </w:rPr>
            </w:pPr>
            <w:r w:rsidRPr="00A762B2">
              <w:rPr>
                <w:sz w:val="26"/>
                <w:szCs w:val="26"/>
                <w:lang w:val="ro-RO"/>
              </w:rPr>
              <w:t xml:space="preserve">2) construcții şi urbanism: </w:t>
            </w:r>
          </w:p>
          <w:p w:rsidR="00D57321" w:rsidRPr="00A762B2" w:rsidRDefault="00D57321" w:rsidP="00A762B2">
            <w:pPr>
              <w:pStyle w:val="NormalWeb"/>
              <w:ind w:firstLine="1080"/>
              <w:rPr>
                <w:bCs/>
                <w:sz w:val="26"/>
                <w:szCs w:val="26"/>
                <w:lang w:val="ro-RO"/>
              </w:rPr>
            </w:pPr>
            <w:r w:rsidRPr="00A762B2">
              <w:rPr>
                <w:sz w:val="26"/>
                <w:szCs w:val="26"/>
                <w:lang w:val="ro-RO"/>
              </w:rPr>
              <w:t>a)</w:t>
            </w:r>
            <w:r w:rsidRPr="00A762B2">
              <w:rPr>
                <w:bCs/>
                <w:sz w:val="26"/>
                <w:szCs w:val="26"/>
                <w:lang w:val="ro-RO"/>
              </w:rPr>
              <w:t xml:space="preserve"> mărimea </w:t>
            </w:r>
            <w:r w:rsidRPr="00A762B2">
              <w:rPr>
                <w:sz w:val="26"/>
                <w:szCs w:val="26"/>
                <w:lang w:val="ro-MD"/>
              </w:rPr>
              <w:t>persoanelor/obiectelor supuse controlului</w:t>
            </w:r>
            <w:r w:rsidRPr="00A762B2">
              <w:rPr>
                <w:sz w:val="26"/>
                <w:szCs w:val="26"/>
                <w:lang w:val="ro-RO"/>
              </w:rPr>
              <w:t xml:space="preserve"> </w:t>
            </w:r>
            <w:r w:rsidRPr="00A762B2">
              <w:rPr>
                <w:bCs/>
                <w:sz w:val="26"/>
                <w:szCs w:val="26"/>
                <w:lang w:val="ro-RO"/>
              </w:rPr>
              <w:t xml:space="preserve">(indicii cantitativi de activitate); </w:t>
            </w:r>
          </w:p>
          <w:p w:rsidR="00D57321" w:rsidRPr="00A762B2" w:rsidRDefault="00D57321" w:rsidP="00A762B2">
            <w:pPr>
              <w:pStyle w:val="NormalWeb"/>
              <w:ind w:firstLine="1080"/>
              <w:rPr>
                <w:strike/>
                <w:sz w:val="26"/>
                <w:szCs w:val="26"/>
                <w:lang w:val="ro-RO"/>
              </w:rPr>
            </w:pPr>
            <w:r w:rsidRPr="00A762B2">
              <w:rPr>
                <w:bCs/>
                <w:sz w:val="26"/>
                <w:szCs w:val="26"/>
                <w:lang w:val="ro-RO"/>
              </w:rPr>
              <w:t xml:space="preserve">b) perioada de activitate a </w:t>
            </w:r>
            <w:r w:rsidRPr="00A762B2">
              <w:rPr>
                <w:sz w:val="26"/>
                <w:szCs w:val="26"/>
                <w:lang w:val="ro-MD"/>
              </w:rPr>
              <w:t xml:space="preserve">persoanelor/obiectelor supuse controlului </w:t>
            </w:r>
            <w:r w:rsidRPr="00A762B2">
              <w:rPr>
                <w:bCs/>
                <w:sz w:val="26"/>
                <w:szCs w:val="26"/>
                <w:lang w:val="ro-RO"/>
              </w:rPr>
              <w:t xml:space="preserve">în domeniul respectiv. </w:t>
            </w:r>
          </w:p>
          <w:p w:rsidR="00D57321" w:rsidRPr="00A762B2" w:rsidRDefault="00D57321" w:rsidP="00D57321">
            <w:pPr>
              <w:pStyle w:val="NormalWeb"/>
              <w:ind w:firstLine="720"/>
              <w:rPr>
                <w:sz w:val="26"/>
                <w:szCs w:val="26"/>
                <w:lang w:val="ro-RO" w:eastAsia="ru-RU"/>
              </w:rPr>
            </w:pPr>
            <w:r w:rsidRPr="00A762B2">
              <w:rPr>
                <w:sz w:val="26"/>
                <w:szCs w:val="26"/>
                <w:lang w:val="ro-RO"/>
              </w:rPr>
              <w:t>3) supravegherea pieței privind materialele de construcție şi utilajele/obiectele industriale periculoase:</w:t>
            </w:r>
          </w:p>
          <w:p w:rsidR="00D57321" w:rsidRPr="00A762B2" w:rsidRDefault="00D57321" w:rsidP="00A762B2">
            <w:pPr>
              <w:pStyle w:val="NormalWeb"/>
              <w:ind w:firstLine="1170"/>
              <w:rPr>
                <w:sz w:val="26"/>
                <w:szCs w:val="26"/>
                <w:lang w:val="ro-RO"/>
              </w:rPr>
            </w:pPr>
            <w:r w:rsidRPr="00A762B2">
              <w:rPr>
                <w:sz w:val="26"/>
                <w:szCs w:val="26"/>
                <w:lang w:val="ro-RO"/>
              </w:rPr>
              <w:t>a) gradul de risc care îl prezintă produsul;</w:t>
            </w:r>
          </w:p>
          <w:p w:rsidR="00D57321" w:rsidRPr="00A762B2" w:rsidRDefault="00D57321" w:rsidP="00A762B2">
            <w:pPr>
              <w:pStyle w:val="NormalWeb"/>
              <w:ind w:firstLine="1170"/>
              <w:rPr>
                <w:sz w:val="26"/>
                <w:szCs w:val="26"/>
                <w:lang w:val="ro-RO"/>
              </w:rPr>
            </w:pPr>
            <w:r w:rsidRPr="00A762B2">
              <w:rPr>
                <w:sz w:val="26"/>
                <w:szCs w:val="26"/>
                <w:lang w:val="ro-RO"/>
              </w:rPr>
              <w:t>b) rezultatele monitorizării grupelor de produse care țin de competența Agenției.</w:t>
            </w:r>
          </w:p>
          <w:p w:rsidR="00D57321" w:rsidRPr="00A762B2" w:rsidRDefault="00D57321" w:rsidP="00D57321">
            <w:pPr>
              <w:pStyle w:val="NormalWeb"/>
              <w:ind w:firstLine="720"/>
              <w:rPr>
                <w:sz w:val="26"/>
                <w:szCs w:val="26"/>
                <w:lang w:val="ro-RO"/>
              </w:rPr>
            </w:pPr>
            <w:r w:rsidRPr="00A762B2">
              <w:rPr>
                <w:sz w:val="26"/>
                <w:szCs w:val="26"/>
                <w:lang w:val="ro-RO"/>
              </w:rPr>
              <w:t>4) siguranța antiincendiară:</w:t>
            </w:r>
          </w:p>
          <w:p w:rsidR="00D57321" w:rsidRPr="00A762B2" w:rsidRDefault="00D57321" w:rsidP="00A762B2">
            <w:pPr>
              <w:pStyle w:val="NormalWeb"/>
              <w:ind w:firstLine="1260"/>
              <w:rPr>
                <w:sz w:val="26"/>
                <w:szCs w:val="26"/>
                <w:lang w:val="ro-RO"/>
              </w:rPr>
            </w:pPr>
            <w:r w:rsidRPr="00A762B2">
              <w:rPr>
                <w:sz w:val="26"/>
                <w:szCs w:val="26"/>
                <w:lang w:val="ro-RO"/>
              </w:rPr>
              <w:t>a)</w:t>
            </w:r>
            <w:r w:rsidRPr="00A762B2">
              <w:rPr>
                <w:bCs/>
                <w:sz w:val="26"/>
                <w:szCs w:val="26"/>
                <w:lang w:val="ro-RO"/>
              </w:rPr>
              <w:t xml:space="preserve"> securitatea la incendiu;</w:t>
            </w:r>
          </w:p>
          <w:p w:rsidR="00D57321" w:rsidRPr="00A762B2" w:rsidRDefault="00D57321" w:rsidP="00A762B2">
            <w:pPr>
              <w:pStyle w:val="NormalWeb"/>
              <w:ind w:firstLine="1260"/>
              <w:rPr>
                <w:sz w:val="26"/>
                <w:szCs w:val="26"/>
                <w:lang w:val="ro-RO"/>
              </w:rPr>
            </w:pPr>
            <w:r w:rsidRPr="00A762B2">
              <w:rPr>
                <w:sz w:val="26"/>
                <w:szCs w:val="26"/>
                <w:lang w:val="ro-RO"/>
              </w:rPr>
              <w:t>b)</w:t>
            </w:r>
            <w:r w:rsidRPr="00A762B2">
              <w:rPr>
                <w:b/>
                <w:sz w:val="26"/>
                <w:szCs w:val="26"/>
                <w:lang w:val="ro-RO"/>
              </w:rPr>
              <w:t xml:space="preserve"> </w:t>
            </w:r>
            <w:r w:rsidRPr="00A762B2">
              <w:rPr>
                <w:sz w:val="26"/>
                <w:szCs w:val="26"/>
                <w:lang w:val="ro-RO"/>
              </w:rPr>
              <w:t>categoria încăperilor şi clădirilor</w:t>
            </w:r>
            <w:r w:rsidRPr="00A762B2">
              <w:rPr>
                <w:rStyle w:val="docbody1"/>
                <w:sz w:val="26"/>
                <w:szCs w:val="26"/>
                <w:lang w:val="ro-RO"/>
              </w:rPr>
              <w:t xml:space="preserve"> în dependență de pericol de explozie-incendiu şi de incendiu;</w:t>
            </w:r>
          </w:p>
          <w:p w:rsidR="00D57321" w:rsidRPr="00A762B2" w:rsidRDefault="00D57321" w:rsidP="00A762B2">
            <w:pPr>
              <w:pStyle w:val="NormalWeb"/>
              <w:ind w:firstLine="1260"/>
              <w:rPr>
                <w:sz w:val="26"/>
                <w:szCs w:val="26"/>
                <w:lang w:val="ro-RO"/>
              </w:rPr>
            </w:pPr>
            <w:r w:rsidRPr="00A762B2">
              <w:rPr>
                <w:sz w:val="26"/>
                <w:szCs w:val="26"/>
                <w:lang w:val="ro-RO"/>
              </w:rPr>
              <w:t>c)</w:t>
            </w:r>
            <w:r w:rsidRPr="00A762B2">
              <w:rPr>
                <w:bCs/>
                <w:sz w:val="26"/>
                <w:szCs w:val="26"/>
                <w:lang w:val="ro-RO"/>
              </w:rPr>
              <w:t xml:space="preserve"> suprafața obiectivului.</w:t>
            </w:r>
          </w:p>
          <w:p w:rsidR="00D57321" w:rsidRPr="00A762B2" w:rsidRDefault="00D57321" w:rsidP="00D57321">
            <w:pPr>
              <w:pStyle w:val="NormalWeb"/>
              <w:ind w:firstLine="720"/>
              <w:rPr>
                <w:sz w:val="26"/>
                <w:szCs w:val="26"/>
                <w:lang w:val="ro-RO"/>
              </w:rPr>
            </w:pPr>
            <w:r w:rsidRPr="00A762B2">
              <w:rPr>
                <w:sz w:val="26"/>
                <w:szCs w:val="26"/>
                <w:lang w:val="ro-RO"/>
              </w:rPr>
              <w:t>5) protecția civilă:</w:t>
            </w:r>
          </w:p>
          <w:p w:rsidR="00D57321" w:rsidRPr="00A762B2" w:rsidRDefault="00D57321" w:rsidP="00A762B2">
            <w:pPr>
              <w:pStyle w:val="NormalWeb"/>
              <w:ind w:firstLine="1170"/>
              <w:rPr>
                <w:sz w:val="26"/>
                <w:szCs w:val="26"/>
                <w:lang w:val="ro-RO"/>
              </w:rPr>
            </w:pPr>
            <w:r w:rsidRPr="00A762B2">
              <w:rPr>
                <w:sz w:val="26"/>
                <w:szCs w:val="26"/>
                <w:lang w:val="ro-RO"/>
              </w:rPr>
              <w:t>a)</w:t>
            </w:r>
            <w:r w:rsidRPr="00A762B2">
              <w:rPr>
                <w:bCs/>
                <w:sz w:val="26"/>
                <w:szCs w:val="26"/>
                <w:lang w:val="ro-RO"/>
              </w:rPr>
              <w:t xml:space="preserve"> starea protecției civile;</w:t>
            </w:r>
          </w:p>
          <w:p w:rsidR="00D57321" w:rsidRPr="00A762B2" w:rsidRDefault="00D57321" w:rsidP="00A762B2">
            <w:pPr>
              <w:pStyle w:val="NormalWeb"/>
              <w:ind w:firstLine="1170"/>
              <w:rPr>
                <w:sz w:val="26"/>
                <w:szCs w:val="26"/>
                <w:lang w:val="ro-RO"/>
              </w:rPr>
            </w:pPr>
            <w:r w:rsidRPr="00A762B2">
              <w:rPr>
                <w:sz w:val="26"/>
                <w:szCs w:val="26"/>
                <w:lang w:val="ro-RO"/>
              </w:rPr>
              <w:t>b)</w:t>
            </w:r>
            <w:r w:rsidRPr="00A762B2">
              <w:rPr>
                <w:bCs/>
                <w:sz w:val="26"/>
                <w:szCs w:val="26"/>
                <w:lang w:val="ro-RO"/>
              </w:rPr>
              <w:t xml:space="preserve"> numărul de persoane antrenate în activitatea </w:t>
            </w:r>
            <w:r w:rsidRPr="00A762B2">
              <w:rPr>
                <w:sz w:val="26"/>
                <w:szCs w:val="26"/>
                <w:lang w:val="ro-MD"/>
              </w:rPr>
              <w:t>persoanelor/obiectelor supuse controlului.</w:t>
            </w:r>
          </w:p>
          <w:p w:rsidR="00D57321" w:rsidRPr="00A762B2" w:rsidRDefault="00D57321" w:rsidP="00D57321">
            <w:pPr>
              <w:pStyle w:val="NormalWeb"/>
              <w:tabs>
                <w:tab w:val="left" w:pos="1530"/>
              </w:tabs>
              <w:ind w:firstLine="720"/>
              <w:rPr>
                <w:sz w:val="26"/>
                <w:szCs w:val="26"/>
                <w:lang w:val="ro-RO"/>
              </w:rPr>
            </w:pPr>
            <w:r w:rsidRPr="00A762B2">
              <w:rPr>
                <w:sz w:val="26"/>
                <w:szCs w:val="26"/>
                <w:lang w:val="ro-RO"/>
              </w:rPr>
              <w:t>6) geodezie şi cartografie:</w:t>
            </w:r>
          </w:p>
          <w:p w:rsidR="00D57321" w:rsidRPr="00A762B2" w:rsidRDefault="00D57321" w:rsidP="00A762B2">
            <w:pPr>
              <w:pStyle w:val="NormalWeb"/>
              <w:ind w:firstLine="1170"/>
              <w:rPr>
                <w:sz w:val="26"/>
                <w:szCs w:val="26"/>
                <w:lang w:val="ro-RO"/>
              </w:rPr>
            </w:pPr>
            <w:r w:rsidRPr="00A762B2">
              <w:rPr>
                <w:sz w:val="26"/>
                <w:szCs w:val="26"/>
                <w:lang w:val="ro-RO"/>
              </w:rPr>
              <w:t>a) volumul lucrărilor conform domeniului de activitate și suprafeței totale a obiectelor;</w:t>
            </w:r>
          </w:p>
          <w:p w:rsidR="00D57321" w:rsidRPr="00A762B2" w:rsidRDefault="00D57321" w:rsidP="00A762B2">
            <w:pPr>
              <w:pStyle w:val="NormalWeb"/>
              <w:ind w:firstLine="1170"/>
              <w:rPr>
                <w:sz w:val="26"/>
                <w:szCs w:val="26"/>
                <w:lang w:val="ro-RO"/>
              </w:rPr>
            </w:pPr>
            <w:r w:rsidRPr="00A762B2">
              <w:rPr>
                <w:sz w:val="26"/>
                <w:szCs w:val="26"/>
                <w:lang w:val="ro-RO"/>
              </w:rPr>
              <w:t xml:space="preserve">b) </w:t>
            </w:r>
            <w:r w:rsidRPr="00A762B2">
              <w:rPr>
                <w:sz w:val="26"/>
                <w:szCs w:val="26"/>
                <w:lang w:val="ro-RO" w:eastAsia="ro-RO"/>
              </w:rPr>
              <w:t>tipurile de lucrări executate în activitate geodezică și cartografică a întreprinderii</w:t>
            </w:r>
            <w:r w:rsidRPr="00A762B2">
              <w:rPr>
                <w:sz w:val="26"/>
                <w:szCs w:val="26"/>
                <w:lang w:val="ro-RO"/>
              </w:rPr>
              <w:t>.</w:t>
            </w:r>
          </w:p>
          <w:p w:rsidR="00A762B2" w:rsidRPr="00A762B2" w:rsidRDefault="00844739" w:rsidP="00A762B2">
            <w:pPr>
              <w:tabs>
                <w:tab w:val="left" w:pos="1260"/>
              </w:tabs>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În </w:t>
            </w:r>
            <w:r w:rsidR="001F20EF" w:rsidRPr="00A762B2">
              <w:rPr>
                <w:rFonts w:ascii="Times New Roman" w:hAnsi="Times New Roman" w:cs="Times New Roman"/>
                <w:sz w:val="26"/>
                <w:szCs w:val="26"/>
              </w:rPr>
              <w:t>funcție</w:t>
            </w:r>
            <w:r w:rsidRPr="00A762B2">
              <w:rPr>
                <w:rFonts w:ascii="Times New Roman" w:hAnsi="Times New Roman" w:cs="Times New Roman"/>
                <w:sz w:val="26"/>
                <w:szCs w:val="26"/>
              </w:rPr>
              <w:t xml:space="preserve"> de punctajul </w:t>
            </w:r>
            <w:r w:rsidR="001F20EF" w:rsidRPr="00A762B2">
              <w:rPr>
                <w:rFonts w:ascii="Times New Roman" w:hAnsi="Times New Roman" w:cs="Times New Roman"/>
                <w:sz w:val="26"/>
                <w:szCs w:val="26"/>
              </w:rPr>
              <w:t>obținut</w:t>
            </w:r>
            <w:r w:rsidRPr="00A762B2">
              <w:rPr>
                <w:rFonts w:ascii="Times New Roman" w:hAnsi="Times New Roman" w:cs="Times New Roman"/>
                <w:sz w:val="26"/>
                <w:szCs w:val="26"/>
              </w:rPr>
              <w:t xml:space="preserve"> în urma aplicării formulei, </w:t>
            </w:r>
            <w:r w:rsidR="00A762B2" w:rsidRPr="00A762B2">
              <w:rPr>
                <w:rFonts w:ascii="Times New Roman" w:hAnsi="Times New Roman" w:cs="Times New Roman"/>
                <w:sz w:val="26"/>
                <w:szCs w:val="26"/>
              </w:rPr>
              <w:t>s</w:t>
            </w:r>
            <w:r w:rsidR="00A762B2" w:rsidRPr="00A762B2">
              <w:rPr>
                <w:rFonts w:ascii="Times New Roman" w:hAnsi="Times New Roman" w:cs="Times New Roman"/>
                <w:sz w:val="26"/>
                <w:szCs w:val="26"/>
              </w:rPr>
              <w:t xml:space="preserve">ubiecții controlului sunt clasificați în funcție de punctajul obținut în urma aplicării formulei, în fruntea clasamentului fiind plasate persoanele care au acumulat punctajul maxim. Acestea sunt asociate cu un risc mai înalt şi </w:t>
            </w:r>
            <w:r w:rsidR="00A762B2" w:rsidRPr="00A762B2">
              <w:rPr>
                <w:rFonts w:ascii="Times New Roman" w:hAnsi="Times New Roman" w:cs="Times New Roman"/>
                <w:sz w:val="26"/>
                <w:szCs w:val="26"/>
              </w:rPr>
              <w:lastRenderedPageBreak/>
              <w:t>urmează a fi supuse controlului în mod prioritar. Agenția va elabora clasament separat pentru fiecare domeniu de control în scopul  repartizării personalului Agenției în funcție de gravitatea comparativa a datelor obținute in fiecare clasament.</w:t>
            </w:r>
          </w:p>
          <w:p w:rsidR="00A762B2" w:rsidRPr="00A762B2" w:rsidRDefault="00A762B2" w:rsidP="00A762B2">
            <w:pPr>
              <w:tabs>
                <w:tab w:val="left" w:pos="1260"/>
              </w:tabs>
              <w:ind w:firstLine="720"/>
              <w:jc w:val="both"/>
              <w:rPr>
                <w:rFonts w:ascii="Times New Roman" w:hAnsi="Times New Roman" w:cs="Times New Roman"/>
                <w:sz w:val="26"/>
                <w:szCs w:val="26"/>
              </w:rPr>
            </w:pPr>
            <w:r w:rsidRPr="00A762B2">
              <w:rPr>
                <w:rFonts w:ascii="Times New Roman" w:hAnsi="Times New Roman" w:cs="Times New Roman"/>
                <w:sz w:val="26"/>
                <w:szCs w:val="26"/>
              </w:rPr>
              <w:t xml:space="preserve">În baza clasamentului, Agenția întocmește proiectul planului anual al controalelor planificate, pe care îl </w:t>
            </w:r>
            <w:r w:rsidRPr="00A762B2">
              <w:rPr>
                <w:rFonts w:ascii="Times New Roman" w:hAnsi="Times New Roman" w:cs="Times New Roman"/>
                <w:w w:val="105"/>
                <w:sz w:val="26"/>
                <w:szCs w:val="26"/>
                <w:lang w:bidi="he-IL"/>
              </w:rPr>
              <w:t>înregistrează în Registrul de stat al controalelor</w:t>
            </w:r>
            <w:r w:rsidRPr="00A762B2">
              <w:rPr>
                <w:rFonts w:ascii="Times New Roman" w:hAnsi="Times New Roman" w:cs="Times New Roman"/>
                <w:sz w:val="26"/>
                <w:szCs w:val="26"/>
              </w:rPr>
              <w:t xml:space="preserve">, în modul şi </w:t>
            </w:r>
            <w:r w:rsidRPr="00A762B2">
              <w:rPr>
                <w:rFonts w:ascii="Times New Roman" w:hAnsi="Times New Roman" w:cs="Times New Roman"/>
                <w:w w:val="105"/>
                <w:sz w:val="26"/>
                <w:szCs w:val="26"/>
                <w:lang w:bidi="he-IL"/>
              </w:rPr>
              <w:t>termenul stabilit de Guvern</w:t>
            </w:r>
            <w:r w:rsidRPr="00A762B2">
              <w:rPr>
                <w:rFonts w:ascii="Times New Roman" w:hAnsi="Times New Roman" w:cs="Times New Roman"/>
                <w:sz w:val="26"/>
                <w:szCs w:val="26"/>
              </w:rPr>
              <w:t>.</w:t>
            </w:r>
          </w:p>
          <w:p w:rsidR="00F726AF" w:rsidRPr="00A762B2" w:rsidRDefault="00A762B2" w:rsidP="00A762B2">
            <w:pPr>
              <w:ind w:firstLine="562"/>
              <w:jc w:val="both"/>
              <w:rPr>
                <w:rFonts w:ascii="Times New Roman" w:hAnsi="Times New Roman" w:cs="Times New Roman"/>
                <w:b/>
                <w:sz w:val="26"/>
                <w:szCs w:val="26"/>
              </w:rPr>
            </w:pPr>
            <w:r w:rsidRPr="00A762B2">
              <w:rPr>
                <w:rFonts w:ascii="Times New Roman" w:hAnsi="Times New Roman" w:cs="Times New Roman"/>
                <w:sz w:val="26"/>
                <w:szCs w:val="26"/>
                <w:u w:val="single"/>
              </w:rPr>
              <w:t>La anexa nr.</w:t>
            </w:r>
            <w:r w:rsidRPr="00A762B2">
              <w:rPr>
                <w:rFonts w:ascii="Times New Roman" w:hAnsi="Times New Roman" w:cs="Times New Roman"/>
                <w:sz w:val="26"/>
                <w:szCs w:val="26"/>
                <w:u w:val="single"/>
              </w:rPr>
              <w:t>2</w:t>
            </w:r>
            <w:r w:rsidRPr="00A762B2">
              <w:rPr>
                <w:rFonts w:ascii="Times New Roman" w:hAnsi="Times New Roman" w:cs="Times New Roman"/>
                <w:sz w:val="26"/>
                <w:szCs w:val="26"/>
                <w:u w:val="single"/>
              </w:rPr>
              <w:t xml:space="preserve"> </w:t>
            </w:r>
            <w:r w:rsidRPr="00A762B2">
              <w:rPr>
                <w:rFonts w:ascii="Times New Roman" w:hAnsi="Times New Roman" w:cs="Times New Roman"/>
                <w:sz w:val="26"/>
                <w:szCs w:val="26"/>
              </w:rPr>
              <w:t xml:space="preserve"> se prezintă Lista </w:t>
            </w:r>
            <w:r w:rsidR="006C7988" w:rsidRPr="00A762B2">
              <w:rPr>
                <w:rFonts w:ascii="Times New Roman" w:hAnsi="Times New Roman" w:cs="Times New Roman"/>
                <w:sz w:val="26"/>
                <w:szCs w:val="26"/>
              </w:rPr>
              <w:t>hotărârilor</w:t>
            </w:r>
            <w:r w:rsidRPr="00A762B2">
              <w:rPr>
                <w:rFonts w:ascii="Times New Roman" w:hAnsi="Times New Roman" w:cs="Times New Roman"/>
                <w:sz w:val="26"/>
                <w:szCs w:val="26"/>
              </w:rPr>
              <w:t xml:space="preserve"> Guvernului care se propun pentru abrogare.</w:t>
            </w:r>
          </w:p>
        </w:tc>
      </w:tr>
      <w:tr w:rsidR="00EE64F3" w:rsidRPr="00A762B2" w:rsidTr="00743202">
        <w:tc>
          <w:tcPr>
            <w:tcW w:w="10435" w:type="dxa"/>
            <w:shd w:val="clear" w:color="auto" w:fill="FFFFFF" w:themeFill="background1"/>
          </w:tcPr>
          <w:p w:rsidR="00F726AF" w:rsidRPr="00A762B2" w:rsidRDefault="00B25AF6" w:rsidP="002B1035">
            <w:pPr>
              <w:pStyle w:val="NoSpacing"/>
              <w:spacing w:after="80"/>
              <w:ind w:firstLine="576"/>
              <w:jc w:val="both"/>
              <w:rPr>
                <w:rFonts w:ascii="Times New Roman" w:hAnsi="Times New Roman" w:cs="Times New Roman"/>
                <w:b/>
                <w:sz w:val="26"/>
                <w:szCs w:val="26"/>
              </w:rPr>
            </w:pPr>
            <w:r w:rsidRPr="00A762B2">
              <w:rPr>
                <w:rFonts w:ascii="Times New Roman" w:hAnsi="Times New Roman" w:cs="Times New Roman"/>
                <w:b/>
                <w:sz w:val="26"/>
                <w:szCs w:val="26"/>
              </w:rPr>
              <w:lastRenderedPageBreak/>
              <w:t xml:space="preserve">IV. </w:t>
            </w:r>
            <w:r w:rsidR="006D5FA3" w:rsidRPr="00A762B2">
              <w:rPr>
                <w:rFonts w:ascii="Times New Roman" w:hAnsi="Times New Roman" w:cs="Times New Roman"/>
                <w:b/>
                <w:sz w:val="26"/>
                <w:szCs w:val="26"/>
              </w:rPr>
              <w:t xml:space="preserve">Fundamentarea </w:t>
            </w:r>
            <w:r w:rsidR="00E54FF7" w:rsidRPr="00A762B2">
              <w:rPr>
                <w:rFonts w:ascii="Times New Roman" w:hAnsi="Times New Roman" w:cs="Times New Roman"/>
                <w:b/>
                <w:sz w:val="26"/>
                <w:szCs w:val="26"/>
              </w:rPr>
              <w:t>economică</w:t>
            </w:r>
            <w:r w:rsidR="006D5FA3" w:rsidRPr="00A762B2">
              <w:rPr>
                <w:rFonts w:ascii="Times New Roman" w:hAnsi="Times New Roman" w:cs="Times New Roman"/>
                <w:b/>
                <w:sz w:val="26"/>
                <w:szCs w:val="26"/>
              </w:rPr>
              <w:t>-financiară</w:t>
            </w:r>
          </w:p>
        </w:tc>
      </w:tr>
      <w:tr w:rsidR="00EE64F3" w:rsidRPr="00A762B2" w:rsidTr="00743202">
        <w:tc>
          <w:tcPr>
            <w:tcW w:w="10435" w:type="dxa"/>
            <w:shd w:val="clear" w:color="auto" w:fill="FFFFFF" w:themeFill="background1"/>
          </w:tcPr>
          <w:p w:rsidR="00F726AF" w:rsidRPr="00A762B2" w:rsidRDefault="006D5FA3" w:rsidP="00B70F06">
            <w:pPr>
              <w:spacing w:after="80"/>
              <w:ind w:firstLine="576"/>
              <w:jc w:val="both"/>
              <w:rPr>
                <w:rFonts w:ascii="Times New Roman" w:hAnsi="Times New Roman" w:cs="Times New Roman"/>
                <w:sz w:val="26"/>
                <w:szCs w:val="26"/>
              </w:rPr>
            </w:pPr>
            <w:r w:rsidRPr="00A762B2">
              <w:rPr>
                <w:rFonts w:ascii="Times New Roman" w:hAnsi="Times New Roman" w:cs="Times New Roman"/>
                <w:sz w:val="26"/>
                <w:szCs w:val="26"/>
              </w:rPr>
              <w:t xml:space="preserve">Implementarea acestui proiect nu necesită alocarea resurselor financiare suplimentare de la bugetul de stat. </w:t>
            </w:r>
          </w:p>
        </w:tc>
      </w:tr>
      <w:tr w:rsidR="00EE64F3" w:rsidRPr="00A762B2" w:rsidTr="00743202">
        <w:tc>
          <w:tcPr>
            <w:tcW w:w="10435" w:type="dxa"/>
            <w:shd w:val="clear" w:color="auto" w:fill="FFFFFF" w:themeFill="background1"/>
          </w:tcPr>
          <w:p w:rsidR="00F726AF" w:rsidRPr="00A762B2" w:rsidRDefault="00B25AF6" w:rsidP="002B1035">
            <w:pPr>
              <w:spacing w:after="80"/>
              <w:ind w:firstLine="576"/>
              <w:jc w:val="both"/>
              <w:rPr>
                <w:rFonts w:ascii="Times New Roman" w:hAnsi="Times New Roman" w:cs="Times New Roman"/>
                <w:b/>
                <w:sz w:val="26"/>
                <w:szCs w:val="26"/>
              </w:rPr>
            </w:pPr>
            <w:r w:rsidRPr="00A762B2">
              <w:rPr>
                <w:rFonts w:ascii="Times New Roman" w:hAnsi="Times New Roman" w:cs="Times New Roman"/>
                <w:b/>
                <w:sz w:val="26"/>
                <w:szCs w:val="26"/>
              </w:rPr>
              <w:t xml:space="preserve">V. </w:t>
            </w:r>
            <w:r w:rsidR="00CE4DBD" w:rsidRPr="00A762B2">
              <w:rPr>
                <w:rFonts w:ascii="Times New Roman" w:hAnsi="Times New Roman" w:cs="Times New Roman"/>
                <w:b/>
                <w:sz w:val="26"/>
                <w:szCs w:val="26"/>
              </w:rPr>
              <w:t xml:space="preserve">Acțiuni ce urmează a fi întreprinse în baza actului normativ </w:t>
            </w:r>
          </w:p>
        </w:tc>
      </w:tr>
      <w:tr w:rsidR="00EE64F3" w:rsidRPr="00A762B2" w:rsidTr="00743202">
        <w:tc>
          <w:tcPr>
            <w:tcW w:w="10435" w:type="dxa"/>
            <w:shd w:val="clear" w:color="auto" w:fill="FFFFFF" w:themeFill="background1"/>
          </w:tcPr>
          <w:p w:rsidR="00F726AF" w:rsidRPr="00A762B2" w:rsidRDefault="00FA42D7" w:rsidP="002B1035">
            <w:pPr>
              <w:spacing w:after="80"/>
              <w:ind w:firstLine="576"/>
              <w:jc w:val="both"/>
              <w:rPr>
                <w:rFonts w:ascii="Times New Roman" w:hAnsi="Times New Roman" w:cs="Times New Roman"/>
                <w:sz w:val="26"/>
                <w:szCs w:val="26"/>
              </w:rPr>
            </w:pPr>
            <w:r w:rsidRPr="00A762B2">
              <w:rPr>
                <w:rFonts w:ascii="Times New Roman" w:hAnsi="Times New Roman" w:cs="Times New Roman"/>
                <w:sz w:val="26"/>
                <w:szCs w:val="26"/>
              </w:rPr>
              <w:t>Nu sunt prevăzute careva acțiuni de implementare</w:t>
            </w:r>
          </w:p>
        </w:tc>
      </w:tr>
      <w:tr w:rsidR="00EE64F3" w:rsidRPr="00A762B2" w:rsidTr="00743202">
        <w:tc>
          <w:tcPr>
            <w:tcW w:w="10435" w:type="dxa"/>
            <w:shd w:val="clear" w:color="auto" w:fill="FFFFFF" w:themeFill="background1"/>
          </w:tcPr>
          <w:p w:rsidR="00B25AF6" w:rsidRPr="00A762B2" w:rsidRDefault="00B25AF6" w:rsidP="002B1035">
            <w:pPr>
              <w:spacing w:after="80"/>
              <w:ind w:firstLine="576"/>
              <w:jc w:val="both"/>
              <w:rPr>
                <w:rFonts w:ascii="Times New Roman" w:hAnsi="Times New Roman" w:cs="Times New Roman"/>
                <w:sz w:val="26"/>
                <w:szCs w:val="26"/>
              </w:rPr>
            </w:pPr>
            <w:r w:rsidRPr="00A762B2">
              <w:rPr>
                <w:rFonts w:ascii="Times New Roman" w:hAnsi="Times New Roman" w:cs="Times New Roman"/>
                <w:b/>
                <w:sz w:val="26"/>
                <w:szCs w:val="26"/>
              </w:rPr>
              <w:t xml:space="preserve">VI. Avizarea şi consultarea proiectului </w:t>
            </w:r>
          </w:p>
        </w:tc>
      </w:tr>
      <w:tr w:rsidR="00EE64F3" w:rsidRPr="00A762B2" w:rsidTr="00743202">
        <w:tc>
          <w:tcPr>
            <w:tcW w:w="10435" w:type="dxa"/>
            <w:shd w:val="clear" w:color="auto" w:fill="FFFFFF" w:themeFill="background1"/>
          </w:tcPr>
          <w:p w:rsidR="00F726AF" w:rsidRPr="00A762B2" w:rsidRDefault="00F726AF" w:rsidP="00A762B2">
            <w:pPr>
              <w:pStyle w:val="tt"/>
              <w:ind w:firstLine="576"/>
              <w:jc w:val="both"/>
              <w:rPr>
                <w:b w:val="0"/>
                <w:sz w:val="26"/>
                <w:szCs w:val="26"/>
                <w:lang w:val="ro-RO"/>
              </w:rPr>
            </w:pPr>
            <w:r w:rsidRPr="00A762B2">
              <w:rPr>
                <w:b w:val="0"/>
                <w:sz w:val="26"/>
                <w:szCs w:val="26"/>
                <w:lang w:val="ro-RO"/>
              </w:rPr>
              <w:t xml:space="preserve">Proiectul </w:t>
            </w:r>
            <w:r w:rsidR="00E42306" w:rsidRPr="00A762B2">
              <w:rPr>
                <w:b w:val="0"/>
                <w:sz w:val="26"/>
                <w:szCs w:val="26"/>
                <w:lang w:val="ro-RO"/>
              </w:rPr>
              <w:t>este</w:t>
            </w:r>
            <w:r w:rsidRPr="00A762B2">
              <w:rPr>
                <w:b w:val="0"/>
                <w:sz w:val="26"/>
                <w:szCs w:val="26"/>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A762B2" w:rsidRDefault="00290E32" w:rsidP="00A762B2">
            <w:pPr>
              <w:ind w:firstLine="567"/>
              <w:jc w:val="both"/>
              <w:rPr>
                <w:rFonts w:ascii="Times New Roman" w:hAnsi="Times New Roman" w:cs="Times New Roman"/>
                <w:sz w:val="26"/>
                <w:szCs w:val="26"/>
              </w:rPr>
            </w:pPr>
            <w:r w:rsidRPr="00A762B2">
              <w:rPr>
                <w:rFonts w:ascii="Times New Roman" w:hAnsi="Times New Roman" w:cs="Times New Roman"/>
                <w:sz w:val="26"/>
                <w:szCs w:val="26"/>
              </w:rPr>
              <w:t xml:space="preserve">În cadrul procesului de consultate și avizare </w:t>
            </w:r>
            <w:r w:rsidR="00D57321" w:rsidRPr="00A762B2">
              <w:rPr>
                <w:rFonts w:ascii="Times New Roman" w:hAnsi="Times New Roman" w:cs="Times New Roman"/>
                <w:sz w:val="26"/>
                <w:szCs w:val="26"/>
              </w:rPr>
              <w:t xml:space="preserve">se </w:t>
            </w:r>
            <w:r w:rsidRPr="00A762B2">
              <w:rPr>
                <w:rFonts w:ascii="Times New Roman" w:hAnsi="Times New Roman" w:cs="Times New Roman"/>
                <w:sz w:val="26"/>
                <w:szCs w:val="26"/>
              </w:rPr>
              <w:t>propune</w:t>
            </w:r>
            <w:r w:rsidR="00D57321" w:rsidRPr="00A762B2">
              <w:rPr>
                <w:rFonts w:ascii="Times New Roman" w:hAnsi="Times New Roman" w:cs="Times New Roman"/>
                <w:sz w:val="26"/>
                <w:szCs w:val="26"/>
              </w:rPr>
              <w:t xml:space="preserve"> implicarea</w:t>
            </w:r>
            <w:r w:rsidRPr="00A762B2">
              <w:rPr>
                <w:rFonts w:ascii="Times New Roman" w:hAnsi="Times New Roman" w:cs="Times New Roman"/>
                <w:sz w:val="26"/>
                <w:szCs w:val="26"/>
              </w:rPr>
              <w:t xml:space="preserve"> autoritățil</w:t>
            </w:r>
            <w:r w:rsidR="00D57321" w:rsidRPr="00A762B2">
              <w:rPr>
                <w:rFonts w:ascii="Times New Roman" w:hAnsi="Times New Roman" w:cs="Times New Roman"/>
                <w:sz w:val="26"/>
                <w:szCs w:val="26"/>
              </w:rPr>
              <w:t>or</w:t>
            </w:r>
            <w:r w:rsidRPr="00A762B2">
              <w:rPr>
                <w:rFonts w:ascii="Times New Roman" w:hAnsi="Times New Roman" w:cs="Times New Roman"/>
                <w:sz w:val="26"/>
                <w:szCs w:val="26"/>
              </w:rPr>
              <w:t xml:space="preserve"> publice și instituțiil</w:t>
            </w:r>
            <w:r w:rsidR="00D57321" w:rsidRPr="00A762B2">
              <w:rPr>
                <w:rFonts w:ascii="Times New Roman" w:hAnsi="Times New Roman" w:cs="Times New Roman"/>
                <w:sz w:val="26"/>
                <w:szCs w:val="26"/>
              </w:rPr>
              <w:t>or</w:t>
            </w:r>
            <w:r w:rsidRPr="00A762B2">
              <w:rPr>
                <w:rFonts w:ascii="Times New Roman" w:hAnsi="Times New Roman" w:cs="Times New Roman"/>
                <w:sz w:val="26"/>
                <w:szCs w:val="26"/>
              </w:rPr>
              <w:t xml:space="preserve"> interesate (Cancelaria de Stat, Ministerul Finanțelor, Ministerul Sănătății, Muncii și Protecției Sociale, Ministerul Agriculturii, Dezvoltării Regionale și Mediului, Ministerul Afacerilor Interne, Agenția Relații Funciare și Cadastru, </w:t>
            </w:r>
            <w:r w:rsidR="00E54FF7" w:rsidRPr="00A762B2">
              <w:rPr>
                <w:rFonts w:ascii="Times New Roman" w:hAnsi="Times New Roman" w:cs="Times New Roman"/>
                <w:sz w:val="26"/>
                <w:szCs w:val="26"/>
              </w:rPr>
              <w:t>Agenției pentru Supraveghere Tehnică</w:t>
            </w:r>
            <w:r w:rsidR="00D57321" w:rsidRPr="00A762B2">
              <w:rPr>
                <w:rFonts w:ascii="Times New Roman" w:hAnsi="Times New Roman" w:cs="Times New Roman"/>
                <w:sz w:val="26"/>
                <w:szCs w:val="26"/>
              </w:rPr>
              <w:t>,</w:t>
            </w:r>
            <w:r w:rsidR="00D57321" w:rsidRPr="00A762B2">
              <w:rPr>
                <w:rFonts w:ascii="Times New Roman" w:hAnsi="Times New Roman" w:cs="Times New Roman"/>
                <w:b/>
                <w:sz w:val="26"/>
                <w:szCs w:val="26"/>
              </w:rPr>
              <w:t xml:space="preserve"> </w:t>
            </w:r>
            <w:r w:rsidR="00D57321" w:rsidRPr="00A762B2">
              <w:rPr>
                <w:rFonts w:ascii="Times New Roman" w:hAnsi="Times New Roman" w:cs="Times New Roman"/>
                <w:sz w:val="26"/>
                <w:szCs w:val="26"/>
              </w:rPr>
              <w:t>Agenția pentru Protecția Consumatorilor și Supravegherea Pieței</w:t>
            </w:r>
            <w:r w:rsidR="00D57321" w:rsidRPr="00A762B2">
              <w:rPr>
                <w:rFonts w:ascii="Times New Roman" w:hAnsi="Times New Roman" w:cs="Times New Roman"/>
                <w:sz w:val="26"/>
                <w:szCs w:val="26"/>
              </w:rPr>
              <w:t xml:space="preserve">, </w:t>
            </w:r>
            <w:r w:rsidR="00D57321" w:rsidRPr="00A762B2">
              <w:rPr>
                <w:rFonts w:ascii="Times New Roman" w:hAnsi="Times New Roman" w:cs="Times New Roman"/>
                <w:sz w:val="26"/>
                <w:szCs w:val="26"/>
              </w:rPr>
              <w:t>Agenția Națională Transport Auto</w:t>
            </w:r>
            <w:r w:rsidR="00D57321" w:rsidRPr="00A762B2">
              <w:rPr>
                <w:rFonts w:ascii="Times New Roman" w:hAnsi="Times New Roman" w:cs="Times New Roman"/>
                <w:sz w:val="26"/>
                <w:szCs w:val="26"/>
              </w:rPr>
              <w:t>,</w:t>
            </w:r>
            <w:r w:rsidR="00E54FF7" w:rsidRPr="00A762B2">
              <w:rPr>
                <w:rFonts w:ascii="Times New Roman" w:hAnsi="Times New Roman" w:cs="Times New Roman"/>
                <w:sz w:val="26"/>
                <w:szCs w:val="26"/>
              </w:rPr>
              <w:t xml:space="preserve"> </w:t>
            </w:r>
            <w:r w:rsidR="002C6E17" w:rsidRPr="00A762B2">
              <w:rPr>
                <w:rFonts w:ascii="Times New Roman" w:hAnsi="Times New Roman" w:cs="Times New Roman"/>
                <w:sz w:val="26"/>
                <w:szCs w:val="26"/>
              </w:rPr>
              <w:t xml:space="preserve">Inspectoratul General pentru </w:t>
            </w:r>
            <w:r w:rsidR="00752E84" w:rsidRPr="00A762B2">
              <w:rPr>
                <w:rFonts w:ascii="Times New Roman" w:hAnsi="Times New Roman" w:cs="Times New Roman"/>
                <w:sz w:val="26"/>
                <w:szCs w:val="26"/>
              </w:rPr>
              <w:t>Situații</w:t>
            </w:r>
            <w:r w:rsidR="002C6E17" w:rsidRPr="00A762B2">
              <w:rPr>
                <w:rFonts w:ascii="Times New Roman" w:hAnsi="Times New Roman" w:cs="Times New Roman"/>
                <w:sz w:val="26"/>
                <w:szCs w:val="26"/>
              </w:rPr>
              <w:t xml:space="preserve"> de </w:t>
            </w:r>
            <w:r w:rsidR="00752E84" w:rsidRPr="00A762B2">
              <w:rPr>
                <w:rFonts w:ascii="Times New Roman" w:hAnsi="Times New Roman" w:cs="Times New Roman"/>
                <w:sz w:val="26"/>
                <w:szCs w:val="26"/>
              </w:rPr>
              <w:t>Urgență</w:t>
            </w:r>
            <w:r w:rsidR="002C6E17" w:rsidRPr="00A762B2">
              <w:rPr>
                <w:rFonts w:ascii="Times New Roman" w:hAnsi="Times New Roman" w:cs="Times New Roman"/>
                <w:sz w:val="26"/>
                <w:szCs w:val="26"/>
              </w:rPr>
              <w:t xml:space="preserve"> al MAI</w:t>
            </w:r>
            <w:r w:rsidRPr="00A762B2">
              <w:rPr>
                <w:rFonts w:ascii="Times New Roman" w:hAnsi="Times New Roman" w:cs="Times New Roman"/>
                <w:sz w:val="26"/>
                <w:szCs w:val="26"/>
              </w:rPr>
              <w:t>, Confederația Națională a Patronatului, Confederația Națională a Sindicatelor, Centrul Național Anticorupție și Ministerul Justiției).</w:t>
            </w:r>
          </w:p>
          <w:p w:rsidR="00F726AF" w:rsidRPr="00A762B2" w:rsidRDefault="00F726AF" w:rsidP="00A762B2">
            <w:pPr>
              <w:spacing w:after="80"/>
              <w:ind w:firstLine="576"/>
              <w:jc w:val="both"/>
              <w:rPr>
                <w:rFonts w:ascii="Times New Roman" w:hAnsi="Times New Roman" w:cs="Times New Roman"/>
                <w:sz w:val="26"/>
                <w:szCs w:val="26"/>
              </w:rPr>
            </w:pPr>
            <w:r w:rsidRPr="00A762B2">
              <w:rPr>
                <w:rFonts w:ascii="Times New Roman" w:hAnsi="Times New Roman" w:cs="Times New Roman"/>
                <w:sz w:val="26"/>
                <w:szCs w:val="26"/>
              </w:rPr>
              <w:t xml:space="preserve">În scopul respectării prevederilor Legii nr.239 din 13 noiembrie 2008 privind transparența în procesul decizional, proiectul </w:t>
            </w:r>
            <w:r w:rsidR="00E42306" w:rsidRPr="00A762B2">
              <w:rPr>
                <w:rFonts w:ascii="Times New Roman" w:hAnsi="Times New Roman" w:cs="Times New Roman"/>
                <w:sz w:val="26"/>
                <w:szCs w:val="26"/>
              </w:rPr>
              <w:t>poate</w:t>
            </w:r>
            <w:r w:rsidRPr="00A762B2">
              <w:rPr>
                <w:rFonts w:ascii="Times New Roman" w:hAnsi="Times New Roman" w:cs="Times New Roman"/>
                <w:sz w:val="26"/>
                <w:szCs w:val="26"/>
              </w:rPr>
              <w:t xml:space="preserve"> fi accesat pe pagina web oficială a Ministerului Economiei</w:t>
            </w:r>
            <w:r w:rsidR="00E42306" w:rsidRPr="00A762B2">
              <w:rPr>
                <w:rFonts w:ascii="Times New Roman" w:hAnsi="Times New Roman" w:cs="Times New Roman"/>
                <w:sz w:val="26"/>
                <w:szCs w:val="26"/>
              </w:rPr>
              <w:t xml:space="preserve"> și Infrastructurii</w:t>
            </w:r>
            <w:r w:rsidRPr="00A762B2">
              <w:rPr>
                <w:rFonts w:ascii="Times New Roman" w:hAnsi="Times New Roman" w:cs="Times New Roman"/>
                <w:sz w:val="26"/>
                <w:szCs w:val="26"/>
              </w:rPr>
              <w:t xml:space="preserve">  (compartimentul </w:t>
            </w:r>
            <w:r w:rsidRPr="00A762B2">
              <w:rPr>
                <w:rFonts w:ascii="Times New Roman" w:hAnsi="Times New Roman" w:cs="Times New Roman"/>
                <w:i/>
                <w:sz w:val="26"/>
                <w:szCs w:val="26"/>
              </w:rPr>
              <w:t>„Transparența”</w:t>
            </w:r>
            <w:r w:rsidRPr="00A762B2">
              <w:rPr>
                <w:rFonts w:ascii="Times New Roman" w:hAnsi="Times New Roman" w:cs="Times New Roman"/>
                <w:sz w:val="26"/>
                <w:szCs w:val="26"/>
              </w:rPr>
              <w:t xml:space="preserve">, directoriul </w:t>
            </w:r>
            <w:r w:rsidRPr="00A762B2">
              <w:rPr>
                <w:rFonts w:ascii="Times New Roman" w:hAnsi="Times New Roman" w:cs="Times New Roman"/>
                <w:i/>
                <w:sz w:val="26"/>
                <w:szCs w:val="26"/>
              </w:rPr>
              <w:t>Transparență decizională/Anunțuri privind consultările publice”</w:t>
            </w:r>
            <w:r w:rsidRPr="00A762B2">
              <w:rPr>
                <w:rFonts w:ascii="Times New Roman" w:hAnsi="Times New Roman" w:cs="Times New Roman"/>
                <w:sz w:val="26"/>
                <w:szCs w:val="26"/>
              </w:rPr>
              <w:t xml:space="preserve">), și pe portalul guvernamental </w:t>
            </w:r>
            <w:r w:rsidRPr="00A762B2">
              <w:rPr>
                <w:rFonts w:ascii="Times New Roman" w:hAnsi="Times New Roman" w:cs="Times New Roman"/>
                <w:sz w:val="26"/>
                <w:szCs w:val="26"/>
                <w:u w:val="single"/>
              </w:rPr>
              <w:t>particip.gov.md.</w:t>
            </w:r>
          </w:p>
        </w:tc>
      </w:tr>
    </w:tbl>
    <w:p w:rsidR="00F726AF" w:rsidRPr="008F5F43" w:rsidRDefault="00F726AF" w:rsidP="002B1035">
      <w:pPr>
        <w:spacing w:after="120" w:line="240" w:lineRule="auto"/>
        <w:ind w:firstLine="576"/>
        <w:rPr>
          <w:rFonts w:ascii="Times New Roman" w:hAnsi="Times New Roman" w:cs="Times New Roman"/>
          <w:b/>
          <w:sz w:val="26"/>
          <w:szCs w:val="26"/>
        </w:rPr>
      </w:pPr>
    </w:p>
    <w:p w:rsidR="00576D99" w:rsidRPr="008F5F43" w:rsidRDefault="00576D99" w:rsidP="002B1035">
      <w:pPr>
        <w:spacing w:after="120" w:line="240" w:lineRule="auto"/>
        <w:ind w:firstLine="576"/>
        <w:rPr>
          <w:rFonts w:ascii="Times New Roman" w:hAnsi="Times New Roman" w:cs="Times New Roman"/>
          <w:b/>
          <w:sz w:val="26"/>
          <w:szCs w:val="26"/>
        </w:rPr>
      </w:pPr>
    </w:p>
    <w:p w:rsidR="00F15FBD" w:rsidRPr="008F5F43" w:rsidRDefault="00B25AF6" w:rsidP="00DD0FF6">
      <w:pPr>
        <w:spacing w:after="120" w:line="240" w:lineRule="auto"/>
        <w:ind w:firstLine="576"/>
        <w:jc w:val="center"/>
        <w:rPr>
          <w:rFonts w:ascii="Times New Roman" w:hAnsi="Times New Roman" w:cs="Times New Roman"/>
          <w:b/>
          <w:sz w:val="26"/>
          <w:szCs w:val="26"/>
        </w:rPr>
      </w:pPr>
      <w:r w:rsidRPr="008F5F43">
        <w:rPr>
          <w:rFonts w:ascii="Times New Roman" w:hAnsi="Times New Roman" w:cs="Times New Roman"/>
          <w:b/>
          <w:sz w:val="26"/>
          <w:szCs w:val="26"/>
        </w:rPr>
        <w:t>Secretar de Stat                                                Iulia</w:t>
      </w:r>
      <w:r w:rsidR="00C0149C" w:rsidRPr="008F5F43">
        <w:rPr>
          <w:rFonts w:ascii="Times New Roman" w:hAnsi="Times New Roman" w:cs="Times New Roman"/>
          <w:b/>
          <w:sz w:val="26"/>
          <w:szCs w:val="26"/>
        </w:rPr>
        <w:t>na</w:t>
      </w:r>
      <w:r w:rsidR="00CA4BB3" w:rsidRPr="008F5F43">
        <w:rPr>
          <w:rFonts w:ascii="Times New Roman" w:hAnsi="Times New Roman" w:cs="Times New Roman"/>
          <w:b/>
          <w:sz w:val="26"/>
          <w:szCs w:val="26"/>
        </w:rPr>
        <w:t xml:space="preserve"> </w:t>
      </w:r>
      <w:r w:rsidR="00C0149C" w:rsidRPr="008F5F43">
        <w:rPr>
          <w:rFonts w:ascii="Times New Roman" w:hAnsi="Times New Roman" w:cs="Times New Roman"/>
          <w:b/>
          <w:sz w:val="26"/>
          <w:szCs w:val="26"/>
        </w:rPr>
        <w:t>DRĂGĂLIN</w:t>
      </w:r>
    </w:p>
    <w:sectPr w:rsidR="00F15FBD" w:rsidRPr="008F5F43"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7C7"/>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DC4"/>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5672"/>
    <w:rsid w:val="00C27B05"/>
    <w:rsid w:val="00C317A4"/>
    <w:rsid w:val="00C32F7D"/>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5F5"/>
    <w:rsid w:val="00CC6541"/>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4FF7"/>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B396-F3DC-47C0-AA43-47ACA45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Operator\Desktop\Metodoogiilor%20planificare%20AST\TEXT=LPLP201206081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1960-39EB-4943-AB8D-1FA1898A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Pages>
  <Words>1330</Words>
  <Characters>7586</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Anatolie Silitrari</dc:creator>
  <cp:lastModifiedBy>Operator</cp:lastModifiedBy>
  <cp:revision>22</cp:revision>
  <cp:lastPrinted>2018-02-21T08:58:00Z</cp:lastPrinted>
  <dcterms:created xsi:type="dcterms:W3CDTF">2017-12-03T15:57:00Z</dcterms:created>
  <dcterms:modified xsi:type="dcterms:W3CDTF">2018-05-14T07:03:00Z</dcterms:modified>
</cp:coreProperties>
</file>