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99" w:type="dxa"/>
        <w:tblInd w:w="-252" w:type="dxa"/>
        <w:tblLook w:val="04A0" w:firstRow="1" w:lastRow="0" w:firstColumn="1" w:lastColumn="0" w:noHBand="0" w:noVBand="1"/>
      </w:tblPr>
      <w:tblGrid>
        <w:gridCol w:w="10399"/>
      </w:tblGrid>
      <w:tr w:rsidR="00CA5E4F" w:rsidRPr="00E2573C" w:rsidTr="00E2573C">
        <w:trPr>
          <w:trHeight w:val="1187"/>
        </w:trPr>
        <w:tc>
          <w:tcPr>
            <w:tcW w:w="10399" w:type="dxa"/>
          </w:tcPr>
          <w:p w:rsidR="00CA5E4F" w:rsidRPr="005D0724" w:rsidRDefault="00CA5E4F" w:rsidP="00E2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A5E4F" w:rsidRPr="005D0724" w:rsidRDefault="00CA5E4F" w:rsidP="00E2573C">
            <w:pPr>
              <w:pStyle w:val="Heading2"/>
              <w:spacing w:after="200"/>
              <w:outlineLvl w:val="1"/>
              <w:rPr>
                <w:b/>
                <w:u w:val="none"/>
              </w:rPr>
            </w:pPr>
            <w:r w:rsidRPr="005D0724">
              <w:rPr>
                <w:b/>
                <w:u w:val="none"/>
              </w:rPr>
              <w:t>NOTĂ INFORMATIVĂ</w:t>
            </w:r>
          </w:p>
          <w:p w:rsidR="00CA5E4F" w:rsidRPr="00CA5E4F" w:rsidRDefault="00CA5E4F" w:rsidP="00AE2EE7">
            <w:pPr>
              <w:jc w:val="both"/>
              <w:rPr>
                <w:i/>
                <w:sz w:val="24"/>
                <w:lang w:val="ro-RO"/>
              </w:rPr>
            </w:pPr>
            <w:r w:rsidRPr="00CA5E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proiectul de Hotărâre a Guvernului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CA5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Cu privire la </w:t>
            </w:r>
            <w:r w:rsidRPr="00CA5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autorizarea de funcţionare provizorie și </w:t>
            </w:r>
            <w:r w:rsidRPr="00CA5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acreditarea programelor de studii superioare de licență (ciclul I) şi </w:t>
            </w:r>
            <w:r w:rsidR="00AE2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programelor de </w:t>
            </w:r>
            <w:r w:rsidRPr="00CA5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studii superioare de doctorat (ciclul III) în instituțiile de învățământ superior din Republica Moldova</w:t>
            </w:r>
          </w:p>
        </w:tc>
      </w:tr>
      <w:tr w:rsidR="00CA5E4F" w:rsidRPr="005D0724" w:rsidTr="00E2573C">
        <w:trPr>
          <w:trHeight w:val="215"/>
        </w:trPr>
        <w:tc>
          <w:tcPr>
            <w:tcW w:w="10399" w:type="dxa"/>
          </w:tcPr>
          <w:p w:rsidR="00CA5E4F" w:rsidRPr="005D0724" w:rsidRDefault="00CA5E4F" w:rsidP="00E257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07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Condițiile care au impus elaborarea proiectului</w:t>
            </w:r>
          </w:p>
        </w:tc>
      </w:tr>
      <w:tr w:rsidR="00CA5E4F" w:rsidRPr="005D0724" w:rsidTr="00E2573C">
        <w:tc>
          <w:tcPr>
            <w:tcW w:w="10399" w:type="dxa"/>
          </w:tcPr>
          <w:p w:rsidR="00CA5E4F" w:rsidRPr="00493FE5" w:rsidRDefault="00CA5E4F" w:rsidP="00E2573C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</w:pP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scopul asigurării calităţii în învăţământul superior la nivel naţional a avut loc procesul de evaluare externă a calităţii de către Agenţia Naţională de Asigurare a Calităţii în 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 și Cercetare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(ANAC</w:t>
            </w:r>
            <w:r w:rsidR="00493F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EC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)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în vederea acreditării programelor de studii superioare de licenţă în domeniile generale de studiu </w:t>
            </w:r>
            <w:r w:rsidR="00493FE5" w:rsidRPr="00CA5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 Administrare publica</w:t>
            </w:r>
            <w:r w:rsidR="00493F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="00493FE5"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A5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 Ştiinţe economice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A5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44 Ştiinţe exacte</w:t>
            </w:r>
            <w:r w:rsidRPr="00E257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3FE5" w:rsidRPr="00493F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52 Inginerie și activități inginerești</w:t>
            </w:r>
            <w:r w:rsidRPr="00E257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etc., de către </w:t>
            </w:r>
            <w:r w:rsidR="002A6A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genția germană de asiguirare a calității programelor de studii (A</w:t>
            </w:r>
            <w:r w:rsidR="002A6A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QAS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2A6A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2A6A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domeniul </w:t>
            </w:r>
            <w:r w:rsidR="002A6A1B" w:rsidRPr="002A6A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44 Chimie</w:t>
            </w:r>
            <w:r w:rsidR="002A6A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E257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precum </w:t>
            </w:r>
            <w:r w:rsidR="002A6A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E257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in scopul 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autorizării</w:t>
            </w:r>
            <w:r w:rsidRPr="00E257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funcționare</w:t>
            </w:r>
            <w:r w:rsidRPr="00E257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provizorie a 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programului de studii superioare de licenţă </w:t>
            </w:r>
            <w:r w:rsidRPr="00CA5E4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ro-RO" w:eastAsia="ru-RU"/>
              </w:rPr>
              <w:t>0914.4 Optometrie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din cadrul Universit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ăţ</w:t>
            </w:r>
            <w:r w:rsidRPr="00E2573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ii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de Stat de Medicină şi Farmacie „Nicolae Testemiţanu”, specialitate nouă inclusă în </w:t>
            </w:r>
            <w:r w:rsidRPr="005D07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Nomenclatorul domeniilor de formare profesională şi al specialităţilor în învățământul superior</w:t>
            </w:r>
            <w:r w:rsidR="00493FE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, </w:t>
            </w:r>
            <w:r w:rsidR="00493FE5" w:rsidRP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3FE5" w:rsidRP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școlilor doctorale și a programelor de doctorat în Academia de Muzică, </w:t>
            </w:r>
            <w:r w:rsid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Teatru</w:t>
            </w:r>
            <w:r w:rsidR="00493FE5" w:rsidRP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Arte Plastice</w:t>
            </w:r>
            <w:r w:rsidRPr="00493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A5E4F" w:rsidRPr="005D0724" w:rsidRDefault="00CA5E4F" w:rsidP="00E2573C">
            <w:pPr>
              <w:spacing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În total, au fost evaluate extern  </w:t>
            </w:r>
            <w:r w:rsidR="00493F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9</w:t>
            </w:r>
            <w:r w:rsidR="00AE2EE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8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de programe de studii de licenţă la 15 instituţii de învăţământ superior, dintre care 10 instituţii sunt publice.</w:t>
            </w:r>
          </w:p>
          <w:p w:rsidR="00CA5E4F" w:rsidRPr="005D0724" w:rsidRDefault="00CA5E4F" w:rsidP="00493FE5">
            <w:pPr>
              <w:shd w:val="clear" w:color="auto" w:fill="FFFFFF"/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Instituţiile de învăţământ superior care au solicitat evaluarea externă a </w:t>
            </w:r>
            <w:r w:rsidR="00493FE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calității </w:t>
            </w:r>
            <w:r w:rsidRPr="005D072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programelor de studii au fost informate despre deciziile finale ale Consiliului de Conducere al ANAC</w:t>
            </w:r>
            <w:r w:rsidR="00493FE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EC.</w:t>
            </w:r>
          </w:p>
        </w:tc>
      </w:tr>
      <w:tr w:rsidR="00CA5E4F" w:rsidRPr="005D0724" w:rsidTr="00E2573C">
        <w:tc>
          <w:tcPr>
            <w:tcW w:w="10399" w:type="dxa"/>
          </w:tcPr>
          <w:p w:rsidR="00CA5E4F" w:rsidRPr="005D0724" w:rsidRDefault="00CA5E4F" w:rsidP="00E2573C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07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Esența proiectului</w:t>
            </w:r>
          </w:p>
        </w:tc>
      </w:tr>
      <w:tr w:rsidR="00CA5E4F" w:rsidRPr="005D0724" w:rsidTr="00E2573C">
        <w:tc>
          <w:tcPr>
            <w:tcW w:w="10399" w:type="dxa"/>
          </w:tcPr>
          <w:p w:rsidR="00CA5E4F" w:rsidRPr="005D0724" w:rsidRDefault="00CA5E4F" w:rsidP="00E2573C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Pr="005D072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ro-RO"/>
              </w:rPr>
              <w:t>Procesul de evaluare externă a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calității programelor de studii superioare de licență </w:t>
            </w:r>
            <w:r w:rsidR="00E33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doctorat 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domeniile menționate </w:t>
            </w:r>
            <w:r w:rsidRPr="005D072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ro-RO"/>
              </w:rPr>
              <w:t>a fost realizat în baza pr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ro-RO"/>
              </w:rPr>
              <w:t>evederilor Codului Educației (</w:t>
            </w:r>
            <w:r w:rsidRPr="005D072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ro-RO"/>
              </w:rPr>
              <w:t xml:space="preserve">a standardelor de acreditare, criteriilor și a indicatorilor de performanță stabiliți în </w:t>
            </w:r>
            <w:r w:rsidRPr="005D072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val="ro-RO"/>
              </w:rPr>
              <w:t>Metodologia de evaluare externă a calității în vederea autorizării de funcționare provizorie și acreditării programelor de studii și a instituțiilor de învățământ profesional tehnic, superior și de formare continuă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, aprobată prin Hotărârea de Guvern nr.616 din 18 mai 2016.</w:t>
            </w:r>
          </w:p>
          <w:p w:rsidR="00CA5E4F" w:rsidRPr="005D0724" w:rsidRDefault="00CA5E4F" w:rsidP="00E2573C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 xml:space="preserve">          Standardele de acreditare sunt conforme documentelor internaționale de referință în vigoare ,,Standardele și liniile directoare pentru asigurarea calității în Spațiul European al Învățământului Superior  (ESG), versiunea 2015”.</w:t>
            </w:r>
          </w:p>
          <w:p w:rsidR="00CA5E4F" w:rsidRPr="005D0724" w:rsidRDefault="00CA5E4F" w:rsidP="00E2573C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         Standardele de acreditare aplicate de evaluatori conform Metodologei menționate </w:t>
            </w:r>
            <w:r w:rsidR="00E335E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pentru programele de studii superioare de licență sunt 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: </w:t>
            </w:r>
          </w:p>
          <w:p w:rsidR="00CA5E4F" w:rsidRPr="005D0724" w:rsidRDefault="00CA5E4F" w:rsidP="00E2573C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Politici pentru asigurarea calității (8,0 pct.); 2. Proiectarea și aprobarea programelor (12,0 pct.); 3. Învățarea, predarea și evaluarea centrate pe student (14,0 pct.); 4. Admiterea, evoluția, recunoașterea și dobândirea de certificări de către student (8,0 pct.); 5. Personalul academic (22,0 pct.); 6. Resurse de învățare și sprijin pentru student (15,0 pct.); 7. Managementul informației (4,0 pct.); 8. Informații de interes public (3,0 pct.); 9. Monitorizarea continuă și evaluarea periodică a programelor (12,0 pct.); 10. Asigurarea externă a calității în mod ciclic (2,0 pct.)</w:t>
            </w:r>
          </w:p>
          <w:p w:rsidR="00CA5E4F" w:rsidRPr="005D0724" w:rsidRDefault="00CA5E4F" w:rsidP="00E257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         Analiza deciziilor Consiliului de Conducere al ANAC</w:t>
            </w:r>
            <w:r w:rsidR="00E335E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EC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privind evaluarea externă a calității programelor de studii superioare de licență în dom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eniile 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31 </w:t>
            </w:r>
            <w:r w:rsidRPr="005D072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val="ro-RO"/>
              </w:rPr>
              <w:t>Ştiinţe politice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, 36 </w:t>
            </w:r>
            <w:r w:rsidRPr="005D072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val="ro-RO"/>
              </w:rPr>
              <w:t>Ştiinţe economice</w:t>
            </w:r>
            <w:r w:rsidR="00E335E5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, 52 Inginerie și </w:t>
            </w:r>
            <w:r w:rsidR="00744246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val="ro-RO"/>
              </w:rPr>
              <w:t>a</w:t>
            </w:r>
            <w:r w:rsidR="00E335E5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val="ro-RO"/>
              </w:rPr>
              <w:t>ctivități inginerești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şi 44 </w:t>
            </w:r>
            <w:r w:rsidRPr="005D072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Științe exacte </w:t>
            </w:r>
            <w:r w:rsidR="00744246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val="ro-RO"/>
              </w:rPr>
              <w:t>etc.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ne demonstrează următoarea situație:</w:t>
            </w:r>
          </w:p>
          <w:tbl>
            <w:tblPr>
              <w:tblW w:w="9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2"/>
              <w:gridCol w:w="2693"/>
              <w:gridCol w:w="2552"/>
              <w:gridCol w:w="2976"/>
            </w:tblGrid>
            <w:tr w:rsidR="00744246" w:rsidRPr="005D0724" w:rsidTr="00744246">
              <w:trPr>
                <w:trHeight w:val="2663"/>
              </w:trPr>
              <w:tc>
                <w:tcPr>
                  <w:tcW w:w="1552" w:type="dxa"/>
                  <w:shd w:val="clear" w:color="auto" w:fill="auto"/>
                </w:tcPr>
                <w:p w:rsidR="00744246" w:rsidRPr="005D0724" w:rsidRDefault="00744246" w:rsidP="00E2573C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744246" w:rsidRPr="005D0724" w:rsidRDefault="00744246" w:rsidP="00E2573C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Total</w:t>
                  </w:r>
                </w:p>
                <w:p w:rsidR="00744246" w:rsidRPr="005D0724" w:rsidRDefault="00744246" w:rsidP="00E2573C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programe </w:t>
                  </w:r>
                </w:p>
                <w:p w:rsidR="00744246" w:rsidRPr="005D0724" w:rsidRDefault="00744246" w:rsidP="00E2573C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evaluate</w:t>
                  </w:r>
                  <w:r w:rsidR="00AB48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extern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44246" w:rsidRPr="005D0724" w:rsidRDefault="00744246" w:rsidP="00CA5E4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Programe acreditate pentru o perioadă de </w:t>
                  </w:r>
                  <w:r w:rsidRPr="005D07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5 ani</w:t>
                  </w:r>
                </w:p>
                <w:p w:rsidR="00744246" w:rsidRPr="005D0724" w:rsidRDefault="00744246" w:rsidP="00CA5E4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corespund cerințelor 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(realizarea standardelor de acreditare de </w:t>
                  </w:r>
                  <w:r w:rsidRPr="005D07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>peste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5D07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>90,0 %)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744246" w:rsidRPr="005D0724" w:rsidRDefault="00744246" w:rsidP="00CA5E4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Programe acreditate condiționat pentru o perioadă de </w:t>
                  </w:r>
                  <w:r w:rsidRPr="005D07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3 ani </w:t>
                  </w:r>
                </w:p>
                <w:p w:rsidR="00744246" w:rsidRPr="005D0724" w:rsidRDefault="00744246" w:rsidP="00CA5E4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corespund parțial cerințelor 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(realizarea standardelor de acreditare (</w:t>
                  </w:r>
                  <w:r w:rsidRPr="005D07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>50,0-90,0 %)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744246" w:rsidRPr="005D0724" w:rsidRDefault="00744246" w:rsidP="00CA5E4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Programe neacreditate</w:t>
                  </w:r>
                </w:p>
                <w:p w:rsidR="00744246" w:rsidRPr="005D0724" w:rsidRDefault="00744246" w:rsidP="00CA5E4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07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Nu </w:t>
                  </w: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corespund cerințelor 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(realizarea standardelor de acreditare de mai </w:t>
                  </w:r>
                  <w:r w:rsidRPr="005D07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>puțin de 50%)</w:t>
                  </w:r>
                </w:p>
              </w:tc>
            </w:tr>
            <w:tr w:rsidR="00744246" w:rsidRPr="005D0724" w:rsidTr="00744246">
              <w:trPr>
                <w:trHeight w:val="407"/>
              </w:trPr>
              <w:tc>
                <w:tcPr>
                  <w:tcW w:w="1552" w:type="dxa"/>
                  <w:shd w:val="clear" w:color="auto" w:fill="auto"/>
                </w:tcPr>
                <w:p w:rsidR="00744246" w:rsidRPr="005D0724" w:rsidRDefault="00744246" w:rsidP="00AE2EE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9</w:t>
                  </w:r>
                  <w:r w:rsidR="00AE2EE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44246" w:rsidRPr="005D0724" w:rsidRDefault="00744246" w:rsidP="00AB48C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56</w:t>
                  </w: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(5</w:t>
                  </w:r>
                  <w:r w:rsidR="00AB48C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8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%)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744246" w:rsidRPr="005D0724" w:rsidRDefault="00744246" w:rsidP="00AE2EE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</w:t>
                  </w:r>
                  <w:r w:rsidR="00AE2EE7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</w:t>
                  </w: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39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%)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744246" w:rsidRPr="005D0724" w:rsidRDefault="00744246" w:rsidP="0074424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</w:t>
                  </w:r>
                  <w:r w:rsidRPr="005D07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5D07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(3%)</w:t>
                  </w:r>
                </w:p>
              </w:tc>
            </w:tr>
          </w:tbl>
          <w:p w:rsidR="00CA5E4F" w:rsidRPr="005D0724" w:rsidRDefault="00CA5E4F" w:rsidP="00E2573C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         </w:t>
            </w:r>
          </w:p>
          <w:p w:rsidR="00CA5E4F" w:rsidRPr="005D0724" w:rsidRDefault="00CA5E4F" w:rsidP="00E2573C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De asemenea, prin decizia Consiliului de Conducere al </w:t>
            </w:r>
            <w:r w:rsidR="00AB48C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ANACEC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se propune spre 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autorizare de funcţionare provizori</w:t>
            </w:r>
            <w:r w:rsidRPr="00E2573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e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programul de studii superioare de licenţă </w:t>
            </w:r>
            <w:r w:rsidRPr="005D07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ro-RO" w:eastAsia="ru-RU"/>
              </w:rPr>
              <w:t>0914.4 Optometrie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din cadrul Universit</w:t>
            </w:r>
            <w:r w:rsidR="00AB48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ății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de Stat de Medicină şi Farmacie „Nicolae Testemiţanu”</w:t>
            </w:r>
            <w:r w:rsidR="00AB48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, precum și o școală doctorală și 6 programe de studii superioare de doctorat din cadrul Academiei de Muzică, Teatru și Arte  Plastice</w:t>
            </w:r>
            <w:r w:rsidRPr="005D072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.</w:t>
            </w:r>
          </w:p>
          <w:p w:rsidR="00CA5E4F" w:rsidRPr="005D0724" w:rsidRDefault="00CA5E4F" w:rsidP="00E2573C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         În urma analizei rezultatelor procesului de evaluare externă a calității programelor de studii sus menţionate, au fost identificate mai multe lacune la următoarele poziții:</w:t>
            </w:r>
          </w:p>
          <w:p w:rsidR="00CA5E4F" w:rsidRPr="005D0724" w:rsidRDefault="00CA5E4F" w:rsidP="00E2573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Promovarea insuficientă a colaborării intra-interuniversitare dar</w:t>
            </w:r>
            <w:r w:rsidRPr="00E2573C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şi internaţionale</w:t>
            </w:r>
            <w:r w:rsidR="007767D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pe diverse programe de studii; 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Sistemul de evaluare academică a studenților necesită perfectare;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Suportul didactic necesită actualizare și noi elaborări conform cerințelor moderne de elaborare și redactare;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Sporirea transparenţei proces</w:t>
            </w:r>
            <w:r w:rsidRPr="00E2573C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elor</w:t>
            </w: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 xml:space="preserve"> privind monitorizarea, evaluarea şi revizuirea periodică a programelor de studii; 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Implicarea agenţilor economici şi a angajatorilor în procesul de evaluare a stagiilor de practică;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Lipsa unui mecanism eficient de evidență a plasării în câmpul muncii a absolvenților fiecărui program;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Puține discipline și conținuturi digitale incluse pe platforma MOODLE;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Număr mic de studenți în cadrul anumitor specialități pe parcursul studiilor sau lipsa lor la finalul studiilor;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Ghidarea, motivarea și implicarea slabă a studenților în mobilități, dar și  a cadrelor didactice;</w:t>
            </w:r>
          </w:p>
          <w:p w:rsidR="00CA5E4F" w:rsidRPr="005D0724" w:rsidRDefault="00CA5E4F" w:rsidP="00E257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ro-RO"/>
              </w:rPr>
              <w:t>Activități insuficiente pentru cercetarea științifică la majoritatea programelor de studii.</w:t>
            </w:r>
          </w:p>
        </w:tc>
      </w:tr>
      <w:tr w:rsidR="00CA5E4F" w:rsidRPr="005D0724" w:rsidTr="00E2573C">
        <w:tc>
          <w:tcPr>
            <w:tcW w:w="10399" w:type="dxa"/>
          </w:tcPr>
          <w:p w:rsidR="00CA5E4F" w:rsidRPr="005D0724" w:rsidRDefault="00CA5E4F" w:rsidP="00E2573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07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Costul implementării</w:t>
            </w:r>
          </w:p>
        </w:tc>
      </w:tr>
      <w:tr w:rsidR="00CA5E4F" w:rsidRPr="005D0724" w:rsidTr="00E2573C">
        <w:tc>
          <w:tcPr>
            <w:tcW w:w="10399" w:type="dxa"/>
          </w:tcPr>
          <w:p w:rsidR="00CA5E4F" w:rsidRPr="005D0724" w:rsidRDefault="00CA5E4F" w:rsidP="009569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Implementarea prezentei hotărâri nu necesită cheltuieli financiare suplimentare și se încadrează în limita</w:t>
            </w:r>
            <w:r w:rsidRPr="005D072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ro-RO"/>
              </w:rPr>
              <w:t xml:space="preserve"> bugetului de stat aprobat</w:t>
            </w:r>
            <w:r w:rsidR="009569A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ro-RO"/>
              </w:rPr>
              <w:t>.</w:t>
            </w:r>
          </w:p>
        </w:tc>
      </w:tr>
      <w:tr w:rsidR="00CA5E4F" w:rsidRPr="005D0724" w:rsidTr="00E2573C">
        <w:tc>
          <w:tcPr>
            <w:tcW w:w="10399" w:type="dxa"/>
          </w:tcPr>
          <w:p w:rsidR="00CA5E4F" w:rsidRPr="005D0724" w:rsidRDefault="00CA5E4F" w:rsidP="00E2573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07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Impactul implementării</w:t>
            </w:r>
          </w:p>
        </w:tc>
      </w:tr>
      <w:tr w:rsidR="00CA5E4F" w:rsidRPr="005D0724" w:rsidTr="00E2573C">
        <w:tc>
          <w:tcPr>
            <w:tcW w:w="10399" w:type="dxa"/>
          </w:tcPr>
          <w:p w:rsidR="00CA5E4F" w:rsidRPr="005D0724" w:rsidRDefault="00CA5E4F" w:rsidP="00E257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072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ro-RO"/>
              </w:rPr>
              <w:t xml:space="preserve">          Luând în considerare</w:t>
            </w:r>
            <w:r w:rsidR="009569A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ro-RO"/>
              </w:rPr>
              <w:t>,</w:t>
            </w:r>
            <w:r w:rsidRPr="005D072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ro-RO"/>
              </w:rPr>
              <w:t xml:space="preserve"> că în perioada 2008-2014, procesul de acreditare a fost stopat, intensificarea procesului de 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externă a calității în vederea acreditării</w:t>
            </w:r>
            <w:r w:rsidRPr="005D07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programelor </w:t>
            </w:r>
            <w:r w:rsidR="00AB4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studii superioare de licență 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un rol important în asigurarea calităţii în învăţământul superior la nivel naţional</w:t>
            </w:r>
            <w:r w:rsidRPr="005D072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ro-RO"/>
              </w:rPr>
              <w:t xml:space="preserve"> şi dezvoltarea conceptului  de  asigurare  a  calităţii  în  domeniile menționate. Totodată, apariția noilor oferte educaţionale în învăţământul superior prin noul </w:t>
            </w:r>
            <w:r w:rsidRPr="005D07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Nomenclator al domeniilor de formare profesională şi al specialităţilor în învățământul superior, 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impune demararea procesului de autorizare de funcţionare provizorie pentru noile specialități/programe de studii superioare de licenţă</w:t>
            </w:r>
            <w:r w:rsidR="00AB4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/doctorat</w:t>
            </w:r>
            <w:r w:rsidRPr="005D0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A5E4F" w:rsidRPr="005D0724" w:rsidRDefault="00CA5E4F" w:rsidP="00AB48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07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         De calitatea acestor programe depinde pregătirea cadrelor tinere care vor activa în economia naţională, cât şi posibilitatea integrării lor profesionale pe piaţa munc</w:t>
            </w:r>
            <w:r w:rsidR="00AB48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ii națională și </w:t>
            </w:r>
            <w:r w:rsidRPr="005D07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internaţional</w:t>
            </w:r>
            <w:r w:rsidR="00AB48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u-RU"/>
              </w:rPr>
              <w:t>ă</w:t>
            </w:r>
            <w:r w:rsidR="009569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u-RU"/>
              </w:rPr>
              <w:t>.</w:t>
            </w:r>
          </w:p>
        </w:tc>
      </w:tr>
    </w:tbl>
    <w:p w:rsidR="009569AB" w:rsidRDefault="009569AB" w:rsidP="009569AB">
      <w:pPr>
        <w:ind w:left="720" w:firstLine="720"/>
        <w:jc w:val="both"/>
        <w:rPr>
          <w:rStyle w:val="docbody1"/>
          <w:b/>
          <w:sz w:val="28"/>
          <w:szCs w:val="28"/>
          <w:lang w:val="ro-RO"/>
        </w:rPr>
      </w:pPr>
    </w:p>
    <w:p w:rsidR="009569AB" w:rsidRPr="005D0724" w:rsidRDefault="009569AB" w:rsidP="009569AB">
      <w:pPr>
        <w:ind w:left="720" w:firstLine="720"/>
        <w:jc w:val="both"/>
        <w:rPr>
          <w:rStyle w:val="docbody1"/>
          <w:b/>
          <w:sz w:val="28"/>
          <w:szCs w:val="28"/>
          <w:lang w:val="ro-RO"/>
        </w:rPr>
      </w:pPr>
      <w:r w:rsidRPr="005D0724">
        <w:rPr>
          <w:rStyle w:val="docbody1"/>
          <w:b/>
          <w:sz w:val="28"/>
          <w:szCs w:val="28"/>
          <w:lang w:val="ro-RO"/>
        </w:rPr>
        <w:t xml:space="preserve">Ministru          </w:t>
      </w:r>
      <w:r w:rsidRPr="005D0724">
        <w:rPr>
          <w:rStyle w:val="docbody1"/>
          <w:b/>
          <w:sz w:val="28"/>
          <w:szCs w:val="28"/>
          <w:lang w:val="ro-RO"/>
        </w:rPr>
        <w:tab/>
      </w:r>
      <w:r w:rsidRPr="005D0724">
        <w:rPr>
          <w:rStyle w:val="docbody1"/>
          <w:b/>
          <w:sz w:val="28"/>
          <w:szCs w:val="28"/>
          <w:lang w:val="ro-RO"/>
        </w:rPr>
        <w:tab/>
      </w:r>
      <w:r w:rsidRPr="005D0724">
        <w:rPr>
          <w:rStyle w:val="docbody1"/>
          <w:b/>
          <w:sz w:val="28"/>
          <w:szCs w:val="28"/>
          <w:lang w:val="ro-RO"/>
        </w:rPr>
        <w:tab/>
      </w:r>
      <w:r w:rsidRPr="005D0724">
        <w:rPr>
          <w:rStyle w:val="docbody1"/>
          <w:b/>
          <w:sz w:val="28"/>
          <w:szCs w:val="28"/>
          <w:lang w:val="ro-RO"/>
        </w:rPr>
        <w:tab/>
        <w:t>Monica BABUC</w:t>
      </w:r>
    </w:p>
    <w:p w:rsidR="000E2179" w:rsidRPr="00CA5E4F" w:rsidRDefault="000E2179">
      <w:pPr>
        <w:rPr>
          <w:lang w:val="ro-RO"/>
        </w:rPr>
      </w:pPr>
    </w:p>
    <w:sectPr w:rsidR="000E2179" w:rsidRPr="00CA5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0BD5"/>
    <w:multiLevelType w:val="hybridMultilevel"/>
    <w:tmpl w:val="94D090AA"/>
    <w:lvl w:ilvl="0" w:tplc="60980420">
      <w:start w:val="1"/>
      <w:numFmt w:val="bullet"/>
      <w:lvlText w:val="-"/>
      <w:lvlJc w:val="left"/>
      <w:pPr>
        <w:ind w:left="360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35682"/>
    <w:multiLevelType w:val="hybridMultilevel"/>
    <w:tmpl w:val="EDE65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51673"/>
    <w:multiLevelType w:val="hybridMultilevel"/>
    <w:tmpl w:val="552E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A387C"/>
    <w:multiLevelType w:val="hybridMultilevel"/>
    <w:tmpl w:val="F60248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4F"/>
    <w:rsid w:val="000E2179"/>
    <w:rsid w:val="002A6A1B"/>
    <w:rsid w:val="00493FE5"/>
    <w:rsid w:val="005C4D67"/>
    <w:rsid w:val="0062485A"/>
    <w:rsid w:val="00744246"/>
    <w:rsid w:val="007767D3"/>
    <w:rsid w:val="009569AB"/>
    <w:rsid w:val="00AB48C6"/>
    <w:rsid w:val="00AE2EE7"/>
    <w:rsid w:val="00CA5E4F"/>
    <w:rsid w:val="00E3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A037-01BB-4FD0-A41F-A17DF7CA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E4F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CA5E4F"/>
    <w:pPr>
      <w:keepNext/>
      <w:tabs>
        <w:tab w:val="left" w:pos="8580"/>
      </w:tabs>
      <w:spacing w:after="0" w:line="360" w:lineRule="auto"/>
      <w:ind w:firstLine="720"/>
      <w:jc w:val="center"/>
      <w:outlineLvl w:val="1"/>
    </w:pPr>
    <w:rPr>
      <w:rFonts w:ascii="Times New Roman" w:eastAsia="Calibri" w:hAnsi="Times New Roman" w:cs="Times New Roman"/>
      <w:sz w:val="24"/>
      <w:szCs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5E4F"/>
    <w:rPr>
      <w:rFonts w:ascii="Times New Roman" w:eastAsia="Calibri" w:hAnsi="Times New Roman" w:cs="Times New Roman"/>
      <w:sz w:val="24"/>
      <w:szCs w:val="24"/>
      <w:u w:val="single"/>
      <w:lang w:val="ro-RO"/>
    </w:rPr>
  </w:style>
  <w:style w:type="table" w:styleId="TableGrid">
    <w:name w:val="Table Grid"/>
    <w:basedOn w:val="TableNormal"/>
    <w:uiPriority w:val="59"/>
    <w:rsid w:val="00CA5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E4F"/>
    <w:pPr>
      <w:ind w:left="720"/>
      <w:contextualSpacing/>
    </w:pPr>
  </w:style>
  <w:style w:type="character" w:customStyle="1" w:styleId="docbody1">
    <w:name w:val="doc_body1"/>
    <w:rsid w:val="009569AB"/>
    <w:rPr>
      <w:rFonts w:ascii="Times New Roman" w:hAnsi="Times New Roman" w:cs="Times New Roman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C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Velisco</dc:creator>
  <cp:keywords/>
  <dc:description/>
  <cp:lastModifiedBy>Nadejda Velisco</cp:lastModifiedBy>
  <cp:revision>3</cp:revision>
  <cp:lastPrinted>2018-05-04T08:39:00Z</cp:lastPrinted>
  <dcterms:created xsi:type="dcterms:W3CDTF">2018-05-11T07:52:00Z</dcterms:created>
  <dcterms:modified xsi:type="dcterms:W3CDTF">2018-05-11T07:54:00Z</dcterms:modified>
</cp:coreProperties>
</file>