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391" w:rsidRPr="00906FE9" w:rsidRDefault="00860391" w:rsidP="00860391">
      <w:pPr>
        <w:pStyle w:val="Default"/>
        <w:jc w:val="center"/>
        <w:rPr>
          <w:b/>
          <w:sz w:val="28"/>
          <w:szCs w:val="28"/>
          <w:lang w:val="ro-MD"/>
        </w:rPr>
      </w:pPr>
      <w:r w:rsidRPr="00906FE9">
        <w:rPr>
          <w:b/>
          <w:sz w:val="28"/>
          <w:szCs w:val="28"/>
          <w:lang w:val="ro-MD"/>
        </w:rPr>
        <w:t>Sinteza</w:t>
      </w:r>
    </w:p>
    <w:p w:rsidR="00860391" w:rsidRPr="00906FE9" w:rsidRDefault="00860391" w:rsidP="006F1833">
      <w:pPr>
        <w:jc w:val="center"/>
        <w:rPr>
          <w:rFonts w:eastAsia="Batang"/>
          <w:b/>
          <w:bCs/>
          <w:sz w:val="28"/>
          <w:szCs w:val="28"/>
          <w:lang w:val="ro-MD"/>
        </w:rPr>
      </w:pPr>
      <w:r w:rsidRPr="00906FE9">
        <w:rPr>
          <w:b/>
          <w:sz w:val="28"/>
          <w:szCs w:val="28"/>
          <w:lang w:val="ro-MD"/>
        </w:rPr>
        <w:t xml:space="preserve">propunerilor și obiecțiilor la proiectul hotărîrii Guvernului </w:t>
      </w:r>
      <w:r w:rsidR="00892F36" w:rsidRPr="00906FE9">
        <w:rPr>
          <w:b/>
          <w:sz w:val="28"/>
          <w:szCs w:val="28"/>
          <w:lang w:val="ro-MD"/>
        </w:rPr>
        <w:t>„</w:t>
      </w:r>
      <w:r w:rsidR="00892F36" w:rsidRPr="00906FE9">
        <w:rPr>
          <w:rFonts w:eastAsia="Batang"/>
          <w:b/>
          <w:bCs/>
          <w:sz w:val="28"/>
          <w:szCs w:val="28"/>
          <w:lang w:val="ro-MD"/>
        </w:rPr>
        <w:t xml:space="preserve">Pentru aprobarea Regulamentului privind modul </w:t>
      </w:r>
      <w:r w:rsidR="00892F36" w:rsidRPr="00906FE9">
        <w:rPr>
          <w:rFonts w:eastAsia="Batang"/>
          <w:b/>
          <w:bCs/>
          <w:sz w:val="28"/>
          <w:szCs w:val="28"/>
          <w:lang w:val="ro-MD"/>
        </w:rPr>
        <w:br/>
        <w:t>de acordare din bugetul de stat a compensațiilor pentru angajații din sectorul public, participanți  în cadrul Programului de stat „Prima casă””</w:t>
      </w:r>
    </w:p>
    <w:p w:rsidR="00FA2084" w:rsidRPr="00906FE9" w:rsidRDefault="00FA2084" w:rsidP="006F1833">
      <w:pPr>
        <w:jc w:val="center"/>
        <w:rPr>
          <w:b/>
          <w:sz w:val="28"/>
          <w:szCs w:val="28"/>
          <w:lang w:val="ro-MD"/>
        </w:rPr>
      </w:pPr>
    </w:p>
    <w:p w:rsidR="003D0D58" w:rsidRPr="00906FE9" w:rsidRDefault="00860391" w:rsidP="00860391">
      <w:pPr>
        <w:pStyle w:val="Default"/>
        <w:rPr>
          <w:color w:val="auto"/>
          <w:lang w:val="ro-MD"/>
        </w:rPr>
      </w:pPr>
      <w:r w:rsidRPr="00906FE9">
        <w:rPr>
          <w:color w:val="auto"/>
          <w:lang w:val="ro-MD"/>
        </w:rPr>
        <w:t xml:space="preserve"> </w:t>
      </w:r>
    </w:p>
    <w:tbl>
      <w:tblPr>
        <w:tblStyle w:val="a5"/>
        <w:tblW w:w="14709" w:type="dxa"/>
        <w:tblLook w:val="04A0" w:firstRow="1" w:lastRow="0" w:firstColumn="1" w:lastColumn="0" w:noHBand="0" w:noVBand="1"/>
      </w:tblPr>
      <w:tblGrid>
        <w:gridCol w:w="3553"/>
        <w:gridCol w:w="5772"/>
        <w:gridCol w:w="5384"/>
      </w:tblGrid>
      <w:tr w:rsidR="003D0D58" w:rsidRPr="00906FE9" w:rsidTr="00686242">
        <w:trPr>
          <w:tblHeader/>
        </w:trPr>
        <w:tc>
          <w:tcPr>
            <w:tcW w:w="2943" w:type="dxa"/>
          </w:tcPr>
          <w:p w:rsidR="007226F3" w:rsidRPr="00906FE9" w:rsidRDefault="007226F3" w:rsidP="003D0D58">
            <w:pPr>
              <w:pStyle w:val="Default"/>
              <w:jc w:val="center"/>
              <w:rPr>
                <w:b/>
                <w:color w:val="auto"/>
                <w:lang w:val="ro-MD"/>
              </w:rPr>
            </w:pPr>
          </w:p>
          <w:p w:rsidR="003D0D58" w:rsidRPr="00906FE9" w:rsidRDefault="00D75E64" w:rsidP="003D0D58">
            <w:pPr>
              <w:pStyle w:val="Default"/>
              <w:jc w:val="center"/>
              <w:rPr>
                <w:b/>
                <w:color w:val="auto"/>
                <w:lang w:val="ro-MD"/>
              </w:rPr>
            </w:pPr>
            <w:r>
              <w:rPr>
                <w:b/>
                <w:color w:val="auto"/>
                <w:lang w:val="ro-MD"/>
              </w:rPr>
              <w:t>Numele, adresa</w:t>
            </w:r>
            <w:bookmarkStart w:id="0" w:name="_GoBack"/>
            <w:bookmarkEnd w:id="0"/>
          </w:p>
          <w:p w:rsidR="007226F3" w:rsidRPr="00906FE9" w:rsidRDefault="007226F3" w:rsidP="003D0D58">
            <w:pPr>
              <w:pStyle w:val="Default"/>
              <w:jc w:val="center"/>
              <w:rPr>
                <w:b/>
                <w:color w:val="auto"/>
                <w:lang w:val="ro-MD"/>
              </w:rPr>
            </w:pPr>
          </w:p>
        </w:tc>
        <w:tc>
          <w:tcPr>
            <w:tcW w:w="6096" w:type="dxa"/>
          </w:tcPr>
          <w:p w:rsidR="007226F3" w:rsidRPr="00906FE9" w:rsidRDefault="007226F3" w:rsidP="003D0D58">
            <w:pPr>
              <w:pStyle w:val="Default"/>
              <w:jc w:val="center"/>
              <w:rPr>
                <w:b/>
                <w:color w:val="auto"/>
                <w:lang w:val="ro-MD"/>
              </w:rPr>
            </w:pPr>
          </w:p>
          <w:p w:rsidR="003D0D58" w:rsidRPr="00906FE9" w:rsidRDefault="003D0D58" w:rsidP="003D0D58">
            <w:pPr>
              <w:pStyle w:val="Default"/>
              <w:jc w:val="center"/>
              <w:rPr>
                <w:b/>
                <w:color w:val="auto"/>
                <w:lang w:val="ro-MD"/>
              </w:rPr>
            </w:pPr>
            <w:r w:rsidRPr="00906FE9">
              <w:rPr>
                <w:b/>
                <w:color w:val="auto"/>
                <w:lang w:val="ro-MD"/>
              </w:rPr>
              <w:t>Conținutul propunerii sau obiecției</w:t>
            </w:r>
          </w:p>
        </w:tc>
        <w:tc>
          <w:tcPr>
            <w:tcW w:w="5670" w:type="dxa"/>
          </w:tcPr>
          <w:p w:rsidR="007226F3" w:rsidRPr="00906FE9" w:rsidRDefault="007226F3" w:rsidP="003D0D58">
            <w:pPr>
              <w:pStyle w:val="Default"/>
              <w:jc w:val="center"/>
              <w:rPr>
                <w:b/>
                <w:color w:val="auto"/>
                <w:lang w:val="ro-MD"/>
              </w:rPr>
            </w:pPr>
          </w:p>
          <w:p w:rsidR="003D0D58" w:rsidRPr="00906FE9" w:rsidRDefault="003D0D58" w:rsidP="003D0D58">
            <w:pPr>
              <w:pStyle w:val="Default"/>
              <w:jc w:val="center"/>
              <w:rPr>
                <w:b/>
                <w:color w:val="auto"/>
                <w:lang w:val="ro-MD"/>
              </w:rPr>
            </w:pPr>
            <w:r w:rsidRPr="00906FE9">
              <w:rPr>
                <w:b/>
                <w:color w:val="auto"/>
                <w:lang w:val="ro-MD"/>
              </w:rPr>
              <w:t>Opinia Ministerului Finanțelor</w:t>
            </w:r>
          </w:p>
        </w:tc>
      </w:tr>
      <w:tr w:rsidR="00007784" w:rsidRPr="000450FD" w:rsidTr="005E463F">
        <w:tc>
          <w:tcPr>
            <w:tcW w:w="2943" w:type="dxa"/>
          </w:tcPr>
          <w:p w:rsidR="00007784" w:rsidRPr="00906FE9" w:rsidRDefault="00007784" w:rsidP="005E463F">
            <w:pPr>
              <w:widowControl w:val="0"/>
              <w:autoSpaceDE w:val="0"/>
              <w:autoSpaceDN w:val="0"/>
              <w:adjustRightInd w:val="0"/>
              <w:jc w:val="both"/>
              <w:rPr>
                <w:rFonts w:eastAsia="SimSun"/>
                <w:b/>
                <w:bCs/>
                <w:lang w:val="ro-MD" w:eastAsia="zh-CN"/>
              </w:rPr>
            </w:pPr>
            <w:r w:rsidRPr="00906FE9">
              <w:rPr>
                <w:rFonts w:eastAsia="SimSun"/>
                <w:b/>
                <w:bCs/>
                <w:lang w:val="ro-MD" w:eastAsia="zh-CN"/>
              </w:rPr>
              <w:t xml:space="preserve">Sergiu Lozan </w:t>
            </w:r>
          </w:p>
          <w:p w:rsidR="00007784" w:rsidRPr="00906FE9" w:rsidRDefault="00007784" w:rsidP="005E463F">
            <w:pPr>
              <w:widowControl w:val="0"/>
              <w:autoSpaceDE w:val="0"/>
              <w:autoSpaceDN w:val="0"/>
              <w:adjustRightInd w:val="0"/>
              <w:jc w:val="both"/>
              <w:rPr>
                <w:rFonts w:eastAsia="SimSun"/>
                <w:bCs/>
                <w:lang w:val="ro-MD" w:eastAsia="zh-CN"/>
              </w:rPr>
            </w:pPr>
            <w:r w:rsidRPr="00906FE9">
              <w:rPr>
                <w:rFonts w:eastAsia="SimSun"/>
                <w:bCs/>
                <w:lang w:val="ro-MD" w:eastAsia="zh-CN"/>
              </w:rPr>
              <w:t>mun. Chişinău bd. Traian 7/1 ap. 45M</w:t>
            </w:r>
          </w:p>
          <w:p w:rsidR="00007784" w:rsidRPr="00906FE9" w:rsidRDefault="00007784" w:rsidP="005E463F">
            <w:pPr>
              <w:pStyle w:val="Default"/>
              <w:rPr>
                <w:b/>
                <w:color w:val="auto"/>
                <w:lang w:val="ro-MD"/>
              </w:rPr>
            </w:pPr>
          </w:p>
        </w:tc>
        <w:tc>
          <w:tcPr>
            <w:tcW w:w="6096" w:type="dxa"/>
          </w:tcPr>
          <w:p w:rsidR="00007784" w:rsidRPr="00906FE9" w:rsidRDefault="00007784" w:rsidP="005E463F">
            <w:pPr>
              <w:jc w:val="both"/>
              <w:rPr>
                <w:bCs/>
                <w:lang w:val="ro-MD" w:eastAsia="ro-RO"/>
              </w:rPr>
            </w:pPr>
            <w:r w:rsidRPr="00906FE9">
              <w:rPr>
                <w:bCs/>
                <w:lang w:val="ro-MD" w:eastAsia="ro-RO"/>
              </w:rPr>
              <w:t>În pct. 2 din proiect noţiunile beneficiar şi solicitant vor avea următorul cuprins:</w:t>
            </w:r>
          </w:p>
          <w:p w:rsidR="00007784" w:rsidRPr="00906FE9" w:rsidRDefault="00007784" w:rsidP="005E463F">
            <w:pPr>
              <w:spacing w:after="120"/>
              <w:ind w:firstLine="851"/>
              <w:contextualSpacing/>
              <w:jc w:val="both"/>
              <w:rPr>
                <w:lang w:val="ro-MD"/>
              </w:rPr>
            </w:pPr>
            <w:r w:rsidRPr="00906FE9">
              <w:rPr>
                <w:i/>
                <w:lang w:val="ro-MD"/>
              </w:rPr>
              <w:t xml:space="preserve">beneficiar </w:t>
            </w:r>
            <w:r w:rsidRPr="00906FE9">
              <w:rPr>
                <w:lang w:val="ro-MD"/>
              </w:rPr>
              <w:t>– orice persoană fizică participantă în Programul de stat „Prima casă” în conformitate cu Legea nr. 293 don 21 decembrie 2017 privind unele măsuri în vederea implementării Programului de stat „Prima casă” (Monitorul Oficial al Republicii Moldova, 2017, nr. 18-26, art. 95), sau</w:t>
            </w:r>
            <w:r w:rsidRPr="00906FE9">
              <w:rPr>
                <w:rFonts w:eastAsia="SimSun"/>
                <w:bCs/>
                <w:lang w:val="ro-MD" w:eastAsia="zh-CN"/>
              </w:rPr>
              <w:t xml:space="preserve"> Programul social al Primăriei Municipiului Chişinău „Prima Casă”, </w:t>
            </w:r>
            <w:r w:rsidRPr="00906FE9">
              <w:rPr>
                <w:lang w:val="ro-MD"/>
              </w:rPr>
              <w:t>este angajatul unei autorități publice/instituții publice și beneficiază de compensație în condițiile stabilite de prezentul Regulament;</w:t>
            </w:r>
          </w:p>
          <w:p w:rsidR="00007784" w:rsidRPr="00906FE9" w:rsidRDefault="00007784" w:rsidP="005E463F">
            <w:pPr>
              <w:spacing w:after="120"/>
              <w:ind w:firstLine="851"/>
              <w:contextualSpacing/>
              <w:jc w:val="both"/>
              <w:rPr>
                <w:lang w:val="ro-MD"/>
              </w:rPr>
            </w:pPr>
            <w:r w:rsidRPr="00906FE9">
              <w:rPr>
                <w:i/>
                <w:lang w:val="ro-MD"/>
              </w:rPr>
              <w:t xml:space="preserve">solicitant – </w:t>
            </w:r>
            <w:r w:rsidRPr="00906FE9">
              <w:rPr>
                <w:lang w:val="ro-MD"/>
              </w:rPr>
              <w:t>orice persoană fizică care dispune de contract de credit în cadrul Programului de stat „Prima casă” şi</w:t>
            </w:r>
            <w:r w:rsidRPr="00906FE9">
              <w:rPr>
                <w:rFonts w:eastAsia="SimSun"/>
                <w:bCs/>
                <w:lang w:val="ro-MD" w:eastAsia="zh-CN"/>
              </w:rPr>
              <w:t xml:space="preserve"> Programul social al Primăriei Municipiului Chişinău „Prima Casă”,</w:t>
            </w:r>
            <w:r w:rsidRPr="00906FE9">
              <w:rPr>
                <w:lang w:val="ro-MD"/>
              </w:rPr>
              <w:t xml:space="preserve"> este angajatul unei autorități publice/instituții publice și depune cerere pentru acordarea compensației;</w:t>
            </w:r>
            <w:r w:rsidRPr="00906FE9">
              <w:rPr>
                <w:i/>
                <w:lang w:val="ro-MD"/>
              </w:rPr>
              <w:t xml:space="preserve">  </w:t>
            </w:r>
          </w:p>
        </w:tc>
        <w:tc>
          <w:tcPr>
            <w:tcW w:w="5670" w:type="dxa"/>
          </w:tcPr>
          <w:p w:rsidR="00007784" w:rsidRPr="00906FE9" w:rsidRDefault="00007784" w:rsidP="005E463F">
            <w:pPr>
              <w:pStyle w:val="Default"/>
              <w:jc w:val="both"/>
              <w:rPr>
                <w:b/>
                <w:color w:val="auto"/>
                <w:lang w:val="ro-MD"/>
              </w:rPr>
            </w:pPr>
            <w:r w:rsidRPr="00906FE9">
              <w:rPr>
                <w:b/>
                <w:color w:val="auto"/>
                <w:lang w:val="ro-MD"/>
              </w:rPr>
              <w:t>Nu se acceptă</w:t>
            </w:r>
          </w:p>
          <w:p w:rsidR="00007784" w:rsidRPr="00906FE9" w:rsidRDefault="00007784" w:rsidP="005E463F">
            <w:pPr>
              <w:pStyle w:val="Default"/>
              <w:jc w:val="both"/>
              <w:rPr>
                <w:color w:val="auto"/>
                <w:lang w:val="ro-MD"/>
              </w:rPr>
            </w:pPr>
            <w:r w:rsidRPr="00906FE9">
              <w:rPr>
                <w:color w:val="auto"/>
                <w:lang w:val="ro-MD"/>
              </w:rPr>
              <w:t>Conceptual, alocarea compensațiilor din bugetul de stat este prevăzută pentru participanții la Programul de stat „Prima casă”, care contactează credite ipotecare și pentru care statul oferă garanții parțial de stat și sunt angajații autorităților/instituțiilor publice.</w:t>
            </w:r>
          </w:p>
          <w:p w:rsidR="00007784" w:rsidRPr="00906FE9" w:rsidRDefault="00007784" w:rsidP="005E463F">
            <w:pPr>
              <w:pStyle w:val="Default"/>
              <w:jc w:val="both"/>
              <w:rPr>
                <w:color w:val="auto"/>
                <w:lang w:val="ro-MD"/>
              </w:rPr>
            </w:pPr>
            <w:r w:rsidRPr="00906FE9">
              <w:rPr>
                <w:color w:val="auto"/>
                <w:lang w:val="ro-MD"/>
              </w:rPr>
              <w:t xml:space="preserve">Asumarea riscurilor ce țin de realizarea programelor lansate țin de autorii și participanții la aceste programe, în măsura prevăzută de aceste.  </w:t>
            </w:r>
          </w:p>
          <w:p w:rsidR="00007784" w:rsidRPr="00906FE9" w:rsidRDefault="00007784" w:rsidP="005E463F">
            <w:pPr>
              <w:pStyle w:val="Default"/>
              <w:jc w:val="both"/>
              <w:rPr>
                <w:color w:val="auto"/>
                <w:lang w:val="ro-MD"/>
              </w:rPr>
            </w:pPr>
            <w:r w:rsidRPr="00906FE9">
              <w:rPr>
                <w:color w:val="auto"/>
                <w:lang w:val="ro-MD"/>
              </w:rPr>
              <w:t>Extinderea prezentelor reglementări și asupra participanților la alte programe sociale de asigurare cu locuințe, inclusiv la  Programul  „Prima casă”, lansat de Primăria mun. Chișinău, ar putea fi examinată ulterior, după o perioadă ce va permite evaluarea reușitei acestei inițiative.</w:t>
            </w:r>
          </w:p>
        </w:tc>
      </w:tr>
      <w:tr w:rsidR="00007784" w:rsidRPr="000450FD" w:rsidTr="003D0D58">
        <w:tc>
          <w:tcPr>
            <w:tcW w:w="2943" w:type="dxa"/>
          </w:tcPr>
          <w:p w:rsidR="00007784" w:rsidRPr="00906FE9" w:rsidRDefault="00007784" w:rsidP="00007784">
            <w:pPr>
              <w:widowControl w:val="0"/>
              <w:autoSpaceDE w:val="0"/>
              <w:autoSpaceDN w:val="0"/>
              <w:adjustRightInd w:val="0"/>
              <w:jc w:val="both"/>
              <w:rPr>
                <w:rFonts w:eastAsia="SimSun"/>
                <w:b/>
                <w:bCs/>
                <w:lang w:val="ro-MD" w:eastAsia="zh-CN"/>
              </w:rPr>
            </w:pPr>
            <w:r w:rsidRPr="00906FE9">
              <w:rPr>
                <w:rFonts w:eastAsia="SimSun"/>
                <w:b/>
                <w:bCs/>
                <w:lang w:val="ro-MD" w:eastAsia="zh-CN"/>
              </w:rPr>
              <w:t>Diana Melenciuc</w:t>
            </w:r>
          </w:p>
          <w:p w:rsidR="00007784" w:rsidRPr="00906FE9" w:rsidRDefault="00007784" w:rsidP="00007784">
            <w:pPr>
              <w:widowControl w:val="0"/>
              <w:autoSpaceDE w:val="0"/>
              <w:autoSpaceDN w:val="0"/>
              <w:adjustRightInd w:val="0"/>
              <w:jc w:val="both"/>
              <w:rPr>
                <w:rFonts w:eastAsia="SimSun"/>
                <w:bCs/>
                <w:lang w:val="ro-MD" w:eastAsia="zh-CN"/>
              </w:rPr>
            </w:pPr>
            <w:r w:rsidRPr="00906FE9">
              <w:rPr>
                <w:rFonts w:eastAsia="SimSun"/>
                <w:bCs/>
                <w:lang w:val="ro-MD" w:eastAsia="zh-CN"/>
              </w:rPr>
              <w:t>jurist, master în drept</w:t>
            </w:r>
          </w:p>
          <w:p w:rsidR="00007784" w:rsidRPr="00906FE9" w:rsidRDefault="00007784" w:rsidP="00860391">
            <w:pPr>
              <w:pStyle w:val="Default"/>
              <w:rPr>
                <w:b/>
                <w:color w:val="auto"/>
                <w:lang w:val="ro-MD"/>
              </w:rPr>
            </w:pPr>
          </w:p>
        </w:tc>
        <w:tc>
          <w:tcPr>
            <w:tcW w:w="6096" w:type="dxa"/>
          </w:tcPr>
          <w:p w:rsidR="0076580F" w:rsidRPr="00906FE9" w:rsidRDefault="0076580F" w:rsidP="0076580F">
            <w:pPr>
              <w:ind w:firstLine="567"/>
              <w:jc w:val="both"/>
              <w:rPr>
                <w:lang w:val="ro-MD"/>
              </w:rPr>
            </w:pPr>
            <w:r w:rsidRPr="00906FE9">
              <w:rPr>
                <w:lang w:val="ro-MD"/>
              </w:rPr>
              <w:t xml:space="preserve">Conținutul pct. 2 din proiectul Hotărîrii de Guvern este în contradicție cu noțiunile de „autoritate publică” și „instituție publică” descrise în pct. 2 din Regulamentul din anexa acesteia. </w:t>
            </w:r>
          </w:p>
          <w:p w:rsidR="0076580F" w:rsidRPr="00906FE9" w:rsidRDefault="0076580F" w:rsidP="0076580F">
            <w:pPr>
              <w:ind w:firstLine="567"/>
              <w:jc w:val="both"/>
              <w:rPr>
                <w:lang w:val="ro-MD"/>
              </w:rPr>
            </w:pPr>
            <w:r w:rsidRPr="00906FE9">
              <w:rPr>
                <w:lang w:val="ro-MD"/>
              </w:rPr>
              <w:lastRenderedPageBreak/>
              <w:t>Conform proiectului Hotărîrii de Guvern instituție publică trebuie să fie finanțată integral din „bugetele componente ale bugetului public național”, iar conform noțiunii date în Regulament, instituția publică este finanțată „integral sau parțial” din bugetul unei autorități publice căreia i se subordonează.</w:t>
            </w:r>
          </w:p>
          <w:p w:rsidR="0076580F" w:rsidRPr="00906FE9" w:rsidRDefault="0076580F" w:rsidP="0076580F">
            <w:pPr>
              <w:ind w:firstLine="567"/>
              <w:jc w:val="both"/>
              <w:rPr>
                <w:lang w:val="ro-MD"/>
              </w:rPr>
            </w:pPr>
            <w:r w:rsidRPr="00906FE9">
              <w:rPr>
                <w:lang w:val="ro-MD"/>
              </w:rPr>
              <w:t xml:space="preserve">Pentru a evita confuziile privind sursa de finanțare a instituțiilor publice, angajații cărora pot beneficia de compensații, </w:t>
            </w:r>
            <w:r w:rsidRPr="00906FE9">
              <w:rPr>
                <w:b/>
                <w:lang w:val="ro-MD"/>
              </w:rPr>
              <w:t>recomand</w:t>
            </w:r>
            <w:r w:rsidRPr="00906FE9">
              <w:rPr>
                <w:lang w:val="ro-MD"/>
              </w:rPr>
              <w:t xml:space="preserve"> uniformizarea noțiunilor utilizate.</w:t>
            </w:r>
          </w:p>
          <w:p w:rsidR="0076580F" w:rsidRPr="00906FE9" w:rsidRDefault="0076580F" w:rsidP="0076580F">
            <w:pPr>
              <w:ind w:firstLine="567"/>
              <w:jc w:val="both"/>
              <w:rPr>
                <w:lang w:val="ro-MD"/>
              </w:rPr>
            </w:pPr>
            <w:r w:rsidRPr="00906FE9">
              <w:rPr>
                <w:lang w:val="ro-MD"/>
              </w:rPr>
              <w:t>De asemenea, atenționez în pct. 2 din proiectul Hotărîrii de Guvern nu sînt menționate autoritățile publice, care însă apar ulterior în textul Regulamentului.</w:t>
            </w:r>
          </w:p>
          <w:p w:rsidR="0076580F" w:rsidRPr="00906FE9" w:rsidRDefault="0076580F" w:rsidP="0076580F">
            <w:pPr>
              <w:ind w:firstLine="567"/>
              <w:jc w:val="both"/>
              <w:rPr>
                <w:lang w:val="ro-MD"/>
              </w:rPr>
            </w:pPr>
            <w:r w:rsidRPr="00906FE9">
              <w:rPr>
                <w:lang w:val="ro-MD"/>
              </w:rPr>
              <w:t xml:space="preserve">Pentru a evita interpretările eronate ce pot apărea în practică, </w:t>
            </w:r>
            <w:r w:rsidRPr="00906FE9">
              <w:rPr>
                <w:b/>
                <w:lang w:val="ro-MD"/>
              </w:rPr>
              <w:t>recomand</w:t>
            </w:r>
            <w:r w:rsidRPr="00906FE9">
              <w:rPr>
                <w:lang w:val="ro-MD"/>
              </w:rPr>
              <w:t xml:space="preserve"> completarea pct. 2 din proiectul Hotărîrii de Guvern cu noțiunea de „autoritatea publică. </w:t>
            </w:r>
          </w:p>
          <w:p w:rsidR="0076580F" w:rsidRPr="00906FE9" w:rsidRDefault="0076580F" w:rsidP="0076580F">
            <w:pPr>
              <w:ind w:firstLine="567"/>
              <w:jc w:val="both"/>
              <w:rPr>
                <w:u w:val="single"/>
                <w:lang w:val="ro-MD"/>
              </w:rPr>
            </w:pPr>
            <w:r w:rsidRPr="00906FE9">
              <w:rPr>
                <w:u w:val="single"/>
                <w:lang w:val="ro-MD"/>
              </w:rPr>
              <w:t>Astfel, prima frază din pct. 2 ar putea avea următorul conținut: „2.</w:t>
            </w:r>
            <w:r w:rsidRPr="00906FE9">
              <w:rPr>
                <w:rFonts w:eastAsia="Batang"/>
                <w:bCs/>
                <w:u w:val="single"/>
                <w:lang w:val="ro-MD"/>
              </w:rPr>
              <w:t xml:space="preserve"> Compensațiile din bugetul de stat în cadrul Programului de stat „Prima casă” pot fi acordate angajaților autorităților și instituțiilor publice care sînt finanțate în modul stabilit de Regulamentul menționat la pct. 1 al prezentei Hotărîri de Guvern.” A doua frază di</w:t>
            </w:r>
            <w:r w:rsidR="00246DDA" w:rsidRPr="00906FE9">
              <w:rPr>
                <w:rFonts w:eastAsia="Batang"/>
                <w:bCs/>
                <w:u w:val="single"/>
                <w:lang w:val="ro-MD"/>
              </w:rPr>
              <w:t>n</w:t>
            </w:r>
            <w:r w:rsidRPr="00906FE9">
              <w:rPr>
                <w:rFonts w:eastAsia="Batang"/>
                <w:bCs/>
                <w:u w:val="single"/>
                <w:lang w:val="ro-MD"/>
              </w:rPr>
              <w:t xml:space="preserve"> pct. 2 va rămîne neschimbată, iar detaliile privind sursa</w:t>
            </w:r>
            <w:r w:rsidR="001130FB" w:rsidRPr="00906FE9">
              <w:rPr>
                <w:rFonts w:eastAsia="Batang"/>
                <w:bCs/>
                <w:u w:val="single"/>
                <w:lang w:val="ro-MD"/>
              </w:rPr>
              <w:t xml:space="preserve"> </w:t>
            </w:r>
            <w:r w:rsidRPr="00906FE9">
              <w:rPr>
                <w:rFonts w:eastAsia="Batang"/>
                <w:bCs/>
                <w:u w:val="single"/>
                <w:lang w:val="ro-MD"/>
              </w:rPr>
              <w:t>de finanțare a autorităților publice și instituțiilor publice se vor regăsi deja în textul Regulamentului, la noțiunile corespunzătoare.</w:t>
            </w:r>
          </w:p>
          <w:p w:rsidR="00007784" w:rsidRPr="00906FE9" w:rsidRDefault="00007784" w:rsidP="008140E9">
            <w:pPr>
              <w:jc w:val="both"/>
              <w:rPr>
                <w:color w:val="000000"/>
                <w:lang w:val="ro-MD"/>
              </w:rPr>
            </w:pPr>
          </w:p>
        </w:tc>
        <w:tc>
          <w:tcPr>
            <w:tcW w:w="5670" w:type="dxa"/>
          </w:tcPr>
          <w:p w:rsidR="00007784" w:rsidRPr="00906FE9" w:rsidRDefault="00021803" w:rsidP="000D7554">
            <w:pPr>
              <w:pStyle w:val="Default"/>
              <w:jc w:val="both"/>
              <w:rPr>
                <w:b/>
                <w:color w:val="auto"/>
                <w:lang w:val="ro-MD"/>
              </w:rPr>
            </w:pPr>
            <w:r w:rsidRPr="00906FE9">
              <w:rPr>
                <w:b/>
                <w:color w:val="auto"/>
                <w:lang w:val="ro-MD"/>
              </w:rPr>
              <w:lastRenderedPageBreak/>
              <w:t>Se acceptă</w:t>
            </w:r>
            <w:r w:rsidR="00246DDA" w:rsidRPr="00906FE9">
              <w:rPr>
                <w:b/>
                <w:color w:val="auto"/>
                <w:lang w:val="ro-MD"/>
              </w:rPr>
              <w:t xml:space="preserve"> parțial</w:t>
            </w:r>
          </w:p>
          <w:p w:rsidR="00021803" w:rsidRPr="00906FE9" w:rsidRDefault="00021803" w:rsidP="00021803">
            <w:pPr>
              <w:pStyle w:val="Default"/>
              <w:jc w:val="both"/>
              <w:rPr>
                <w:color w:val="auto"/>
                <w:lang w:val="ro-MD"/>
              </w:rPr>
            </w:pPr>
            <w:r w:rsidRPr="00906FE9">
              <w:rPr>
                <w:color w:val="auto"/>
                <w:lang w:val="ro-MD"/>
              </w:rPr>
              <w:t>Textul pe parcursul proiectului de hotărîre și a Regulamentului a fost uniformizat, fiind expus „autoritate publică/instituție publică”.</w:t>
            </w:r>
          </w:p>
          <w:p w:rsidR="00021803" w:rsidRPr="00906FE9" w:rsidRDefault="00021803" w:rsidP="00021803">
            <w:pPr>
              <w:pStyle w:val="Default"/>
              <w:jc w:val="both"/>
              <w:rPr>
                <w:color w:val="auto"/>
                <w:lang w:val="ro-MD"/>
              </w:rPr>
            </w:pPr>
            <w:r w:rsidRPr="00906FE9">
              <w:rPr>
                <w:color w:val="auto"/>
                <w:lang w:val="ro-MD"/>
              </w:rPr>
              <w:lastRenderedPageBreak/>
              <w:t>Din punctul 2 din proiectul Regulamentului noțiunile respective au fost excluse.</w:t>
            </w:r>
          </w:p>
        </w:tc>
      </w:tr>
      <w:tr w:rsidR="001130FB" w:rsidRPr="00906FE9" w:rsidTr="003D0D58">
        <w:tc>
          <w:tcPr>
            <w:tcW w:w="2943" w:type="dxa"/>
          </w:tcPr>
          <w:p w:rsidR="001130FB" w:rsidRPr="00906FE9" w:rsidRDefault="001130FB" w:rsidP="00007784">
            <w:pPr>
              <w:widowControl w:val="0"/>
              <w:autoSpaceDE w:val="0"/>
              <w:autoSpaceDN w:val="0"/>
              <w:adjustRightInd w:val="0"/>
              <w:jc w:val="both"/>
              <w:rPr>
                <w:rFonts w:eastAsia="SimSun"/>
                <w:b/>
                <w:bCs/>
                <w:lang w:val="ro-MD" w:eastAsia="zh-CN"/>
              </w:rPr>
            </w:pPr>
          </w:p>
        </w:tc>
        <w:tc>
          <w:tcPr>
            <w:tcW w:w="6096" w:type="dxa"/>
          </w:tcPr>
          <w:p w:rsidR="001130FB" w:rsidRPr="00906FE9" w:rsidRDefault="001130FB" w:rsidP="001130FB">
            <w:pPr>
              <w:ind w:firstLine="567"/>
              <w:jc w:val="both"/>
              <w:rPr>
                <w:rFonts w:eastAsia="Batang"/>
                <w:bCs/>
                <w:lang w:val="ro-MD"/>
              </w:rPr>
            </w:pPr>
            <w:r w:rsidRPr="00906FE9">
              <w:rPr>
                <w:rFonts w:eastAsia="Batang"/>
                <w:bCs/>
                <w:lang w:val="ro-MD"/>
              </w:rPr>
              <w:t xml:space="preserve">În punctul 3 </w:t>
            </w:r>
            <w:r w:rsidR="00A3437A" w:rsidRPr="00906FE9">
              <w:rPr>
                <w:lang w:val="ro-MD"/>
              </w:rPr>
              <w:t xml:space="preserve">din proiectul Hotărîrii de Guvern </w:t>
            </w:r>
            <w:r w:rsidRPr="00906FE9">
              <w:rPr>
                <w:rFonts w:eastAsia="Batang"/>
                <w:bCs/>
                <w:lang w:val="ro-MD"/>
              </w:rPr>
              <w:t>de substituit cuvîntul „mijlocele” cu cuvîntul „mijloacelor”, pentru a asigura un sens logic al frazei.</w:t>
            </w:r>
          </w:p>
          <w:p w:rsidR="001130FB" w:rsidRPr="00906FE9" w:rsidRDefault="001130FB" w:rsidP="00813ECA">
            <w:pPr>
              <w:ind w:firstLine="567"/>
              <w:jc w:val="both"/>
              <w:rPr>
                <w:lang w:val="ro-MD"/>
              </w:rPr>
            </w:pPr>
            <w:r w:rsidRPr="00906FE9">
              <w:rPr>
                <w:rFonts w:eastAsiaTheme="minorEastAsia"/>
                <w:lang w:val="ro-MD"/>
              </w:rPr>
              <w:lastRenderedPageBreak/>
              <w:t>Cuvintele „</w:t>
            </w:r>
            <w:r w:rsidRPr="00906FE9">
              <w:rPr>
                <w:rFonts w:eastAsia="Batang"/>
                <w:bCs/>
                <w:lang w:val="ro-MD"/>
              </w:rPr>
              <w:t xml:space="preserve"> prezentului Regulament” de substituit fie cu cuvintele „prezentei Hotărîri de Guvern”, fie cu cuvintele „Regulamentului menționat la pct. 1”.</w:t>
            </w:r>
          </w:p>
        </w:tc>
        <w:tc>
          <w:tcPr>
            <w:tcW w:w="5670" w:type="dxa"/>
          </w:tcPr>
          <w:p w:rsidR="001130FB" w:rsidRPr="00906FE9" w:rsidRDefault="00DF3A70" w:rsidP="000D7554">
            <w:pPr>
              <w:pStyle w:val="Default"/>
              <w:jc w:val="both"/>
              <w:rPr>
                <w:b/>
                <w:color w:val="auto"/>
                <w:lang w:val="ro-MD"/>
              </w:rPr>
            </w:pPr>
            <w:r w:rsidRPr="00906FE9">
              <w:rPr>
                <w:b/>
                <w:color w:val="auto"/>
                <w:lang w:val="ro-MD"/>
              </w:rPr>
              <w:lastRenderedPageBreak/>
              <w:t>Se acceptă</w:t>
            </w:r>
          </w:p>
          <w:p w:rsidR="00DF3A70" w:rsidRPr="00906FE9" w:rsidRDefault="00DF3A70" w:rsidP="000D7554">
            <w:pPr>
              <w:pStyle w:val="Default"/>
              <w:jc w:val="both"/>
              <w:rPr>
                <w:b/>
                <w:color w:val="auto"/>
                <w:lang w:val="ro-MD"/>
              </w:rPr>
            </w:pPr>
          </w:p>
        </w:tc>
      </w:tr>
      <w:tr w:rsidR="001130FB" w:rsidRPr="00906FE9" w:rsidTr="003D0D58">
        <w:tc>
          <w:tcPr>
            <w:tcW w:w="2943" w:type="dxa"/>
          </w:tcPr>
          <w:p w:rsidR="001130FB" w:rsidRPr="00906FE9" w:rsidRDefault="001130FB" w:rsidP="00007784">
            <w:pPr>
              <w:widowControl w:val="0"/>
              <w:autoSpaceDE w:val="0"/>
              <w:autoSpaceDN w:val="0"/>
              <w:adjustRightInd w:val="0"/>
              <w:jc w:val="both"/>
              <w:rPr>
                <w:rFonts w:eastAsia="SimSun"/>
                <w:b/>
                <w:bCs/>
                <w:lang w:val="ro-MD" w:eastAsia="zh-CN"/>
              </w:rPr>
            </w:pPr>
          </w:p>
        </w:tc>
        <w:tc>
          <w:tcPr>
            <w:tcW w:w="6096" w:type="dxa"/>
          </w:tcPr>
          <w:p w:rsidR="00942F28" w:rsidRPr="00906FE9" w:rsidRDefault="00942F28" w:rsidP="00942F28">
            <w:pPr>
              <w:ind w:firstLine="567"/>
              <w:jc w:val="both"/>
              <w:rPr>
                <w:lang w:val="ro-MD"/>
              </w:rPr>
            </w:pPr>
            <w:r w:rsidRPr="00906FE9">
              <w:rPr>
                <w:lang w:val="ro-MD"/>
              </w:rPr>
              <w:t>La punctul 2 din Regulament:</w:t>
            </w:r>
          </w:p>
          <w:p w:rsidR="00942F28" w:rsidRPr="00906FE9" w:rsidRDefault="00942F28" w:rsidP="00942F28">
            <w:pPr>
              <w:ind w:firstLine="567"/>
              <w:jc w:val="both"/>
              <w:rPr>
                <w:color w:val="000000"/>
                <w:lang w:val="ro-MD"/>
              </w:rPr>
            </w:pPr>
            <w:r w:rsidRPr="00906FE9">
              <w:rPr>
                <w:lang w:val="ro-MD"/>
              </w:rPr>
              <w:t>Noțiunea de angajator nu corespunde noțiunii date de art. 1 din Codul  muncii. Conform articolului menționat,</w:t>
            </w:r>
            <w:r w:rsidR="00904D29" w:rsidRPr="00906FE9">
              <w:rPr>
                <w:lang w:val="ro-MD"/>
              </w:rPr>
              <w:t xml:space="preserve"> </w:t>
            </w:r>
            <w:r w:rsidRPr="00906FE9">
              <w:rPr>
                <w:lang w:val="ro-MD"/>
              </w:rPr>
              <w:t>angajatorul este „</w:t>
            </w:r>
            <w:r w:rsidRPr="00906FE9">
              <w:rPr>
                <w:i/>
                <w:color w:val="000000"/>
                <w:lang w:val="ro-MD"/>
              </w:rPr>
              <w:t xml:space="preserve">persoana juridică (unitate) sau persoana fizică care angajează </w:t>
            </w:r>
            <w:r w:rsidR="00904D29" w:rsidRPr="00906FE9">
              <w:rPr>
                <w:i/>
                <w:color w:val="000000"/>
                <w:lang w:val="ro-MD"/>
              </w:rPr>
              <w:t>salariați</w:t>
            </w:r>
            <w:r w:rsidRPr="00906FE9">
              <w:rPr>
                <w:i/>
                <w:color w:val="000000"/>
                <w:lang w:val="ro-MD"/>
              </w:rPr>
              <w:t xml:space="preserve"> </w:t>
            </w:r>
            <w:r w:rsidRPr="00906FE9">
              <w:rPr>
                <w:b/>
                <w:i/>
                <w:color w:val="000000"/>
                <w:lang w:val="ro-MD"/>
              </w:rPr>
              <w:t>în bază de contract individual de</w:t>
            </w:r>
            <w:r w:rsidRPr="00906FE9">
              <w:rPr>
                <w:i/>
                <w:color w:val="000000"/>
                <w:lang w:val="ro-MD"/>
              </w:rPr>
              <w:t xml:space="preserve"> </w:t>
            </w:r>
            <w:r w:rsidRPr="00906FE9">
              <w:rPr>
                <w:b/>
                <w:i/>
                <w:color w:val="000000"/>
                <w:lang w:val="ro-MD"/>
              </w:rPr>
              <w:t>muncă</w:t>
            </w:r>
            <w:r w:rsidRPr="00906FE9">
              <w:rPr>
                <w:i/>
                <w:color w:val="000000"/>
                <w:lang w:val="ro-MD"/>
              </w:rPr>
              <w:t xml:space="preserve"> încheiat conform prevederilor prezentului cod</w:t>
            </w:r>
            <w:r w:rsidRPr="00906FE9">
              <w:rPr>
                <w:color w:val="000000"/>
                <w:lang w:val="ro-MD"/>
              </w:rPr>
              <w:t xml:space="preserve">”. Avînd în vedere faptul că prin Hotărîre de Guvern propusă spre consultare publică se intenționează susținerea angajaților autorităților și instituțiilor publice, aici nu putem face referire la angajatorii persoane fizice. </w:t>
            </w:r>
          </w:p>
          <w:p w:rsidR="00942F28" w:rsidRPr="00906FE9" w:rsidRDefault="00942F28" w:rsidP="00942F28">
            <w:pPr>
              <w:ind w:firstLine="567"/>
              <w:jc w:val="both"/>
              <w:rPr>
                <w:i/>
                <w:color w:val="000000"/>
                <w:lang w:val="ro-MD"/>
              </w:rPr>
            </w:pPr>
            <w:r w:rsidRPr="00906FE9">
              <w:rPr>
                <w:color w:val="000000"/>
                <w:lang w:val="ro-MD"/>
              </w:rPr>
              <w:t xml:space="preserve">Totuși, formulînd noțiunea de „angajator” trebuie să ținem cont de faptul că </w:t>
            </w:r>
            <w:r w:rsidRPr="00906FE9">
              <w:rPr>
                <w:color w:val="000000"/>
                <w:u w:val="single"/>
                <w:lang w:val="ro-MD"/>
              </w:rPr>
              <w:t>raporturile de muncă apar în baza contractului individual de muncă</w:t>
            </w:r>
            <w:r w:rsidRPr="00906FE9">
              <w:rPr>
                <w:color w:val="000000"/>
                <w:lang w:val="ro-MD"/>
              </w:rPr>
              <w:t xml:space="preserve"> și nu în baza celui colectiv de muncă. De asemenea, trebuie să ținem cont de faptul că conform art. 30 alin. (1) din Legea nr. 158 din 4 iulie 2008 cu privire la funcția public și statutul funcționarului public, raporturile de serviciu ale funcționarilor publici „</w:t>
            </w:r>
            <w:r w:rsidRPr="00906FE9">
              <w:rPr>
                <w:i/>
                <w:color w:val="000000"/>
                <w:lang w:val="ro-MD"/>
              </w:rPr>
              <w:t xml:space="preserve">apar în baza </w:t>
            </w:r>
            <w:r w:rsidRPr="00906FE9">
              <w:rPr>
                <w:i/>
                <w:color w:val="000000"/>
                <w:u w:val="single"/>
                <w:lang w:val="ro-MD"/>
              </w:rPr>
              <w:t xml:space="preserve">actului administrativ de numire în </w:t>
            </w:r>
            <w:r w:rsidR="00904D29" w:rsidRPr="00906FE9">
              <w:rPr>
                <w:i/>
                <w:color w:val="000000"/>
                <w:u w:val="single"/>
                <w:lang w:val="ro-MD"/>
              </w:rPr>
              <w:t>funcția</w:t>
            </w:r>
            <w:r w:rsidRPr="00906FE9">
              <w:rPr>
                <w:i/>
                <w:color w:val="000000"/>
                <w:u w:val="single"/>
                <w:lang w:val="ro-MD"/>
              </w:rPr>
              <w:t xml:space="preserve"> publică</w:t>
            </w:r>
            <w:r w:rsidRPr="00906FE9">
              <w:rPr>
                <w:i/>
                <w:color w:val="000000"/>
                <w:lang w:val="ro-MD"/>
              </w:rPr>
              <w:t xml:space="preserve">, emis în </w:t>
            </w:r>
            <w:r w:rsidR="00904D29" w:rsidRPr="00906FE9">
              <w:rPr>
                <w:i/>
                <w:color w:val="000000"/>
                <w:lang w:val="ro-MD"/>
              </w:rPr>
              <w:t>condițiile</w:t>
            </w:r>
            <w:r w:rsidRPr="00906FE9">
              <w:rPr>
                <w:i/>
                <w:color w:val="000000"/>
                <w:lang w:val="ro-MD"/>
              </w:rPr>
              <w:t xml:space="preserve"> prezentei legi”.</w:t>
            </w:r>
          </w:p>
          <w:p w:rsidR="00942F28" w:rsidRPr="00906FE9" w:rsidRDefault="00942F28" w:rsidP="00942F28">
            <w:pPr>
              <w:ind w:firstLine="567"/>
              <w:jc w:val="both"/>
              <w:rPr>
                <w:color w:val="000000"/>
                <w:lang w:val="ro-MD"/>
              </w:rPr>
            </w:pPr>
            <w:r w:rsidRPr="00906FE9">
              <w:rPr>
                <w:color w:val="000000"/>
                <w:lang w:val="ro-MD"/>
              </w:rPr>
              <w:t xml:space="preserve">În acest context, noțiunea de angajator nu trebuie să se refere doar la persoana care este conducătorul „la zi” al instituției publice. De asemenea, aici trebuie menționate și autoritățile publice. </w:t>
            </w:r>
          </w:p>
          <w:p w:rsidR="00942F28" w:rsidRPr="00906FE9" w:rsidRDefault="00942F28" w:rsidP="00942F28">
            <w:pPr>
              <w:ind w:firstLine="567"/>
              <w:jc w:val="both"/>
              <w:rPr>
                <w:color w:val="000000"/>
                <w:u w:val="single"/>
                <w:lang w:val="ro-MD"/>
              </w:rPr>
            </w:pPr>
            <w:r w:rsidRPr="00906FE9">
              <w:rPr>
                <w:color w:val="000000"/>
                <w:u w:val="single"/>
                <w:lang w:val="ro-MD"/>
              </w:rPr>
              <w:t>Astfel, propun următoarea redacție pentru noțiunea de angajator: „</w:t>
            </w:r>
            <w:r w:rsidRPr="00906FE9">
              <w:rPr>
                <w:i/>
                <w:color w:val="000000"/>
                <w:u w:val="single"/>
                <w:lang w:val="ro-MD"/>
              </w:rPr>
              <w:t xml:space="preserve">angajator – autoritatea publică sau </w:t>
            </w:r>
            <w:r w:rsidRPr="00906FE9">
              <w:rPr>
                <w:i/>
                <w:color w:val="000000"/>
                <w:u w:val="single"/>
                <w:lang w:val="ro-MD"/>
              </w:rPr>
              <w:lastRenderedPageBreak/>
              <w:t>instituția publică cu care beneficiarul programului de stat „Prima casă” are raporturi de serviciu.”</w:t>
            </w:r>
          </w:p>
          <w:p w:rsidR="001130FB" w:rsidRPr="00906FE9" w:rsidRDefault="001130FB" w:rsidP="001130FB">
            <w:pPr>
              <w:ind w:firstLine="567"/>
              <w:jc w:val="both"/>
              <w:rPr>
                <w:rFonts w:eastAsia="Batang"/>
                <w:bCs/>
                <w:lang w:val="ro-MD"/>
              </w:rPr>
            </w:pPr>
          </w:p>
        </w:tc>
        <w:tc>
          <w:tcPr>
            <w:tcW w:w="5670" w:type="dxa"/>
          </w:tcPr>
          <w:p w:rsidR="001B343D" w:rsidRPr="00906FE9" w:rsidRDefault="001B343D" w:rsidP="001B343D">
            <w:pPr>
              <w:pStyle w:val="Default"/>
              <w:jc w:val="both"/>
              <w:rPr>
                <w:b/>
                <w:color w:val="auto"/>
                <w:lang w:val="ro-MD"/>
              </w:rPr>
            </w:pPr>
            <w:r w:rsidRPr="00906FE9">
              <w:rPr>
                <w:b/>
                <w:color w:val="auto"/>
                <w:lang w:val="ro-MD"/>
              </w:rPr>
              <w:lastRenderedPageBreak/>
              <w:t>Se acceptă</w:t>
            </w:r>
          </w:p>
          <w:p w:rsidR="001130FB" w:rsidRPr="00906FE9" w:rsidRDefault="001130FB" w:rsidP="000D7554">
            <w:pPr>
              <w:pStyle w:val="Default"/>
              <w:jc w:val="both"/>
              <w:rPr>
                <w:b/>
                <w:color w:val="auto"/>
                <w:lang w:val="ro-MD"/>
              </w:rPr>
            </w:pPr>
          </w:p>
        </w:tc>
      </w:tr>
      <w:tr w:rsidR="00942F28" w:rsidRPr="000450FD" w:rsidTr="003D0D58">
        <w:tc>
          <w:tcPr>
            <w:tcW w:w="2943" w:type="dxa"/>
          </w:tcPr>
          <w:p w:rsidR="00942F28" w:rsidRPr="00906FE9" w:rsidRDefault="00942F28" w:rsidP="00007784">
            <w:pPr>
              <w:widowControl w:val="0"/>
              <w:autoSpaceDE w:val="0"/>
              <w:autoSpaceDN w:val="0"/>
              <w:adjustRightInd w:val="0"/>
              <w:jc w:val="both"/>
              <w:rPr>
                <w:rFonts w:eastAsia="SimSun"/>
                <w:b/>
                <w:bCs/>
                <w:lang w:val="ro-MD" w:eastAsia="zh-CN"/>
              </w:rPr>
            </w:pPr>
          </w:p>
        </w:tc>
        <w:tc>
          <w:tcPr>
            <w:tcW w:w="6096" w:type="dxa"/>
          </w:tcPr>
          <w:p w:rsidR="005B1CF4" w:rsidRPr="00906FE9" w:rsidRDefault="005B1CF4" w:rsidP="005B1CF4">
            <w:pPr>
              <w:ind w:firstLine="567"/>
              <w:jc w:val="both"/>
              <w:rPr>
                <w:lang w:val="ro-MD"/>
              </w:rPr>
            </w:pPr>
            <w:r w:rsidRPr="00906FE9">
              <w:rPr>
                <w:lang w:val="ro-MD"/>
              </w:rPr>
              <w:t>La punctele 4 și 5 din Regulament:</w:t>
            </w:r>
          </w:p>
          <w:p w:rsidR="0011604A" w:rsidRPr="00906FE9" w:rsidRDefault="0011604A" w:rsidP="0011604A">
            <w:pPr>
              <w:ind w:firstLine="567"/>
              <w:jc w:val="both"/>
              <w:rPr>
                <w:rFonts w:eastAsiaTheme="minorEastAsia"/>
                <w:u w:val="single"/>
                <w:lang w:val="ro-MD"/>
              </w:rPr>
            </w:pPr>
            <w:r w:rsidRPr="00906FE9">
              <w:rPr>
                <w:rFonts w:eastAsiaTheme="minorEastAsia"/>
                <w:u w:val="single"/>
                <w:lang w:val="ro-MD"/>
              </w:rPr>
              <w:t>Propun următoarea redacție pentru pct. 4 și 5 din Regulament:</w:t>
            </w:r>
          </w:p>
          <w:p w:rsidR="0011604A" w:rsidRPr="00906FE9" w:rsidRDefault="0011604A" w:rsidP="0011604A">
            <w:pPr>
              <w:ind w:firstLine="567"/>
              <w:jc w:val="both"/>
              <w:rPr>
                <w:rFonts w:eastAsia="Batang"/>
                <w:bCs/>
                <w:i/>
                <w:u w:val="single"/>
                <w:lang w:val="ro-MD"/>
              </w:rPr>
            </w:pPr>
            <w:r w:rsidRPr="00906FE9">
              <w:rPr>
                <w:rFonts w:eastAsiaTheme="minorEastAsia"/>
                <w:i/>
                <w:u w:val="single"/>
                <w:lang w:val="ro-MD"/>
              </w:rPr>
              <w:t xml:space="preserve">„4. </w:t>
            </w:r>
            <w:r w:rsidRPr="00906FE9">
              <w:rPr>
                <w:rFonts w:eastAsia="Batang"/>
                <w:bCs/>
                <w:i/>
                <w:u w:val="single"/>
                <w:lang w:val="ro-MD"/>
              </w:rPr>
              <w:t>Costul locuinței pentru care pot fi acordate compensații din buget nu poate depăși plafonul maxim al prețului de achiziție a locuinței, stabilit de Programul de stat „Prima casă”.</w:t>
            </w:r>
          </w:p>
          <w:p w:rsidR="0011604A" w:rsidRPr="00906FE9" w:rsidRDefault="0011604A" w:rsidP="0011604A">
            <w:pPr>
              <w:ind w:firstLine="567"/>
              <w:jc w:val="both"/>
              <w:rPr>
                <w:rFonts w:eastAsia="Batang"/>
                <w:bCs/>
                <w:i/>
                <w:u w:val="single"/>
                <w:lang w:val="ro-MD"/>
              </w:rPr>
            </w:pPr>
            <w:r w:rsidRPr="00906FE9">
              <w:rPr>
                <w:rFonts w:eastAsia="Batang"/>
                <w:bCs/>
                <w:i/>
                <w:u w:val="single"/>
                <w:lang w:val="ro-MD"/>
              </w:rPr>
              <w:t>5. Volumul compensației acordate din bugetul de stat unui beneficiar se calculează în mărime de:</w:t>
            </w:r>
          </w:p>
          <w:p w:rsidR="0011604A" w:rsidRPr="00906FE9" w:rsidRDefault="0011604A" w:rsidP="0011604A">
            <w:pPr>
              <w:ind w:firstLine="567"/>
              <w:jc w:val="both"/>
              <w:rPr>
                <w:rFonts w:eastAsia="Batang"/>
                <w:bCs/>
                <w:i/>
                <w:u w:val="single"/>
                <w:lang w:val="ro-MD"/>
              </w:rPr>
            </w:pPr>
            <w:r w:rsidRPr="00906FE9">
              <w:rPr>
                <w:rFonts w:eastAsia="Batang"/>
                <w:bCs/>
                <w:i/>
                <w:u w:val="single"/>
                <w:lang w:val="ro-MD"/>
              </w:rPr>
              <w:t>a) 50 % din suma creditului ipotecar (suma principală) prevăzută în contractul de credit, dacă costul locuinței este de pînă la 500 (cinci sute) mii lei moldovenești;</w:t>
            </w:r>
          </w:p>
          <w:p w:rsidR="0011604A" w:rsidRPr="00906FE9" w:rsidRDefault="0011604A" w:rsidP="0011604A">
            <w:pPr>
              <w:ind w:firstLine="567"/>
              <w:jc w:val="both"/>
              <w:rPr>
                <w:rFonts w:eastAsiaTheme="minorEastAsia"/>
                <w:i/>
                <w:u w:val="single"/>
                <w:lang w:val="ro-MD"/>
              </w:rPr>
            </w:pPr>
            <w:r w:rsidRPr="00906FE9">
              <w:rPr>
                <w:rFonts w:eastAsia="Batang"/>
                <w:bCs/>
                <w:i/>
                <w:u w:val="single"/>
                <w:lang w:val="ro-MD"/>
              </w:rPr>
              <w:t xml:space="preserve">b) 25 % din suma creditului ipotecar (suma principală) prevăzută în contractul de credit, dacă costul locuinței este </w:t>
            </w:r>
            <w:r w:rsidRPr="00906FE9">
              <w:rPr>
                <w:rFonts w:eastAsiaTheme="minorEastAsia"/>
                <w:i/>
                <w:u w:val="single"/>
                <w:lang w:val="ro-MD"/>
              </w:rPr>
              <w:t>de la 500 (cinci sute) mii lei pînă la 1 mln (un milion) lei moldovenești.”</w:t>
            </w:r>
          </w:p>
          <w:p w:rsidR="0011604A" w:rsidRPr="00906FE9" w:rsidRDefault="0011604A" w:rsidP="0011604A">
            <w:pPr>
              <w:ind w:firstLine="567"/>
              <w:jc w:val="both"/>
              <w:rPr>
                <w:rFonts w:eastAsiaTheme="minorEastAsia"/>
                <w:lang w:val="ro-MD"/>
              </w:rPr>
            </w:pPr>
            <w:r w:rsidRPr="00906FE9">
              <w:rPr>
                <w:rFonts w:eastAsiaTheme="minorEastAsia"/>
                <w:lang w:val="ro-MD"/>
              </w:rPr>
              <w:t>În cazul acceptării acestei propuneri, pct. 7 din Regulament va trebui completat cu încă o formulă, pentru litera b) de la pct. 5: C = (Cr * 25%)/L.</w:t>
            </w:r>
          </w:p>
          <w:p w:rsidR="0011604A" w:rsidRPr="00906FE9" w:rsidRDefault="0011604A" w:rsidP="0011604A">
            <w:pPr>
              <w:ind w:firstLine="567"/>
              <w:jc w:val="both"/>
              <w:rPr>
                <w:rFonts w:eastAsiaTheme="minorEastAsia"/>
                <w:lang w:val="ro-MD"/>
              </w:rPr>
            </w:pPr>
          </w:p>
          <w:p w:rsidR="0011604A" w:rsidRPr="00906FE9" w:rsidRDefault="0011604A" w:rsidP="0011604A">
            <w:pPr>
              <w:shd w:val="clear" w:color="auto" w:fill="D9D9D9" w:themeFill="background1" w:themeFillShade="D9"/>
              <w:spacing w:before="120" w:after="120"/>
              <w:ind w:firstLine="709"/>
              <w:jc w:val="both"/>
              <w:rPr>
                <w:rFonts w:eastAsia="Batang"/>
                <w:bCs/>
                <w:lang w:val="ro-MD"/>
              </w:rPr>
            </w:pPr>
            <w:r w:rsidRPr="00906FE9">
              <w:rPr>
                <w:rFonts w:eastAsia="Batang"/>
                <w:bCs/>
                <w:lang w:val="ro-MD"/>
              </w:rPr>
              <w:t>5. „7. Compensația lunară se calculează după următoarea formulă:</w:t>
            </w:r>
          </w:p>
          <w:p w:rsidR="0011604A" w:rsidRPr="00906FE9" w:rsidRDefault="0011604A" w:rsidP="0011604A">
            <w:pPr>
              <w:shd w:val="clear" w:color="auto" w:fill="D9D9D9" w:themeFill="background1" w:themeFillShade="D9"/>
              <w:spacing w:before="120" w:after="120" w:line="276" w:lineRule="auto"/>
              <w:ind w:firstLine="709"/>
              <w:contextualSpacing/>
              <w:jc w:val="center"/>
              <w:rPr>
                <w:rFonts w:eastAsia="Batang"/>
                <w:bCs/>
                <w:i/>
                <w:lang w:val="ro-MD"/>
              </w:rPr>
            </w:pPr>
            <w:r w:rsidRPr="00906FE9">
              <w:rPr>
                <w:rFonts w:eastAsia="Batang"/>
                <w:bCs/>
                <w:i/>
                <w:lang w:val="ro-MD"/>
              </w:rPr>
              <w:t>C = (Cr * 50 %) / L,</w:t>
            </w:r>
          </w:p>
          <w:p w:rsidR="0011604A" w:rsidRPr="00906FE9" w:rsidRDefault="0011604A" w:rsidP="0011604A">
            <w:pPr>
              <w:shd w:val="clear" w:color="auto" w:fill="D9D9D9" w:themeFill="background1" w:themeFillShade="D9"/>
              <w:spacing w:before="120" w:after="120" w:line="276" w:lineRule="auto"/>
              <w:ind w:firstLine="709"/>
              <w:contextualSpacing/>
              <w:rPr>
                <w:rFonts w:eastAsia="Batang"/>
                <w:bCs/>
                <w:lang w:val="ro-MD"/>
              </w:rPr>
            </w:pPr>
            <w:r w:rsidRPr="00906FE9">
              <w:rPr>
                <w:rFonts w:eastAsia="Batang"/>
                <w:bCs/>
                <w:lang w:val="ro-MD"/>
              </w:rPr>
              <w:t>unde:</w:t>
            </w:r>
          </w:p>
          <w:p w:rsidR="0011604A" w:rsidRPr="00906FE9" w:rsidRDefault="0011604A" w:rsidP="0011604A">
            <w:pPr>
              <w:shd w:val="clear" w:color="auto" w:fill="D9D9D9" w:themeFill="background1" w:themeFillShade="D9"/>
              <w:spacing w:before="120" w:after="120" w:line="276" w:lineRule="auto"/>
              <w:ind w:firstLine="709"/>
              <w:contextualSpacing/>
              <w:rPr>
                <w:rFonts w:eastAsia="Batang"/>
                <w:bCs/>
                <w:lang w:val="ro-MD"/>
              </w:rPr>
            </w:pPr>
            <w:r w:rsidRPr="00906FE9">
              <w:rPr>
                <w:rFonts w:eastAsia="Batang"/>
                <w:bCs/>
                <w:i/>
                <w:lang w:val="ro-MD"/>
              </w:rPr>
              <w:lastRenderedPageBreak/>
              <w:t>C</w:t>
            </w:r>
            <w:r w:rsidRPr="00906FE9">
              <w:rPr>
                <w:rFonts w:eastAsia="Batang"/>
                <w:bCs/>
                <w:lang w:val="ro-MD"/>
              </w:rPr>
              <w:t xml:space="preserve"> – compensația lunară;</w:t>
            </w:r>
          </w:p>
          <w:p w:rsidR="0011604A" w:rsidRPr="00906FE9" w:rsidRDefault="0011604A" w:rsidP="0011604A">
            <w:pPr>
              <w:shd w:val="clear" w:color="auto" w:fill="D9D9D9" w:themeFill="background1" w:themeFillShade="D9"/>
              <w:spacing w:before="120" w:after="120" w:line="276" w:lineRule="auto"/>
              <w:ind w:firstLine="709"/>
              <w:contextualSpacing/>
              <w:rPr>
                <w:rFonts w:eastAsia="Batang"/>
                <w:bCs/>
                <w:lang w:val="ro-MD"/>
              </w:rPr>
            </w:pPr>
            <w:r w:rsidRPr="00906FE9">
              <w:rPr>
                <w:rFonts w:eastAsia="Batang"/>
                <w:bCs/>
                <w:i/>
                <w:lang w:val="ro-MD"/>
              </w:rPr>
              <w:t>Cr</w:t>
            </w:r>
            <w:r w:rsidRPr="00906FE9">
              <w:rPr>
                <w:rFonts w:eastAsia="Batang"/>
                <w:bCs/>
                <w:lang w:val="ro-MD"/>
              </w:rPr>
              <w:t xml:space="preserve"> – valoarea creditului ipotecar (suma principală), care nu include dobînzile aferente, comisionul de garantare și alte plăți bancare;</w:t>
            </w:r>
          </w:p>
          <w:p w:rsidR="0011604A" w:rsidRPr="00906FE9" w:rsidRDefault="0011604A" w:rsidP="0011604A">
            <w:pPr>
              <w:shd w:val="clear" w:color="auto" w:fill="D9D9D9" w:themeFill="background1" w:themeFillShade="D9"/>
              <w:spacing w:before="120" w:after="120" w:line="276" w:lineRule="auto"/>
              <w:ind w:firstLine="709"/>
              <w:contextualSpacing/>
              <w:rPr>
                <w:rFonts w:eastAsia="Batang"/>
                <w:bCs/>
                <w:lang w:val="ro-MD"/>
              </w:rPr>
            </w:pPr>
            <w:r w:rsidRPr="00906FE9">
              <w:rPr>
                <w:rFonts w:eastAsia="Batang"/>
                <w:bCs/>
                <w:i/>
                <w:lang w:val="ro-MD"/>
              </w:rPr>
              <w:t>L</w:t>
            </w:r>
            <w:r w:rsidRPr="00906FE9">
              <w:rPr>
                <w:rFonts w:eastAsia="Batang"/>
                <w:bCs/>
                <w:lang w:val="ro-MD"/>
              </w:rPr>
              <w:t xml:space="preserve"> – numărul de luni (300 luni) echivalente a 25 ani calendaristici. ”</w:t>
            </w:r>
          </w:p>
          <w:p w:rsidR="0011604A" w:rsidRPr="00906FE9" w:rsidRDefault="0011604A" w:rsidP="0011604A">
            <w:pPr>
              <w:ind w:firstLine="567"/>
              <w:jc w:val="both"/>
              <w:rPr>
                <w:rFonts w:eastAsiaTheme="minorEastAsia"/>
                <w:lang w:val="ro-MD"/>
              </w:rPr>
            </w:pPr>
            <w:r w:rsidRPr="00906FE9">
              <w:rPr>
                <w:rFonts w:eastAsiaTheme="minorEastAsia"/>
                <w:lang w:val="ro-MD"/>
              </w:rPr>
              <w:t>La această formulă propun redactarea unității „L” după cum urmează:</w:t>
            </w:r>
          </w:p>
          <w:p w:rsidR="0011604A" w:rsidRPr="00906FE9" w:rsidRDefault="0011604A" w:rsidP="0011604A">
            <w:pPr>
              <w:ind w:firstLine="567"/>
              <w:jc w:val="both"/>
              <w:rPr>
                <w:rFonts w:eastAsiaTheme="minorEastAsia"/>
                <w:i/>
                <w:u w:val="single"/>
                <w:lang w:val="ro-MD"/>
              </w:rPr>
            </w:pPr>
            <w:r w:rsidRPr="00906FE9">
              <w:rPr>
                <w:rFonts w:eastAsiaTheme="minorEastAsia"/>
                <w:i/>
                <w:u w:val="single"/>
                <w:lang w:val="ro-MD"/>
              </w:rPr>
              <w:t>„L – numărul de luni, echivalente anilor calendaristici, pentru care a fost încheiat contractual de credit.”</w:t>
            </w:r>
          </w:p>
          <w:p w:rsidR="00942F28" w:rsidRPr="00906FE9" w:rsidRDefault="0011604A" w:rsidP="0011604A">
            <w:pPr>
              <w:ind w:firstLine="567"/>
              <w:jc w:val="both"/>
              <w:rPr>
                <w:lang w:val="ro-MD"/>
              </w:rPr>
            </w:pPr>
            <w:r w:rsidRPr="00906FE9">
              <w:rPr>
                <w:rFonts w:eastAsiaTheme="minorEastAsia"/>
                <w:lang w:val="ro-MD"/>
              </w:rPr>
              <w:t>Propunerea rezultă din faptul că nu este binevenit de a obliga beneficiarul să încheie contractul de credit pentru perioada maximă a Programului. Din actuala redacție a pct. 7 rezultă că un contract încheiat pentru 20 sau 23 de ani nu va putea fi eligibil pentru acordarea compensației.</w:t>
            </w:r>
          </w:p>
        </w:tc>
        <w:tc>
          <w:tcPr>
            <w:tcW w:w="5670" w:type="dxa"/>
          </w:tcPr>
          <w:p w:rsidR="00942F28" w:rsidRPr="00906FE9" w:rsidRDefault="00C61C64" w:rsidP="000D7554">
            <w:pPr>
              <w:pStyle w:val="Default"/>
              <w:jc w:val="both"/>
              <w:rPr>
                <w:b/>
                <w:color w:val="auto"/>
                <w:lang w:val="ro-MD"/>
              </w:rPr>
            </w:pPr>
            <w:r w:rsidRPr="00906FE9">
              <w:rPr>
                <w:b/>
                <w:color w:val="auto"/>
                <w:lang w:val="ro-MD"/>
              </w:rPr>
              <w:lastRenderedPageBreak/>
              <w:t>Nu se acceptă</w:t>
            </w:r>
          </w:p>
          <w:p w:rsidR="00C61C64" w:rsidRPr="00906FE9" w:rsidRDefault="00C61C64" w:rsidP="00C61C64">
            <w:pPr>
              <w:pStyle w:val="Default"/>
              <w:jc w:val="both"/>
              <w:rPr>
                <w:color w:val="auto"/>
                <w:lang w:val="ro-MD"/>
              </w:rPr>
            </w:pPr>
            <w:r w:rsidRPr="00906FE9">
              <w:rPr>
                <w:color w:val="auto"/>
                <w:lang w:val="ro-MD"/>
              </w:rPr>
              <w:t xml:space="preserve">Resursele bugetului de stat sînt limitate și odată ce programul este orientat practic spre toți angajații din sectorul public (circa 240 mii de angajați), bugetul va fi în dificultate de a satisface toate solicitările de acordare a compensațiilor. </w:t>
            </w:r>
          </w:p>
          <w:p w:rsidR="00C61C64" w:rsidRPr="00906FE9" w:rsidRDefault="00C61C64" w:rsidP="00C61C64">
            <w:pPr>
              <w:pStyle w:val="Default"/>
              <w:jc w:val="both"/>
              <w:rPr>
                <w:color w:val="auto"/>
                <w:lang w:val="ro-MD"/>
              </w:rPr>
            </w:pPr>
            <w:r w:rsidRPr="00906FE9">
              <w:rPr>
                <w:color w:val="auto"/>
                <w:lang w:val="ro-MD"/>
              </w:rPr>
              <w:t>Din acest motiv se propune de a se orienta spre angajații cu venituri mici, cu capacitate redusă de rambursare a creditului.</w:t>
            </w:r>
          </w:p>
          <w:p w:rsidR="00C61C64" w:rsidRPr="00906FE9" w:rsidRDefault="009766BF" w:rsidP="00C61C64">
            <w:pPr>
              <w:pStyle w:val="Default"/>
              <w:jc w:val="both"/>
              <w:rPr>
                <w:color w:val="auto"/>
                <w:lang w:val="ro-MD"/>
              </w:rPr>
            </w:pPr>
            <w:r w:rsidRPr="00906FE9">
              <w:rPr>
                <w:color w:val="auto"/>
                <w:lang w:val="ro-MD"/>
              </w:rPr>
              <w:t>F</w:t>
            </w:r>
            <w:r w:rsidR="00C61C64" w:rsidRPr="00906FE9">
              <w:rPr>
                <w:color w:val="auto"/>
                <w:lang w:val="ro-MD"/>
              </w:rPr>
              <w:t>ormula propusă pentru rambursarea creditului în mărime de 25 la sută pentru locuințele cu cost de 500 -</w:t>
            </w:r>
            <w:r w:rsidRPr="00906FE9">
              <w:rPr>
                <w:color w:val="auto"/>
                <w:lang w:val="ro-MD"/>
              </w:rPr>
              <w:t xml:space="preserve"> </w:t>
            </w:r>
            <w:r w:rsidR="00C61C64" w:rsidRPr="00906FE9">
              <w:rPr>
                <w:color w:val="auto"/>
                <w:lang w:val="ro-MD"/>
              </w:rPr>
              <w:t>1000 mii lei</w:t>
            </w:r>
            <w:r w:rsidRPr="00906FE9">
              <w:rPr>
                <w:color w:val="auto"/>
                <w:lang w:val="ro-MD"/>
              </w:rPr>
              <w:t xml:space="preserve"> va spori accesul la compensații a angajaților cu salarii mari, diminuînd capacitatea financiară de a susține angajații domeniului public cu cele mai mici venituri.</w:t>
            </w:r>
          </w:p>
          <w:p w:rsidR="00C61C64" w:rsidRPr="00906FE9" w:rsidRDefault="00361A64" w:rsidP="00361A64">
            <w:pPr>
              <w:pStyle w:val="Default"/>
              <w:jc w:val="both"/>
              <w:rPr>
                <w:color w:val="auto"/>
                <w:lang w:val="ro-MD"/>
              </w:rPr>
            </w:pPr>
            <w:r w:rsidRPr="00906FE9">
              <w:rPr>
                <w:color w:val="auto"/>
                <w:lang w:val="ro-MD"/>
              </w:rPr>
              <w:t>Obiectivul proiectului este de a menține cadrele în sectorul bugetar, astfel, n</w:t>
            </w:r>
            <w:r w:rsidR="009766BF" w:rsidRPr="00906FE9">
              <w:rPr>
                <w:color w:val="auto"/>
                <w:lang w:val="ro-MD"/>
              </w:rPr>
              <w:t xml:space="preserve">umărul de luni propuse în formulă nu poate fi egalat la perioada de rambursare a creditului ipotecar, deoarece </w:t>
            </w:r>
            <w:r w:rsidRPr="00906FE9">
              <w:rPr>
                <w:color w:val="auto"/>
                <w:lang w:val="ro-MD"/>
              </w:rPr>
              <w:t>există riscul că odată ce creditul va fi stins totalmente, persoanele nu vor dori să activeze în continuare în instituții publice.</w:t>
            </w:r>
          </w:p>
        </w:tc>
      </w:tr>
      <w:tr w:rsidR="0011604A" w:rsidRPr="00906FE9" w:rsidTr="003D0D58">
        <w:tc>
          <w:tcPr>
            <w:tcW w:w="2943" w:type="dxa"/>
          </w:tcPr>
          <w:p w:rsidR="0011604A" w:rsidRPr="00906FE9" w:rsidRDefault="0011604A" w:rsidP="00007784">
            <w:pPr>
              <w:widowControl w:val="0"/>
              <w:autoSpaceDE w:val="0"/>
              <w:autoSpaceDN w:val="0"/>
              <w:adjustRightInd w:val="0"/>
              <w:jc w:val="both"/>
              <w:rPr>
                <w:rFonts w:eastAsia="SimSun"/>
                <w:b/>
                <w:bCs/>
                <w:lang w:val="ro-MD" w:eastAsia="zh-CN"/>
              </w:rPr>
            </w:pPr>
          </w:p>
        </w:tc>
        <w:tc>
          <w:tcPr>
            <w:tcW w:w="6096" w:type="dxa"/>
          </w:tcPr>
          <w:p w:rsidR="0011604A" w:rsidRPr="00906FE9" w:rsidRDefault="0011604A" w:rsidP="0011604A">
            <w:pPr>
              <w:ind w:firstLine="567"/>
              <w:jc w:val="both"/>
              <w:rPr>
                <w:lang w:val="ro-MD"/>
              </w:rPr>
            </w:pPr>
            <w:r w:rsidRPr="00906FE9">
              <w:rPr>
                <w:lang w:val="ro-MD"/>
              </w:rPr>
              <w:t>La punctul 8 din Regulament:</w:t>
            </w:r>
          </w:p>
          <w:p w:rsidR="0011604A" w:rsidRPr="00906FE9" w:rsidRDefault="0011604A" w:rsidP="0011604A">
            <w:pPr>
              <w:spacing w:before="120" w:after="120"/>
              <w:ind w:firstLine="567"/>
              <w:jc w:val="both"/>
              <w:rPr>
                <w:lang w:val="ro-MD"/>
              </w:rPr>
            </w:pPr>
            <w:r w:rsidRPr="00906FE9">
              <w:rPr>
                <w:lang w:val="ro-MD"/>
              </w:rPr>
              <w:t xml:space="preserve">Pentru a uniformiza terminologia și a evita unele interpretări eronate, </w:t>
            </w:r>
            <w:r w:rsidRPr="00906FE9">
              <w:rPr>
                <w:b/>
                <w:lang w:val="ro-MD"/>
              </w:rPr>
              <w:t>recomand</w:t>
            </w:r>
            <w:r w:rsidRPr="00906FE9">
              <w:rPr>
                <w:lang w:val="ro-MD"/>
              </w:rPr>
              <w:t xml:space="preserve"> </w:t>
            </w:r>
            <w:r w:rsidRPr="00906FE9">
              <w:rPr>
                <w:u w:val="single"/>
                <w:lang w:val="ro-MD"/>
              </w:rPr>
              <w:t>substituirea cuvintelor „în instituția publică respectivă” cu cuvintele „într-o autoritate publică sau instituție publică”.</w:t>
            </w:r>
          </w:p>
        </w:tc>
        <w:tc>
          <w:tcPr>
            <w:tcW w:w="5670" w:type="dxa"/>
          </w:tcPr>
          <w:p w:rsidR="0011604A" w:rsidRPr="00906FE9" w:rsidRDefault="00334CCE" w:rsidP="000D7554">
            <w:pPr>
              <w:pStyle w:val="Default"/>
              <w:jc w:val="both"/>
              <w:rPr>
                <w:b/>
                <w:color w:val="auto"/>
                <w:lang w:val="ro-MD"/>
              </w:rPr>
            </w:pPr>
            <w:r w:rsidRPr="00906FE9">
              <w:rPr>
                <w:b/>
                <w:color w:val="auto"/>
                <w:lang w:val="ro-MD"/>
              </w:rPr>
              <w:t>Se acceptă</w:t>
            </w:r>
          </w:p>
        </w:tc>
      </w:tr>
      <w:tr w:rsidR="0011604A" w:rsidRPr="000450FD" w:rsidTr="001D72C4">
        <w:tc>
          <w:tcPr>
            <w:tcW w:w="2943" w:type="dxa"/>
          </w:tcPr>
          <w:p w:rsidR="0011604A" w:rsidRPr="00906FE9" w:rsidRDefault="0011604A" w:rsidP="00007784">
            <w:pPr>
              <w:widowControl w:val="0"/>
              <w:autoSpaceDE w:val="0"/>
              <w:autoSpaceDN w:val="0"/>
              <w:adjustRightInd w:val="0"/>
              <w:jc w:val="both"/>
              <w:rPr>
                <w:rFonts w:eastAsia="SimSun"/>
                <w:b/>
                <w:bCs/>
                <w:lang w:val="ro-MD" w:eastAsia="zh-CN"/>
              </w:rPr>
            </w:pPr>
          </w:p>
        </w:tc>
        <w:tc>
          <w:tcPr>
            <w:tcW w:w="6096" w:type="dxa"/>
            <w:shd w:val="clear" w:color="auto" w:fill="auto"/>
          </w:tcPr>
          <w:p w:rsidR="0011604A" w:rsidRPr="00906FE9" w:rsidRDefault="000B7481" w:rsidP="0011604A">
            <w:pPr>
              <w:ind w:firstLine="567"/>
              <w:jc w:val="both"/>
              <w:rPr>
                <w:rFonts w:eastAsia="Batang"/>
                <w:bCs/>
                <w:lang w:val="ro-MD"/>
              </w:rPr>
            </w:pPr>
            <w:r w:rsidRPr="00906FE9">
              <w:rPr>
                <w:lang w:val="ro-MD"/>
              </w:rPr>
              <w:t>La pct. 10 se menționează „</w:t>
            </w:r>
            <w:r w:rsidRPr="00906FE9">
              <w:rPr>
                <w:rFonts w:eastAsia="Batang"/>
                <w:bCs/>
                <w:lang w:val="ro-MD"/>
              </w:rPr>
              <w:t>Regulamentul privind modul de ținere a registrului cererilor de acordare a compensațiilor în cadrul Programului de stat „Prima casă”, aprobat de Ministerul Finanțelor”, iar la pct. 11 – un document, modelul căruia de asemenea va fi aprobat de Ministerul Finanțelor.</w:t>
            </w:r>
          </w:p>
          <w:p w:rsidR="000B7481" w:rsidRPr="00906FE9" w:rsidRDefault="000B7481" w:rsidP="000B7481">
            <w:pPr>
              <w:ind w:firstLine="567"/>
              <w:jc w:val="both"/>
              <w:rPr>
                <w:lang w:val="ro-MD"/>
              </w:rPr>
            </w:pPr>
            <w:r w:rsidRPr="00906FE9">
              <w:rPr>
                <w:rFonts w:eastAsia="Batang"/>
                <w:bCs/>
                <w:lang w:val="ro-MD"/>
              </w:rPr>
              <w:lastRenderedPageBreak/>
              <w:t xml:space="preserve">În vederea asigurării transparenței Programului de stat, precum și a facilitării accesului cetățenilor la aceste documente, </w:t>
            </w:r>
            <w:r w:rsidRPr="00906FE9">
              <w:rPr>
                <w:rFonts w:eastAsia="Batang"/>
                <w:b/>
                <w:bCs/>
                <w:lang w:val="ro-MD"/>
              </w:rPr>
              <w:t>solicit</w:t>
            </w:r>
            <w:r w:rsidRPr="00906FE9">
              <w:rPr>
                <w:rFonts w:eastAsia="Batang"/>
                <w:bCs/>
                <w:u w:val="single"/>
                <w:lang w:val="ro-MD"/>
              </w:rPr>
              <w:t xml:space="preserve"> să fie menționat expres faptul că acestea se plasează pe pagina web oficială a Programului de stat „Prima casă”.</w:t>
            </w:r>
          </w:p>
        </w:tc>
        <w:tc>
          <w:tcPr>
            <w:tcW w:w="5670" w:type="dxa"/>
          </w:tcPr>
          <w:p w:rsidR="0011604A" w:rsidRPr="00906FE9" w:rsidRDefault="009F3A57" w:rsidP="000D7554">
            <w:pPr>
              <w:pStyle w:val="Default"/>
              <w:jc w:val="both"/>
              <w:rPr>
                <w:b/>
                <w:color w:val="auto"/>
                <w:lang w:val="ro-MD"/>
              </w:rPr>
            </w:pPr>
            <w:r w:rsidRPr="00906FE9">
              <w:rPr>
                <w:b/>
                <w:color w:val="auto"/>
                <w:lang w:val="ro-MD"/>
              </w:rPr>
              <w:lastRenderedPageBreak/>
              <w:t>Se acceptă</w:t>
            </w:r>
          </w:p>
          <w:p w:rsidR="009F3A57" w:rsidRPr="00906FE9" w:rsidRDefault="00DB78C7" w:rsidP="00DB78C7">
            <w:pPr>
              <w:pStyle w:val="Default"/>
              <w:jc w:val="both"/>
              <w:rPr>
                <w:color w:val="auto"/>
                <w:lang w:val="ro-MD"/>
              </w:rPr>
            </w:pPr>
            <w:r w:rsidRPr="00906FE9">
              <w:rPr>
                <w:color w:val="auto"/>
                <w:lang w:val="ro-MD"/>
              </w:rPr>
              <w:t>A fost introdus un punct distinct (</w:t>
            </w:r>
            <w:r w:rsidR="001D72C4" w:rsidRPr="00906FE9">
              <w:rPr>
                <w:color w:val="auto"/>
                <w:lang w:val="ro-MD"/>
              </w:rPr>
              <w:t>p</w:t>
            </w:r>
            <w:r w:rsidR="009F3A57" w:rsidRPr="00906FE9">
              <w:rPr>
                <w:color w:val="auto"/>
                <w:lang w:val="ro-MD"/>
              </w:rPr>
              <w:t>unctul 10</w:t>
            </w:r>
            <w:r w:rsidRPr="00906FE9">
              <w:rPr>
                <w:color w:val="auto"/>
                <w:lang w:val="ro-MD"/>
              </w:rPr>
              <w:t>)</w:t>
            </w:r>
          </w:p>
        </w:tc>
      </w:tr>
      <w:tr w:rsidR="000B7481" w:rsidRPr="000450FD" w:rsidTr="003D0D58">
        <w:tc>
          <w:tcPr>
            <w:tcW w:w="2943" w:type="dxa"/>
          </w:tcPr>
          <w:p w:rsidR="000B7481" w:rsidRPr="00906FE9" w:rsidRDefault="000B7481" w:rsidP="00007784">
            <w:pPr>
              <w:widowControl w:val="0"/>
              <w:autoSpaceDE w:val="0"/>
              <w:autoSpaceDN w:val="0"/>
              <w:adjustRightInd w:val="0"/>
              <w:jc w:val="both"/>
              <w:rPr>
                <w:rFonts w:eastAsia="SimSun"/>
                <w:b/>
                <w:bCs/>
                <w:lang w:val="ro-MD" w:eastAsia="zh-CN"/>
              </w:rPr>
            </w:pPr>
          </w:p>
        </w:tc>
        <w:tc>
          <w:tcPr>
            <w:tcW w:w="6096" w:type="dxa"/>
          </w:tcPr>
          <w:p w:rsidR="000B7481" w:rsidRPr="00906FE9" w:rsidRDefault="000B7481" w:rsidP="000B7481">
            <w:pPr>
              <w:ind w:firstLine="567"/>
              <w:jc w:val="both"/>
              <w:rPr>
                <w:lang w:val="ro-MD"/>
              </w:rPr>
            </w:pPr>
            <w:r w:rsidRPr="00906FE9">
              <w:rPr>
                <w:lang w:val="ro-MD"/>
              </w:rPr>
              <w:t xml:space="preserve">La punctul 17 </w:t>
            </w:r>
            <w:r w:rsidR="00125303" w:rsidRPr="00906FE9">
              <w:rPr>
                <w:lang w:val="ro-MD"/>
              </w:rPr>
              <w:t xml:space="preserve">(actual 18) </w:t>
            </w:r>
            <w:r w:rsidRPr="00906FE9">
              <w:rPr>
                <w:lang w:val="ro-MD"/>
              </w:rPr>
              <w:t>din Regulament:</w:t>
            </w:r>
          </w:p>
          <w:p w:rsidR="000B7481" w:rsidRPr="00906FE9" w:rsidRDefault="000B7481" w:rsidP="000B7481">
            <w:pPr>
              <w:ind w:firstLine="709"/>
              <w:jc w:val="both"/>
              <w:rPr>
                <w:lang w:val="ro-MD"/>
              </w:rPr>
            </w:pPr>
            <w:r w:rsidRPr="00906FE9">
              <w:rPr>
                <w:b/>
                <w:lang w:val="ro-MD"/>
              </w:rPr>
              <w:t>Propun</w:t>
            </w:r>
            <w:r w:rsidRPr="00906FE9">
              <w:rPr>
                <w:lang w:val="ro-MD"/>
              </w:rPr>
              <w:t xml:space="preserve"> </w:t>
            </w:r>
            <w:r w:rsidRPr="00906FE9">
              <w:rPr>
                <w:u w:val="single"/>
                <w:lang w:val="ro-MD"/>
              </w:rPr>
              <w:t>excluderea cuvintelor „în anul financiar respectiv”,</w:t>
            </w:r>
            <w:r w:rsidRPr="00906FE9">
              <w:rPr>
                <w:lang w:val="ro-MD"/>
              </w:rPr>
              <w:t xml:space="preserve"> deoarece menținerea acesteia </w:t>
            </w:r>
            <w:r w:rsidR="00904D29" w:rsidRPr="00906FE9">
              <w:rPr>
                <w:lang w:val="ro-MD"/>
              </w:rPr>
              <w:t>creează</w:t>
            </w:r>
            <w:r w:rsidRPr="00906FE9">
              <w:rPr>
                <w:lang w:val="ro-MD"/>
              </w:rPr>
              <w:t xml:space="preserve"> impresia că solicitantul de compensații trebuie în fiecare an, timp de 20-25 de ani, să depună iar și iar cererea de acordare a compensației. Este o procedură cam greoaie. </w:t>
            </w:r>
          </w:p>
          <w:p w:rsidR="000B7481" w:rsidRPr="00906FE9" w:rsidRDefault="000B7481" w:rsidP="000B7481">
            <w:pPr>
              <w:ind w:firstLine="709"/>
              <w:jc w:val="both"/>
              <w:rPr>
                <w:lang w:val="ro-MD"/>
              </w:rPr>
            </w:pPr>
            <w:r w:rsidRPr="00906FE9">
              <w:rPr>
                <w:lang w:val="ro-MD"/>
              </w:rPr>
              <w:t>Consider că ar fi mai simplu și mai sigur pentru beneficiar dacă compensația s-ar stabili o singură dată pentru contractul de credit, pentru toată perioada contractului, nu pentru fiecare an în parte.</w:t>
            </w:r>
          </w:p>
        </w:tc>
        <w:tc>
          <w:tcPr>
            <w:tcW w:w="5670" w:type="dxa"/>
          </w:tcPr>
          <w:p w:rsidR="000B7481" w:rsidRPr="00906FE9" w:rsidRDefault="006431BB" w:rsidP="000D7554">
            <w:pPr>
              <w:pStyle w:val="Default"/>
              <w:jc w:val="both"/>
              <w:rPr>
                <w:b/>
                <w:color w:val="auto"/>
                <w:lang w:val="ro-MD"/>
              </w:rPr>
            </w:pPr>
            <w:r w:rsidRPr="00906FE9">
              <w:rPr>
                <w:b/>
                <w:color w:val="auto"/>
                <w:lang w:val="ro-MD"/>
              </w:rPr>
              <w:t>Se acceptă parțial.</w:t>
            </w:r>
          </w:p>
          <w:p w:rsidR="006431BB" w:rsidRPr="00906FE9" w:rsidRDefault="006431BB" w:rsidP="000D7554">
            <w:pPr>
              <w:pStyle w:val="Default"/>
              <w:jc w:val="both"/>
              <w:rPr>
                <w:color w:val="auto"/>
                <w:lang w:val="ro-MD"/>
              </w:rPr>
            </w:pPr>
            <w:r w:rsidRPr="00906FE9">
              <w:rPr>
                <w:color w:val="auto"/>
                <w:lang w:val="ro-MD"/>
              </w:rPr>
              <w:t>A fost introdus un punct nou 19, cu clarificările respective.</w:t>
            </w:r>
          </w:p>
        </w:tc>
      </w:tr>
      <w:tr w:rsidR="000B7481" w:rsidRPr="000450FD" w:rsidTr="003D0D58">
        <w:tc>
          <w:tcPr>
            <w:tcW w:w="2943" w:type="dxa"/>
          </w:tcPr>
          <w:p w:rsidR="000B7481" w:rsidRPr="00906FE9" w:rsidRDefault="000B7481" w:rsidP="00007784">
            <w:pPr>
              <w:widowControl w:val="0"/>
              <w:autoSpaceDE w:val="0"/>
              <w:autoSpaceDN w:val="0"/>
              <w:adjustRightInd w:val="0"/>
              <w:jc w:val="both"/>
              <w:rPr>
                <w:rFonts w:eastAsia="SimSun"/>
                <w:b/>
                <w:bCs/>
                <w:lang w:val="ro-MD" w:eastAsia="zh-CN"/>
              </w:rPr>
            </w:pPr>
          </w:p>
        </w:tc>
        <w:tc>
          <w:tcPr>
            <w:tcW w:w="6096" w:type="dxa"/>
          </w:tcPr>
          <w:p w:rsidR="000B7481" w:rsidRPr="00906FE9" w:rsidRDefault="000B7481" w:rsidP="000B7481">
            <w:pPr>
              <w:ind w:firstLine="567"/>
              <w:jc w:val="both"/>
              <w:rPr>
                <w:lang w:val="ro-MD"/>
              </w:rPr>
            </w:pPr>
            <w:r w:rsidRPr="00906FE9">
              <w:rPr>
                <w:lang w:val="ro-MD"/>
              </w:rPr>
              <w:t xml:space="preserve">La punctul 17 </w:t>
            </w:r>
            <w:r w:rsidR="003F7A14" w:rsidRPr="00906FE9">
              <w:rPr>
                <w:lang w:val="ro-MD"/>
              </w:rPr>
              <w:t xml:space="preserve">(actual 18) </w:t>
            </w:r>
            <w:r w:rsidRPr="00906FE9">
              <w:rPr>
                <w:lang w:val="ro-MD"/>
              </w:rPr>
              <w:t>din Regulament:</w:t>
            </w:r>
          </w:p>
          <w:p w:rsidR="000B7481" w:rsidRPr="00906FE9" w:rsidRDefault="000B7481" w:rsidP="000B7481">
            <w:pPr>
              <w:ind w:firstLine="709"/>
              <w:jc w:val="both"/>
              <w:rPr>
                <w:lang w:val="ro-MD"/>
              </w:rPr>
            </w:pPr>
            <w:r w:rsidRPr="00906FE9">
              <w:rPr>
                <w:rFonts w:asciiTheme="majorBidi" w:eastAsiaTheme="minorEastAsia" w:hAnsiTheme="majorBidi" w:cstheme="majorBidi"/>
                <w:b/>
                <w:lang w:val="ro-MD"/>
              </w:rPr>
              <w:t>Propun</w:t>
            </w:r>
            <w:r w:rsidRPr="00906FE9">
              <w:rPr>
                <w:rFonts w:asciiTheme="majorBidi" w:eastAsiaTheme="minorEastAsia" w:hAnsiTheme="majorBidi" w:cstheme="majorBidi"/>
                <w:u w:val="single"/>
                <w:lang w:val="ro-MD"/>
              </w:rPr>
              <w:t xml:space="preserve"> completarea în final cu cuvintele „ , fiind examinate în mod prioritar în raport cu alte cereri”.</w:t>
            </w:r>
          </w:p>
        </w:tc>
        <w:tc>
          <w:tcPr>
            <w:tcW w:w="5670" w:type="dxa"/>
          </w:tcPr>
          <w:p w:rsidR="003F7A14" w:rsidRPr="00906FE9" w:rsidRDefault="003F7A14" w:rsidP="003F7A14">
            <w:pPr>
              <w:pStyle w:val="Default"/>
              <w:jc w:val="both"/>
              <w:rPr>
                <w:b/>
                <w:color w:val="auto"/>
                <w:lang w:val="ro-MD"/>
              </w:rPr>
            </w:pPr>
            <w:r w:rsidRPr="00906FE9">
              <w:rPr>
                <w:b/>
                <w:color w:val="auto"/>
                <w:lang w:val="ro-MD"/>
              </w:rPr>
              <w:t>Se acceptă parțial.</w:t>
            </w:r>
          </w:p>
          <w:p w:rsidR="000B7481" w:rsidRPr="00906FE9" w:rsidRDefault="003F7A14" w:rsidP="003F7A14">
            <w:pPr>
              <w:pStyle w:val="Default"/>
              <w:jc w:val="both"/>
              <w:rPr>
                <w:b/>
                <w:color w:val="auto"/>
                <w:lang w:val="ro-MD"/>
              </w:rPr>
            </w:pPr>
            <w:r w:rsidRPr="00906FE9">
              <w:rPr>
                <w:color w:val="auto"/>
                <w:lang w:val="ro-MD"/>
              </w:rPr>
              <w:t>A fost introdus un punct nou 19, cu clarificările respective.</w:t>
            </w:r>
          </w:p>
        </w:tc>
      </w:tr>
      <w:tr w:rsidR="00DB24F6" w:rsidRPr="000450FD" w:rsidTr="003D0D58">
        <w:tc>
          <w:tcPr>
            <w:tcW w:w="2943" w:type="dxa"/>
          </w:tcPr>
          <w:p w:rsidR="00DB24F6" w:rsidRPr="00906FE9" w:rsidRDefault="00DB24F6" w:rsidP="00007784">
            <w:pPr>
              <w:widowControl w:val="0"/>
              <w:autoSpaceDE w:val="0"/>
              <w:autoSpaceDN w:val="0"/>
              <w:adjustRightInd w:val="0"/>
              <w:jc w:val="both"/>
              <w:rPr>
                <w:rFonts w:eastAsia="SimSun"/>
                <w:b/>
                <w:bCs/>
                <w:lang w:val="ro-MD" w:eastAsia="zh-CN"/>
              </w:rPr>
            </w:pPr>
          </w:p>
        </w:tc>
        <w:tc>
          <w:tcPr>
            <w:tcW w:w="6096" w:type="dxa"/>
          </w:tcPr>
          <w:p w:rsidR="00DB24F6" w:rsidRPr="00906FE9" w:rsidRDefault="00DB24F6" w:rsidP="00DB24F6">
            <w:pPr>
              <w:ind w:firstLine="567"/>
              <w:jc w:val="both"/>
              <w:rPr>
                <w:lang w:val="ro-MD"/>
              </w:rPr>
            </w:pPr>
            <w:r w:rsidRPr="00906FE9">
              <w:rPr>
                <w:lang w:val="ro-MD"/>
              </w:rPr>
              <w:t xml:space="preserve">La punctul 25 </w:t>
            </w:r>
            <w:r w:rsidR="00FE1DC1" w:rsidRPr="00906FE9">
              <w:rPr>
                <w:lang w:val="ro-MD"/>
              </w:rPr>
              <w:t xml:space="preserve">(actual 27) </w:t>
            </w:r>
            <w:r w:rsidRPr="00906FE9">
              <w:rPr>
                <w:lang w:val="ro-MD"/>
              </w:rPr>
              <w:t>din Regulament:</w:t>
            </w:r>
          </w:p>
          <w:p w:rsidR="00DB24F6" w:rsidRPr="00906FE9" w:rsidRDefault="00DB24F6" w:rsidP="00DB24F6">
            <w:pPr>
              <w:ind w:firstLine="567"/>
              <w:jc w:val="both"/>
              <w:rPr>
                <w:lang w:val="ro-MD"/>
              </w:rPr>
            </w:pPr>
            <w:r w:rsidRPr="00906FE9">
              <w:rPr>
                <w:rFonts w:asciiTheme="majorBidi" w:hAnsiTheme="majorBidi" w:cstheme="majorBidi"/>
                <w:b/>
                <w:lang w:val="ro-MD"/>
              </w:rPr>
              <w:t>Propun</w:t>
            </w:r>
            <w:r w:rsidRPr="00906FE9">
              <w:rPr>
                <w:rFonts w:asciiTheme="majorBidi" w:hAnsiTheme="majorBidi" w:cstheme="majorBidi"/>
                <w:lang w:val="ro-MD"/>
              </w:rPr>
              <w:t xml:space="preserve"> să fie stabilit nemijlocit în acest Regulament un termen concret pentru informarea Ministerului Finanțelor, or altfel vor fi create incomodități pe</w:t>
            </w:r>
            <w:r w:rsidR="00904D29" w:rsidRPr="00906FE9">
              <w:rPr>
                <w:rFonts w:asciiTheme="majorBidi" w:hAnsiTheme="majorBidi" w:cstheme="majorBidi"/>
                <w:lang w:val="ro-MD"/>
              </w:rPr>
              <w:t>n</w:t>
            </w:r>
            <w:r w:rsidRPr="00906FE9">
              <w:rPr>
                <w:rFonts w:asciiTheme="majorBidi" w:hAnsiTheme="majorBidi" w:cstheme="majorBidi"/>
                <w:lang w:val="ro-MD"/>
              </w:rPr>
              <w:t>tru angajatori, deoarece nu este clar în care alt act normativ va fi stabilit aceste termene.</w:t>
            </w:r>
          </w:p>
        </w:tc>
        <w:tc>
          <w:tcPr>
            <w:tcW w:w="5670" w:type="dxa"/>
          </w:tcPr>
          <w:p w:rsidR="00FE1DC1" w:rsidRPr="00906FE9" w:rsidRDefault="00FE1DC1" w:rsidP="00FE1DC1">
            <w:pPr>
              <w:pStyle w:val="Default"/>
              <w:jc w:val="both"/>
              <w:rPr>
                <w:b/>
                <w:color w:val="auto"/>
                <w:lang w:val="ro-MD"/>
              </w:rPr>
            </w:pPr>
            <w:r w:rsidRPr="00906FE9">
              <w:rPr>
                <w:b/>
                <w:color w:val="auto"/>
                <w:lang w:val="ro-MD"/>
              </w:rPr>
              <w:t>Se acceptă parțial.</w:t>
            </w:r>
          </w:p>
          <w:p w:rsidR="00DB24F6" w:rsidRPr="00906FE9" w:rsidRDefault="00FE1DC1" w:rsidP="000D7554">
            <w:pPr>
              <w:pStyle w:val="Default"/>
              <w:jc w:val="both"/>
              <w:rPr>
                <w:color w:val="auto"/>
                <w:lang w:val="ro-MD"/>
              </w:rPr>
            </w:pPr>
            <w:r w:rsidRPr="00906FE9">
              <w:rPr>
                <w:color w:val="auto"/>
                <w:lang w:val="ro-MD"/>
              </w:rPr>
              <w:t>Termenul pentru informare</w:t>
            </w:r>
            <w:r w:rsidR="00D57600" w:rsidRPr="00906FE9">
              <w:rPr>
                <w:color w:val="auto"/>
                <w:lang w:val="ro-MD"/>
              </w:rPr>
              <w:t xml:space="preserve"> </w:t>
            </w:r>
            <w:r w:rsidRPr="00906FE9">
              <w:rPr>
                <w:color w:val="auto"/>
                <w:lang w:val="ro-MD"/>
              </w:rPr>
              <w:t xml:space="preserve">a Ministerului Finanțelor despre încetarea raporturilor de serviciu este prevăzut în punctul 25 - de 5 zile lucrătoare. </w:t>
            </w:r>
          </w:p>
        </w:tc>
      </w:tr>
      <w:tr w:rsidR="00DB24F6" w:rsidRPr="000450FD" w:rsidTr="00977788">
        <w:tc>
          <w:tcPr>
            <w:tcW w:w="2943" w:type="dxa"/>
          </w:tcPr>
          <w:p w:rsidR="00DB24F6" w:rsidRPr="00906FE9" w:rsidRDefault="00DB24F6" w:rsidP="00007784">
            <w:pPr>
              <w:widowControl w:val="0"/>
              <w:autoSpaceDE w:val="0"/>
              <w:autoSpaceDN w:val="0"/>
              <w:adjustRightInd w:val="0"/>
              <w:jc w:val="both"/>
              <w:rPr>
                <w:rFonts w:eastAsia="SimSun"/>
                <w:b/>
                <w:bCs/>
                <w:lang w:val="ro-MD" w:eastAsia="zh-CN"/>
              </w:rPr>
            </w:pPr>
          </w:p>
        </w:tc>
        <w:tc>
          <w:tcPr>
            <w:tcW w:w="6096" w:type="dxa"/>
            <w:shd w:val="clear" w:color="auto" w:fill="auto"/>
          </w:tcPr>
          <w:p w:rsidR="00DB24F6" w:rsidRPr="00906FE9" w:rsidRDefault="00DB24F6" w:rsidP="00DB24F6">
            <w:pPr>
              <w:ind w:firstLine="567"/>
              <w:jc w:val="both"/>
              <w:rPr>
                <w:lang w:val="ro-MD"/>
              </w:rPr>
            </w:pPr>
            <w:r w:rsidRPr="00906FE9">
              <w:rPr>
                <w:lang w:val="ro-MD"/>
              </w:rPr>
              <w:t xml:space="preserve">Este necesar de a completa noțiunea de beneficiar al Programului, astfel încît la acesta să poată aplica și acei angajați ai autorităților/instituțiilor publice care la moment se află în </w:t>
            </w:r>
            <w:r w:rsidRPr="00906FE9">
              <w:rPr>
                <w:rFonts w:eastAsia="Batang"/>
                <w:bCs/>
                <w:lang w:val="ro-MD"/>
              </w:rPr>
              <w:t>concediu de îngrijire a copilului, a unui membru bolnav al familiei sau a copilului cu dizabilități.</w:t>
            </w:r>
          </w:p>
        </w:tc>
        <w:tc>
          <w:tcPr>
            <w:tcW w:w="5670" w:type="dxa"/>
          </w:tcPr>
          <w:p w:rsidR="00DB24F6" w:rsidRPr="00906FE9" w:rsidRDefault="00977788" w:rsidP="000D7554">
            <w:pPr>
              <w:pStyle w:val="Default"/>
              <w:jc w:val="both"/>
              <w:rPr>
                <w:b/>
                <w:color w:val="auto"/>
                <w:lang w:val="ro-MD"/>
              </w:rPr>
            </w:pPr>
            <w:r w:rsidRPr="00906FE9">
              <w:rPr>
                <w:b/>
                <w:color w:val="auto"/>
                <w:lang w:val="ro-MD"/>
              </w:rPr>
              <w:t>Nu se acceptă</w:t>
            </w:r>
          </w:p>
          <w:p w:rsidR="00977788" w:rsidRPr="00906FE9" w:rsidRDefault="00977788" w:rsidP="00715E18">
            <w:pPr>
              <w:pStyle w:val="Default"/>
              <w:jc w:val="both"/>
              <w:rPr>
                <w:color w:val="auto"/>
                <w:lang w:val="ro-MD"/>
              </w:rPr>
            </w:pPr>
            <w:r w:rsidRPr="00906FE9">
              <w:rPr>
                <w:color w:val="auto"/>
                <w:lang w:val="ro-MD"/>
              </w:rPr>
              <w:t xml:space="preserve">Programul este destinat angajaților care se află în relații de </w:t>
            </w:r>
            <w:r w:rsidR="00715E18" w:rsidRPr="00906FE9">
              <w:rPr>
                <w:color w:val="auto"/>
                <w:lang w:val="ro-MD"/>
              </w:rPr>
              <w:t>serviciu</w:t>
            </w:r>
            <w:r w:rsidRPr="00906FE9">
              <w:rPr>
                <w:color w:val="auto"/>
                <w:lang w:val="ro-MD"/>
              </w:rPr>
              <w:t xml:space="preserve"> cu angajatorul</w:t>
            </w:r>
            <w:r w:rsidR="00715E18" w:rsidRPr="00906FE9">
              <w:rPr>
                <w:color w:val="auto"/>
                <w:lang w:val="ro-MD"/>
              </w:rPr>
              <w:t xml:space="preserve"> și se află activ în muncă, obiectivul principal fiind menținerea acestora în instituțiile publice. În situația cînd o persoană are suspendate raporturile de serviciu în legătură cu </w:t>
            </w:r>
            <w:r w:rsidR="00715E18" w:rsidRPr="00906FE9">
              <w:rPr>
                <w:color w:val="auto"/>
                <w:lang w:val="ro-MD"/>
              </w:rPr>
              <w:lastRenderedPageBreak/>
              <w:t xml:space="preserve">concediul de îngrijire a copilului, nu există o garanție că aceasta va reveni la locul de muncă la expirarea concediului. </w:t>
            </w:r>
          </w:p>
        </w:tc>
      </w:tr>
      <w:tr w:rsidR="00821A0E" w:rsidRPr="000450FD" w:rsidTr="00977788">
        <w:tc>
          <w:tcPr>
            <w:tcW w:w="2943" w:type="dxa"/>
          </w:tcPr>
          <w:p w:rsidR="00821A0E" w:rsidRPr="007B4D02" w:rsidRDefault="00821A0E" w:rsidP="00821A0E">
            <w:pPr>
              <w:rPr>
                <w:b/>
                <w:sz w:val="28"/>
                <w:lang w:val="ro-MD"/>
              </w:rPr>
            </w:pPr>
            <w:r w:rsidRPr="007B4D02">
              <w:rPr>
                <w:b/>
                <w:sz w:val="28"/>
                <w:lang w:val="ro-MD"/>
              </w:rPr>
              <w:lastRenderedPageBreak/>
              <w:t>Alexandru Zubco</w:t>
            </w:r>
          </w:p>
          <w:p w:rsidR="00821A0E" w:rsidRDefault="00821A0E" w:rsidP="00821A0E">
            <w:pPr>
              <w:jc w:val="right"/>
              <w:rPr>
                <w:sz w:val="26"/>
                <w:szCs w:val="26"/>
                <w:lang w:val="ro-MD"/>
              </w:rPr>
            </w:pPr>
            <w:r>
              <w:rPr>
                <w:sz w:val="26"/>
                <w:szCs w:val="26"/>
                <w:lang w:val="ro-MD"/>
              </w:rPr>
              <w:t>(</w:t>
            </w:r>
            <w:hyperlink r:id="rId7" w:history="1">
              <w:r w:rsidRPr="007B4D02">
                <w:rPr>
                  <w:rStyle w:val="ad"/>
                  <w:sz w:val="26"/>
                  <w:szCs w:val="26"/>
                  <w:lang w:val="ro-MD"/>
                </w:rPr>
                <w:t>alexandru_zubco@yahoo.com</w:t>
              </w:r>
            </w:hyperlink>
            <w:r>
              <w:rPr>
                <w:sz w:val="26"/>
                <w:szCs w:val="26"/>
                <w:lang w:val="ro-MD"/>
              </w:rPr>
              <w:t>)</w:t>
            </w:r>
          </w:p>
          <w:p w:rsidR="00821A0E" w:rsidRPr="00906FE9" w:rsidRDefault="00821A0E" w:rsidP="00007784">
            <w:pPr>
              <w:widowControl w:val="0"/>
              <w:autoSpaceDE w:val="0"/>
              <w:autoSpaceDN w:val="0"/>
              <w:adjustRightInd w:val="0"/>
              <w:jc w:val="both"/>
              <w:rPr>
                <w:rFonts w:eastAsia="SimSun"/>
                <w:b/>
                <w:bCs/>
                <w:lang w:val="ro-MD" w:eastAsia="zh-CN"/>
              </w:rPr>
            </w:pPr>
          </w:p>
        </w:tc>
        <w:tc>
          <w:tcPr>
            <w:tcW w:w="6096" w:type="dxa"/>
            <w:shd w:val="clear" w:color="auto" w:fill="auto"/>
          </w:tcPr>
          <w:p w:rsidR="00821A0E" w:rsidRPr="00906FE9" w:rsidRDefault="00EC3431" w:rsidP="00DB24F6">
            <w:pPr>
              <w:ind w:firstLine="567"/>
              <w:jc w:val="both"/>
              <w:rPr>
                <w:lang w:val="ro-MD"/>
              </w:rPr>
            </w:pPr>
            <w:r>
              <w:rPr>
                <w:lang w:val="ro-MD"/>
              </w:rPr>
              <w:t>Se propune extinderea listei beneficiarilor Programului Prima casă cu componența: tineri funcționari publici, care au contractat credite ipotecare pentru procurarea spațiului locativ. Această categorie de beneficiari cuprindesute de persoane tineri funcționari publici care au contractate credite de la băncile comerciale din Moldova, astfel, fiind nevoiți să achite sume enorme din salariul mizer. Achitarea cel puțin a 50 % din suma contractului ipotecar ar facilita simțitor plata ipotecii, de altfel, încuraja tineri specialiști să-și continue activitatea în beneficiul statului. Pe de altă parte, Guvernul va asigura o echitate între toți tinerii beneficiari ai susținerii din partea autorităților de stat.</w:t>
            </w:r>
          </w:p>
        </w:tc>
        <w:tc>
          <w:tcPr>
            <w:tcW w:w="5670" w:type="dxa"/>
          </w:tcPr>
          <w:p w:rsidR="00D46CE9" w:rsidRPr="00906FE9" w:rsidRDefault="00D46CE9" w:rsidP="00D46CE9">
            <w:pPr>
              <w:pStyle w:val="Default"/>
              <w:jc w:val="both"/>
              <w:rPr>
                <w:b/>
                <w:color w:val="auto"/>
                <w:lang w:val="ro-MD"/>
              </w:rPr>
            </w:pPr>
            <w:r w:rsidRPr="00906FE9">
              <w:rPr>
                <w:b/>
                <w:color w:val="auto"/>
                <w:lang w:val="ro-MD"/>
              </w:rPr>
              <w:t>Nu se acceptă</w:t>
            </w:r>
          </w:p>
          <w:p w:rsidR="00D46CE9" w:rsidRPr="00D46CE9" w:rsidRDefault="00D46CE9" w:rsidP="00D46CE9">
            <w:pPr>
              <w:ind w:firstLine="709"/>
              <w:contextualSpacing/>
              <w:jc w:val="both"/>
              <w:rPr>
                <w:lang w:val="ro-MD"/>
              </w:rPr>
            </w:pPr>
            <w:r w:rsidRPr="00D46CE9">
              <w:rPr>
                <w:lang w:val="ro-MD"/>
              </w:rPr>
              <w:t>În scopul facilitării participării persoanelor fizice la Programul de stat „Prima casă”, lansat prin Legea nr. 293 din 21.12.2017, Guvernul a dispus acordarea unor compensații pentru angajații din sectorul public, participanți în cadrul Programului (Hotărîrea Guvernului nr. 567 din 20.06.2018).</w:t>
            </w:r>
          </w:p>
          <w:p w:rsidR="00D46CE9" w:rsidRPr="00D46CE9" w:rsidRDefault="00D46CE9" w:rsidP="00D46CE9">
            <w:pPr>
              <w:contextualSpacing/>
              <w:jc w:val="both"/>
              <w:rPr>
                <w:lang w:val="ro-MD"/>
              </w:rPr>
            </w:pPr>
            <w:r w:rsidRPr="00D46CE9">
              <w:rPr>
                <w:lang w:val="ro-MD"/>
              </w:rPr>
              <w:tab/>
              <w:t>Inițiativa Guvernului a avut drept scop diminuarea poverii creditelor ipotecare contractate, prioritar asupra angajaților instituțiilor publice finanțate din buget cu venituri mici. Din aceste considerente, la această etapă s-a limitat costul locuinței pentru care se vor acorda compensații și instituțiile publice, angajații cărora vor beneficia de facilitatea respectivă.</w:t>
            </w:r>
          </w:p>
          <w:p w:rsidR="00821A0E" w:rsidRPr="00906FE9" w:rsidRDefault="00D46CE9" w:rsidP="00EC3431">
            <w:pPr>
              <w:contextualSpacing/>
              <w:jc w:val="both"/>
              <w:rPr>
                <w:b/>
                <w:lang w:val="ro-MD"/>
              </w:rPr>
            </w:pPr>
            <w:r w:rsidRPr="00D46CE9">
              <w:rPr>
                <w:lang w:val="ro-MD"/>
              </w:rPr>
              <w:tab/>
              <w:t xml:space="preserve">Guvernul își propune și în continuare examinarea posibilităților suplimentare de susținere financiară a populației în scopul asigurării cu locuințe prin extinderea categoriilor de beneficiari, condițiilor de acordare a compensațiilor, etc., reieșind din cadrul de resurse disponibil. </w:t>
            </w:r>
          </w:p>
        </w:tc>
      </w:tr>
      <w:tr w:rsidR="00EC3431" w:rsidRPr="000450FD" w:rsidTr="00977788">
        <w:tc>
          <w:tcPr>
            <w:tcW w:w="2943" w:type="dxa"/>
          </w:tcPr>
          <w:p w:rsidR="00EC3431" w:rsidRDefault="00EC3431" w:rsidP="00EC3431">
            <w:pPr>
              <w:rPr>
                <w:b/>
                <w:sz w:val="28"/>
                <w:szCs w:val="22"/>
                <w:lang w:val="ro-MD" w:eastAsia="en-US"/>
              </w:rPr>
            </w:pPr>
            <w:r>
              <w:rPr>
                <w:b/>
                <w:sz w:val="28"/>
                <w:lang w:val="ro-MD"/>
              </w:rPr>
              <w:t>Cazan Igor</w:t>
            </w:r>
          </w:p>
          <w:p w:rsidR="00EC3431" w:rsidRPr="007B4D02" w:rsidRDefault="00EC3431" w:rsidP="00EC3431">
            <w:pPr>
              <w:rPr>
                <w:b/>
                <w:sz w:val="28"/>
                <w:lang w:val="ro-MD"/>
              </w:rPr>
            </w:pPr>
            <w:r>
              <w:rPr>
                <w:sz w:val="26"/>
                <w:szCs w:val="26"/>
                <w:lang w:val="ro-MD"/>
              </w:rPr>
              <w:t>(</w:t>
            </w:r>
            <w:r w:rsidRPr="00EC3431">
              <w:rPr>
                <w:sz w:val="26"/>
                <w:szCs w:val="26"/>
                <w:lang w:val="en-GB"/>
              </w:rPr>
              <w:t>cazan.igor@mail.ru</w:t>
            </w:r>
            <w:r>
              <w:rPr>
                <w:sz w:val="26"/>
                <w:szCs w:val="26"/>
                <w:lang w:val="ro-MD"/>
              </w:rPr>
              <w:t>)</w:t>
            </w:r>
          </w:p>
        </w:tc>
        <w:tc>
          <w:tcPr>
            <w:tcW w:w="6096" w:type="dxa"/>
            <w:shd w:val="clear" w:color="auto" w:fill="auto"/>
          </w:tcPr>
          <w:p w:rsidR="00EC3431" w:rsidRPr="00906FE9" w:rsidRDefault="00EC3431" w:rsidP="00816185">
            <w:pPr>
              <w:ind w:firstLine="567"/>
              <w:jc w:val="both"/>
              <w:rPr>
                <w:lang w:val="ro-MD"/>
              </w:rPr>
            </w:pPr>
            <w:r>
              <w:rPr>
                <w:lang w:val="ro-MD"/>
              </w:rPr>
              <w:t>Se propune de examinat posibilitatea de modificare a pct. 4 din Regulament și să prevadă următoarele: „suma creditului pentru care pot fi acordate compensații din buget nu poate depăși 500 mii lei”, în cazul dat familia</w:t>
            </w:r>
            <w:r w:rsidR="00816185">
              <w:rPr>
                <w:lang w:val="ro-MD"/>
              </w:rPr>
              <w:t xml:space="preserve"> ar avea posibilitatea să procure un apartament de cel puțin 2 camere.</w:t>
            </w:r>
          </w:p>
        </w:tc>
        <w:tc>
          <w:tcPr>
            <w:tcW w:w="5670" w:type="dxa"/>
          </w:tcPr>
          <w:p w:rsidR="00EC3431" w:rsidRPr="00EC3431" w:rsidRDefault="00EC3431" w:rsidP="00EC3431">
            <w:pPr>
              <w:pStyle w:val="Default"/>
              <w:jc w:val="both"/>
              <w:rPr>
                <w:b/>
                <w:color w:val="auto"/>
                <w:lang w:val="ro-MD"/>
              </w:rPr>
            </w:pPr>
            <w:r w:rsidRPr="00EC3431">
              <w:rPr>
                <w:b/>
                <w:color w:val="auto"/>
                <w:lang w:val="ro-MD"/>
              </w:rPr>
              <w:t>Nu se acceptă</w:t>
            </w:r>
          </w:p>
          <w:p w:rsidR="00EC3431" w:rsidRPr="00EC3431" w:rsidRDefault="00EC3431" w:rsidP="00EC3431">
            <w:pPr>
              <w:ind w:firstLine="851"/>
              <w:contextualSpacing/>
              <w:jc w:val="both"/>
              <w:rPr>
                <w:lang w:val="ro-MD" w:eastAsia="en-US"/>
              </w:rPr>
            </w:pPr>
            <w:r w:rsidRPr="00EC3431">
              <w:rPr>
                <w:lang w:val="ro-MD"/>
              </w:rPr>
              <w:t xml:space="preserve">La etapa consultării proiectului, în urma analizei valorii medii de vînzare-cumpărare a bunurilor imobile eligibile în cadrul Programului, costul locuinței pentru care ar putea fi acordate </w:t>
            </w:r>
            <w:r w:rsidRPr="00EC3431">
              <w:rPr>
                <w:lang w:val="ro-MD"/>
              </w:rPr>
              <w:lastRenderedPageBreak/>
              <w:t>compensații a fost ajustat la realitățile existente pe piața imobiliară, fiind plafonat la 600,0 mii lei.</w:t>
            </w:r>
          </w:p>
          <w:p w:rsidR="00EC3431" w:rsidRPr="00EC3431" w:rsidRDefault="00EC3431" w:rsidP="00EC3431">
            <w:pPr>
              <w:ind w:firstLine="851"/>
              <w:contextualSpacing/>
              <w:jc w:val="both"/>
              <w:rPr>
                <w:lang w:val="ro-MD"/>
              </w:rPr>
            </w:pPr>
            <w:r w:rsidRPr="00EC3431">
              <w:rPr>
                <w:lang w:val="ro-MD"/>
              </w:rPr>
              <w:t xml:space="preserve">Guvernul își propune și în continuare examinarea posibilităților suplimentare de susținere financiară a populației în scopul asigurării cu locuințe prin extinderea categoriilor de beneficiari, condițiilor de acordare a compensațiilor, etc., reieșind din cadrul de resurse disponibil. </w:t>
            </w:r>
          </w:p>
          <w:p w:rsidR="00EC3431" w:rsidRPr="00EC3431" w:rsidRDefault="00EC3431" w:rsidP="00D46CE9">
            <w:pPr>
              <w:pStyle w:val="Default"/>
              <w:jc w:val="both"/>
              <w:rPr>
                <w:color w:val="auto"/>
                <w:lang w:val="ro-MD"/>
              </w:rPr>
            </w:pPr>
          </w:p>
        </w:tc>
      </w:tr>
    </w:tbl>
    <w:p w:rsidR="00860391" w:rsidRPr="00821D4F" w:rsidRDefault="00860391" w:rsidP="00860391">
      <w:pPr>
        <w:pStyle w:val="Default"/>
        <w:rPr>
          <w:color w:val="auto"/>
          <w:lang w:val="ro-MD"/>
        </w:rPr>
      </w:pPr>
    </w:p>
    <w:sectPr w:rsidR="00860391" w:rsidRPr="00821D4F" w:rsidSect="00CB32F1">
      <w:footerReference w:type="default" r:id="rId8"/>
      <w:pgSz w:w="16838" w:h="11906" w:orient="landscape"/>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101" w:rsidRDefault="00B50101" w:rsidP="00FA2084">
      <w:r>
        <w:separator/>
      </w:r>
    </w:p>
  </w:endnote>
  <w:endnote w:type="continuationSeparator" w:id="0">
    <w:p w:rsidR="00B50101" w:rsidRDefault="00B50101" w:rsidP="00FA2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472436"/>
      <w:docPartObj>
        <w:docPartGallery w:val="Page Numbers (Bottom of Page)"/>
        <w:docPartUnique/>
      </w:docPartObj>
    </w:sdtPr>
    <w:sdtEndPr>
      <w:rPr>
        <w:noProof/>
      </w:rPr>
    </w:sdtEndPr>
    <w:sdtContent>
      <w:p w:rsidR="00FA2084" w:rsidRDefault="00FA2084">
        <w:pPr>
          <w:pStyle w:val="ab"/>
          <w:jc w:val="right"/>
        </w:pPr>
        <w:r>
          <w:fldChar w:fldCharType="begin"/>
        </w:r>
        <w:r>
          <w:instrText xml:space="preserve"> PAGE   \* MERGEFORMAT </w:instrText>
        </w:r>
        <w:r>
          <w:fldChar w:fldCharType="separate"/>
        </w:r>
        <w:r w:rsidR="00D75E64">
          <w:rPr>
            <w:noProof/>
          </w:rPr>
          <w:t>8</w:t>
        </w:r>
        <w:r>
          <w:rPr>
            <w:noProof/>
          </w:rPr>
          <w:fldChar w:fldCharType="end"/>
        </w:r>
      </w:p>
    </w:sdtContent>
  </w:sdt>
  <w:p w:rsidR="00FA2084" w:rsidRDefault="00FA208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101" w:rsidRDefault="00B50101" w:rsidP="00FA2084">
      <w:r>
        <w:separator/>
      </w:r>
    </w:p>
  </w:footnote>
  <w:footnote w:type="continuationSeparator" w:id="0">
    <w:p w:rsidR="00B50101" w:rsidRDefault="00B50101" w:rsidP="00FA2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529"/>
    <w:multiLevelType w:val="hybridMultilevel"/>
    <w:tmpl w:val="D18C830C"/>
    <w:lvl w:ilvl="0" w:tplc="CFDCBFD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C13B89"/>
    <w:multiLevelType w:val="hybridMultilevel"/>
    <w:tmpl w:val="8B048EAE"/>
    <w:lvl w:ilvl="0" w:tplc="93E6514E">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391"/>
    <w:rsid w:val="00007784"/>
    <w:rsid w:val="00016BB4"/>
    <w:rsid w:val="00021803"/>
    <w:rsid w:val="00030CAB"/>
    <w:rsid w:val="00035203"/>
    <w:rsid w:val="00044F9C"/>
    <w:rsid w:val="000450FD"/>
    <w:rsid w:val="00050C65"/>
    <w:rsid w:val="00082426"/>
    <w:rsid w:val="000948A4"/>
    <w:rsid w:val="00096F56"/>
    <w:rsid w:val="00097B3B"/>
    <w:rsid w:val="000A1B05"/>
    <w:rsid w:val="000B7481"/>
    <w:rsid w:val="000D7554"/>
    <w:rsid w:val="001130FB"/>
    <w:rsid w:val="0011604A"/>
    <w:rsid w:val="00120C37"/>
    <w:rsid w:val="00125303"/>
    <w:rsid w:val="001A58C8"/>
    <w:rsid w:val="001A5A91"/>
    <w:rsid w:val="001B343D"/>
    <w:rsid w:val="001C2234"/>
    <w:rsid w:val="001D72C4"/>
    <w:rsid w:val="00246DDA"/>
    <w:rsid w:val="002524FF"/>
    <w:rsid w:val="002A37C5"/>
    <w:rsid w:val="002C1742"/>
    <w:rsid w:val="002C6123"/>
    <w:rsid w:val="003173E5"/>
    <w:rsid w:val="003226EA"/>
    <w:rsid w:val="00334CCE"/>
    <w:rsid w:val="00350550"/>
    <w:rsid w:val="00361A64"/>
    <w:rsid w:val="00374AAD"/>
    <w:rsid w:val="003B3986"/>
    <w:rsid w:val="003B4BDA"/>
    <w:rsid w:val="003D0D58"/>
    <w:rsid w:val="003D6894"/>
    <w:rsid w:val="003F7A14"/>
    <w:rsid w:val="00413F9E"/>
    <w:rsid w:val="00424FD7"/>
    <w:rsid w:val="004642C2"/>
    <w:rsid w:val="004A1F4C"/>
    <w:rsid w:val="004B2C46"/>
    <w:rsid w:val="004E4465"/>
    <w:rsid w:val="00500922"/>
    <w:rsid w:val="00516810"/>
    <w:rsid w:val="00536B17"/>
    <w:rsid w:val="005515BD"/>
    <w:rsid w:val="00571826"/>
    <w:rsid w:val="005B1CF4"/>
    <w:rsid w:val="005E2950"/>
    <w:rsid w:val="005F5F01"/>
    <w:rsid w:val="0061202C"/>
    <w:rsid w:val="006431BB"/>
    <w:rsid w:val="00650A9F"/>
    <w:rsid w:val="00664ECB"/>
    <w:rsid w:val="00672B9E"/>
    <w:rsid w:val="00675B41"/>
    <w:rsid w:val="00685E77"/>
    <w:rsid w:val="00686242"/>
    <w:rsid w:val="00686C11"/>
    <w:rsid w:val="006E6E19"/>
    <w:rsid w:val="006F1833"/>
    <w:rsid w:val="00715E18"/>
    <w:rsid w:val="007226F3"/>
    <w:rsid w:val="00762DF6"/>
    <w:rsid w:val="0076580F"/>
    <w:rsid w:val="00792897"/>
    <w:rsid w:val="007B53B8"/>
    <w:rsid w:val="007C79C6"/>
    <w:rsid w:val="007E2CAD"/>
    <w:rsid w:val="00802649"/>
    <w:rsid w:val="00813ECA"/>
    <w:rsid w:val="008140E9"/>
    <w:rsid w:val="00816185"/>
    <w:rsid w:val="00821A0E"/>
    <w:rsid w:val="00821D4F"/>
    <w:rsid w:val="00860391"/>
    <w:rsid w:val="00865800"/>
    <w:rsid w:val="00892F36"/>
    <w:rsid w:val="00897C0F"/>
    <w:rsid w:val="009017BE"/>
    <w:rsid w:val="00904D29"/>
    <w:rsid w:val="00906FE9"/>
    <w:rsid w:val="00910B68"/>
    <w:rsid w:val="00942F28"/>
    <w:rsid w:val="00952A57"/>
    <w:rsid w:val="00956B98"/>
    <w:rsid w:val="0096333D"/>
    <w:rsid w:val="00963743"/>
    <w:rsid w:val="00963B03"/>
    <w:rsid w:val="0097346B"/>
    <w:rsid w:val="00974FC5"/>
    <w:rsid w:val="009766BF"/>
    <w:rsid w:val="00977788"/>
    <w:rsid w:val="00983464"/>
    <w:rsid w:val="009A2BB7"/>
    <w:rsid w:val="009B71D6"/>
    <w:rsid w:val="009B78B1"/>
    <w:rsid w:val="009C361E"/>
    <w:rsid w:val="009D5DE3"/>
    <w:rsid w:val="009D6E04"/>
    <w:rsid w:val="009E720A"/>
    <w:rsid w:val="009E7A17"/>
    <w:rsid w:val="009F3A57"/>
    <w:rsid w:val="00A03255"/>
    <w:rsid w:val="00A3437A"/>
    <w:rsid w:val="00A51A7B"/>
    <w:rsid w:val="00A5511D"/>
    <w:rsid w:val="00AC6D50"/>
    <w:rsid w:val="00AE213C"/>
    <w:rsid w:val="00B1552C"/>
    <w:rsid w:val="00B42537"/>
    <w:rsid w:val="00B50101"/>
    <w:rsid w:val="00B57CE4"/>
    <w:rsid w:val="00B97431"/>
    <w:rsid w:val="00BB4511"/>
    <w:rsid w:val="00BD5032"/>
    <w:rsid w:val="00BF196A"/>
    <w:rsid w:val="00C3454F"/>
    <w:rsid w:val="00C473A2"/>
    <w:rsid w:val="00C53F3E"/>
    <w:rsid w:val="00C5726E"/>
    <w:rsid w:val="00C61A2A"/>
    <w:rsid w:val="00C61C64"/>
    <w:rsid w:val="00C77BAC"/>
    <w:rsid w:val="00C85209"/>
    <w:rsid w:val="00C91FBC"/>
    <w:rsid w:val="00CA725A"/>
    <w:rsid w:val="00CA7791"/>
    <w:rsid w:val="00CB32F1"/>
    <w:rsid w:val="00CC6B95"/>
    <w:rsid w:val="00CC6D84"/>
    <w:rsid w:val="00D2610A"/>
    <w:rsid w:val="00D3170A"/>
    <w:rsid w:val="00D45A78"/>
    <w:rsid w:val="00D46CE9"/>
    <w:rsid w:val="00D57600"/>
    <w:rsid w:val="00D75E64"/>
    <w:rsid w:val="00DA083E"/>
    <w:rsid w:val="00DB0C97"/>
    <w:rsid w:val="00DB24F6"/>
    <w:rsid w:val="00DB78C7"/>
    <w:rsid w:val="00DD3E09"/>
    <w:rsid w:val="00DF3A70"/>
    <w:rsid w:val="00E473E7"/>
    <w:rsid w:val="00E918D5"/>
    <w:rsid w:val="00EC3431"/>
    <w:rsid w:val="00ED663A"/>
    <w:rsid w:val="00EF00F3"/>
    <w:rsid w:val="00F61D82"/>
    <w:rsid w:val="00F82DAA"/>
    <w:rsid w:val="00F83545"/>
    <w:rsid w:val="00FA2084"/>
    <w:rsid w:val="00FB55AF"/>
    <w:rsid w:val="00FD0285"/>
    <w:rsid w:val="00FE1DC1"/>
    <w:rsid w:val="00FE2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291C"/>
  <w15:docId w15:val="{A5E71938-C685-4963-9D4E-4BCBA1C8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3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039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a4"/>
    <w:rsid w:val="00860391"/>
    <w:pPr>
      <w:ind w:firstLine="709"/>
      <w:jc w:val="both"/>
    </w:pPr>
    <w:rPr>
      <w:lang w:val="ro-RO"/>
    </w:rPr>
  </w:style>
  <w:style w:type="character" w:customStyle="1" w:styleId="a4">
    <w:name w:val="Основной текст Знак"/>
    <w:basedOn w:val="a0"/>
    <w:link w:val="a3"/>
    <w:rsid w:val="00860391"/>
    <w:rPr>
      <w:rFonts w:ascii="Times New Roman" w:eastAsia="Times New Roman" w:hAnsi="Times New Roman" w:cs="Times New Roman"/>
      <w:sz w:val="24"/>
      <w:szCs w:val="24"/>
      <w:lang w:val="ro-RO" w:eastAsia="ru-RU"/>
    </w:rPr>
  </w:style>
  <w:style w:type="table" w:styleId="a5">
    <w:name w:val="Table Grid"/>
    <w:basedOn w:val="a1"/>
    <w:uiPriority w:val="59"/>
    <w:rsid w:val="003D0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Normal (Web) Char Char,Normal (Web) Char Char Char,Normal (Web) Char Char Char Char,Normal (Web) Char Char Char Char Char Char,Normal (Web) Char Char Char Char Char,Знак"/>
    <w:basedOn w:val="a"/>
    <w:link w:val="a7"/>
    <w:uiPriority w:val="99"/>
    <w:unhideWhenUsed/>
    <w:qFormat/>
    <w:rsid w:val="00D3170A"/>
    <w:pPr>
      <w:ind w:firstLine="567"/>
      <w:jc w:val="both"/>
    </w:pPr>
  </w:style>
  <w:style w:type="character" w:customStyle="1" w:styleId="a7">
    <w:name w:val="Обычный (веб) Знак"/>
    <w:aliases w:val="Normal (Web) Char Char Знак,Normal (Web) Char Char Char Знак,Normal (Web) Char Char Char Char Знак,Normal (Web) Char Char Char Char Char Char Знак,Normal (Web) Char Char Char Char Char Знак,Знак Знак"/>
    <w:basedOn w:val="a0"/>
    <w:link w:val="a6"/>
    <w:uiPriority w:val="99"/>
    <w:rsid w:val="00D3170A"/>
    <w:rPr>
      <w:rFonts w:ascii="Times New Roman" w:eastAsia="Times New Roman" w:hAnsi="Times New Roman" w:cs="Times New Roman"/>
      <w:sz w:val="24"/>
      <w:szCs w:val="24"/>
      <w:lang w:eastAsia="ru-RU"/>
    </w:rPr>
  </w:style>
  <w:style w:type="paragraph" w:styleId="a8">
    <w:name w:val="List Paragraph"/>
    <w:basedOn w:val="a"/>
    <w:uiPriority w:val="34"/>
    <w:qFormat/>
    <w:rsid w:val="001C2234"/>
    <w:pPr>
      <w:ind w:left="720"/>
      <w:contextualSpacing/>
    </w:pPr>
  </w:style>
  <w:style w:type="paragraph" w:styleId="a9">
    <w:name w:val="header"/>
    <w:basedOn w:val="a"/>
    <w:link w:val="aa"/>
    <w:uiPriority w:val="99"/>
    <w:unhideWhenUsed/>
    <w:rsid w:val="00FA2084"/>
    <w:pPr>
      <w:tabs>
        <w:tab w:val="center" w:pos="4513"/>
        <w:tab w:val="right" w:pos="9026"/>
      </w:tabs>
    </w:pPr>
  </w:style>
  <w:style w:type="character" w:customStyle="1" w:styleId="aa">
    <w:name w:val="Верхний колонтитул Знак"/>
    <w:basedOn w:val="a0"/>
    <w:link w:val="a9"/>
    <w:uiPriority w:val="99"/>
    <w:rsid w:val="00FA2084"/>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A2084"/>
    <w:pPr>
      <w:tabs>
        <w:tab w:val="center" w:pos="4513"/>
        <w:tab w:val="right" w:pos="9026"/>
      </w:tabs>
    </w:pPr>
  </w:style>
  <w:style w:type="character" w:customStyle="1" w:styleId="ac">
    <w:name w:val="Нижний колонтитул Знак"/>
    <w:basedOn w:val="a0"/>
    <w:link w:val="ab"/>
    <w:uiPriority w:val="99"/>
    <w:rsid w:val="00FA2084"/>
    <w:rPr>
      <w:rFonts w:ascii="Times New Roman" w:eastAsia="Times New Roman" w:hAnsi="Times New Roman" w:cs="Times New Roman"/>
      <w:sz w:val="24"/>
      <w:szCs w:val="24"/>
      <w:lang w:eastAsia="ru-RU"/>
    </w:rPr>
  </w:style>
  <w:style w:type="character" w:styleId="ad">
    <w:name w:val="Hyperlink"/>
    <w:basedOn w:val="a0"/>
    <w:uiPriority w:val="99"/>
    <w:unhideWhenUsed/>
    <w:rsid w:val="00821A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16180">
      <w:bodyDiv w:val="1"/>
      <w:marLeft w:val="0"/>
      <w:marRight w:val="0"/>
      <w:marTop w:val="0"/>
      <w:marBottom w:val="0"/>
      <w:divBdr>
        <w:top w:val="none" w:sz="0" w:space="0" w:color="auto"/>
        <w:left w:val="none" w:sz="0" w:space="0" w:color="auto"/>
        <w:bottom w:val="none" w:sz="0" w:space="0" w:color="auto"/>
        <w:right w:val="none" w:sz="0" w:space="0" w:color="auto"/>
      </w:divBdr>
    </w:div>
    <w:div w:id="65375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exandru_zubco@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2055</Words>
  <Characters>11720</Characters>
  <Application>Microsoft Office Word</Application>
  <DocSecurity>0</DocSecurity>
  <Lines>97</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Grigore</dc:creator>
  <cp:lastModifiedBy>Raisa Ghilan</cp:lastModifiedBy>
  <cp:revision>5</cp:revision>
  <cp:lastPrinted>2017-12-13T09:35:00Z</cp:lastPrinted>
  <dcterms:created xsi:type="dcterms:W3CDTF">2018-07-12T12:23:00Z</dcterms:created>
  <dcterms:modified xsi:type="dcterms:W3CDTF">2018-07-12T13:14:00Z</dcterms:modified>
</cp:coreProperties>
</file>