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062632" w14:textId="77777777" w:rsidR="00DA0595" w:rsidRPr="00DA0595" w:rsidRDefault="00DA0595" w:rsidP="00802FC5">
      <w:pPr>
        <w:pStyle w:val="cp"/>
        <w:spacing w:line="360" w:lineRule="auto"/>
        <w:jc w:val="both"/>
        <w:rPr>
          <w:b w:val="0"/>
          <w:noProof/>
          <w:sz w:val="28"/>
          <w:szCs w:val="28"/>
          <w:lang w:val="ro-RO"/>
        </w:rPr>
      </w:pPr>
    </w:p>
    <w:p w14:paraId="07F15E18" w14:textId="77777777" w:rsidR="005826D6" w:rsidRPr="00DA0595" w:rsidRDefault="009A7A3E" w:rsidP="005826D6">
      <w:pPr>
        <w:spacing w:after="0" w:line="240" w:lineRule="auto"/>
        <w:ind w:firstLine="547"/>
        <w:contextualSpacing/>
        <w:jc w:val="center"/>
        <w:rPr>
          <w:rFonts w:ascii="Times New Roman" w:hAnsi="Times New Roman" w:cs="Times New Roman"/>
          <w:b/>
          <w:noProof/>
          <w:sz w:val="28"/>
          <w:szCs w:val="28"/>
          <w:lang w:val="ro-RO"/>
        </w:rPr>
      </w:pPr>
      <w:r w:rsidRPr="00DA0595">
        <w:rPr>
          <w:rFonts w:ascii="Times New Roman" w:eastAsia="Times New Roman" w:hAnsi="Times New Roman" w:cs="Times New Roman"/>
          <w:noProof/>
          <w:sz w:val="28"/>
          <w:szCs w:val="28"/>
          <w:lang w:val="ro-RO"/>
        </w:rPr>
        <w:t> </w:t>
      </w:r>
      <w:r w:rsidR="005826D6" w:rsidRPr="00DA0595">
        <w:rPr>
          <w:rFonts w:ascii="Times New Roman" w:hAnsi="Times New Roman" w:cs="Times New Roman"/>
          <w:b/>
          <w:noProof/>
          <w:sz w:val="28"/>
          <w:szCs w:val="28"/>
          <w:lang w:val="ro-RO"/>
        </w:rPr>
        <w:t>NOTA INFORMATIVĂ</w:t>
      </w:r>
    </w:p>
    <w:p w14:paraId="113C251E" w14:textId="77777777" w:rsidR="002756A2" w:rsidRDefault="005826D6" w:rsidP="005826D6">
      <w:pPr>
        <w:spacing w:after="0" w:line="240" w:lineRule="auto"/>
        <w:ind w:firstLine="547"/>
        <w:contextualSpacing/>
        <w:jc w:val="center"/>
        <w:rPr>
          <w:rFonts w:ascii="Times New Roman" w:hAnsi="Times New Roman" w:cs="Times New Roman"/>
          <w:b/>
          <w:noProof/>
          <w:sz w:val="28"/>
          <w:szCs w:val="28"/>
          <w:lang w:val="ro-RO"/>
        </w:rPr>
      </w:pPr>
      <w:r w:rsidRPr="00DA0595">
        <w:rPr>
          <w:rFonts w:ascii="Times New Roman" w:hAnsi="Times New Roman" w:cs="Times New Roman"/>
          <w:b/>
          <w:noProof/>
          <w:sz w:val="28"/>
          <w:szCs w:val="28"/>
          <w:lang w:val="ro-RO"/>
        </w:rPr>
        <w:t xml:space="preserve">la proiectul de Lege pentru modificarea </w:t>
      </w:r>
    </w:p>
    <w:p w14:paraId="51B38048" w14:textId="4B6899A2" w:rsidR="005826D6" w:rsidRPr="00DA0595" w:rsidRDefault="005826D6" w:rsidP="002756A2">
      <w:pPr>
        <w:spacing w:after="0" w:line="240" w:lineRule="auto"/>
        <w:ind w:firstLine="547"/>
        <w:contextualSpacing/>
        <w:jc w:val="center"/>
        <w:rPr>
          <w:rFonts w:ascii="Times New Roman" w:hAnsi="Times New Roman" w:cs="Times New Roman"/>
          <w:b/>
          <w:noProof/>
          <w:sz w:val="28"/>
          <w:szCs w:val="28"/>
          <w:lang w:val="ro-RO"/>
        </w:rPr>
      </w:pPr>
      <w:r w:rsidRPr="00DA0595">
        <w:rPr>
          <w:rFonts w:ascii="Times New Roman" w:hAnsi="Times New Roman" w:cs="Times New Roman"/>
          <w:b/>
          <w:noProof/>
          <w:sz w:val="28"/>
          <w:szCs w:val="28"/>
          <w:lang w:val="ro-RO"/>
        </w:rPr>
        <w:t>și completarea unor acte legislative</w:t>
      </w:r>
    </w:p>
    <w:p w14:paraId="6E4D2185" w14:textId="77777777" w:rsidR="005826D6" w:rsidRPr="00DA0595" w:rsidRDefault="005826D6" w:rsidP="005826D6">
      <w:pPr>
        <w:spacing w:after="0" w:line="240" w:lineRule="auto"/>
        <w:ind w:firstLine="547"/>
        <w:contextualSpacing/>
        <w:jc w:val="center"/>
        <w:rPr>
          <w:rFonts w:ascii="Times New Roman" w:hAnsi="Times New Roman" w:cs="Times New Roman"/>
          <w:b/>
          <w:noProof/>
          <w:sz w:val="28"/>
          <w:szCs w:val="28"/>
          <w:lang w:val="ro-RO"/>
        </w:rPr>
      </w:pPr>
    </w:p>
    <w:tbl>
      <w:tblPr>
        <w:tblW w:w="10170"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70"/>
      </w:tblGrid>
      <w:tr w:rsidR="005826D6" w:rsidRPr="003A2A39" w14:paraId="03266CC7" w14:textId="77777777" w:rsidTr="009F4175">
        <w:tc>
          <w:tcPr>
            <w:tcW w:w="10170" w:type="dxa"/>
            <w:shd w:val="clear" w:color="auto" w:fill="BFBFBF"/>
          </w:tcPr>
          <w:p w14:paraId="200BE394" w14:textId="77777777" w:rsidR="005826D6" w:rsidRPr="00DA0595" w:rsidRDefault="005826D6" w:rsidP="009F4175">
            <w:pPr>
              <w:spacing w:after="0" w:line="240" w:lineRule="auto"/>
              <w:ind w:right="-18"/>
              <w:contextualSpacing/>
              <w:jc w:val="both"/>
              <w:rPr>
                <w:rFonts w:ascii="Times New Roman" w:hAnsi="Times New Roman" w:cs="Times New Roman"/>
                <w:b/>
                <w:noProof/>
                <w:sz w:val="28"/>
                <w:szCs w:val="28"/>
                <w:lang w:val="ro-RO"/>
              </w:rPr>
            </w:pPr>
            <w:r w:rsidRPr="00DA0595">
              <w:rPr>
                <w:rFonts w:ascii="Times New Roman" w:hAnsi="Times New Roman" w:cs="Times New Roman"/>
                <w:b/>
                <w:noProof/>
                <w:sz w:val="28"/>
                <w:szCs w:val="28"/>
                <w:lang w:val="ro-RO"/>
              </w:rPr>
              <w:t>Numele iniţiatorului şi a autorului, precum şi a participanţilor la elaborarea proiectului</w:t>
            </w:r>
          </w:p>
        </w:tc>
      </w:tr>
      <w:tr w:rsidR="00DA0595" w:rsidRPr="003A2A39" w14:paraId="31B4F199" w14:textId="77777777" w:rsidTr="009271E8">
        <w:tc>
          <w:tcPr>
            <w:tcW w:w="10170" w:type="dxa"/>
            <w:tcBorders>
              <w:bottom w:val="nil"/>
            </w:tcBorders>
          </w:tcPr>
          <w:p w14:paraId="7427B0C2" w14:textId="33AF29CB" w:rsidR="00DA0595" w:rsidRPr="00DA0595" w:rsidRDefault="00DA0595" w:rsidP="00DA0595">
            <w:pPr>
              <w:spacing w:after="0" w:line="240" w:lineRule="auto"/>
              <w:jc w:val="both"/>
              <w:rPr>
                <w:rFonts w:ascii="Times New Roman" w:hAnsi="Times New Roman" w:cs="Times New Roman"/>
                <w:noProof/>
                <w:sz w:val="28"/>
                <w:szCs w:val="28"/>
                <w:lang w:val="ro-RO"/>
              </w:rPr>
            </w:pPr>
            <w:r w:rsidRPr="00DA0595">
              <w:rPr>
                <w:rFonts w:ascii="Times New Roman" w:hAnsi="Times New Roman" w:cs="Times New Roman"/>
                <w:noProof/>
                <w:sz w:val="28"/>
                <w:szCs w:val="28"/>
                <w:lang w:val="ro-RO"/>
              </w:rPr>
              <w:t>Proiectul de Lege pentru modificarea și completarea unor acte legislative a fost elaborat de către Ministerul Sănătății, Muncii și Protecției Sociale.</w:t>
            </w:r>
          </w:p>
        </w:tc>
      </w:tr>
      <w:tr w:rsidR="00DA0595" w:rsidRPr="00DA0595" w14:paraId="327C46B8" w14:textId="77777777" w:rsidTr="009F4175">
        <w:tc>
          <w:tcPr>
            <w:tcW w:w="10170" w:type="dxa"/>
            <w:shd w:val="clear" w:color="auto" w:fill="BFBFBF"/>
          </w:tcPr>
          <w:p w14:paraId="05A55360" w14:textId="77777777" w:rsidR="00DA0595" w:rsidRPr="00DA0595" w:rsidRDefault="00DA0595" w:rsidP="00DA0595">
            <w:pPr>
              <w:spacing w:after="0"/>
              <w:ind w:left="-18" w:right="-108" w:firstLine="18"/>
              <w:contextualSpacing/>
              <w:jc w:val="both"/>
              <w:rPr>
                <w:rFonts w:ascii="Times New Roman" w:hAnsi="Times New Roman" w:cs="Times New Roman"/>
                <w:b/>
                <w:noProof/>
                <w:sz w:val="28"/>
                <w:szCs w:val="28"/>
                <w:highlight w:val="lightGray"/>
                <w:lang w:val="ro-RO"/>
              </w:rPr>
            </w:pPr>
            <w:r w:rsidRPr="00DA0595">
              <w:rPr>
                <w:rFonts w:ascii="Times New Roman" w:hAnsi="Times New Roman" w:cs="Times New Roman"/>
                <w:b/>
                <w:noProof/>
                <w:sz w:val="28"/>
                <w:szCs w:val="28"/>
                <w:lang w:val="ro-RO"/>
              </w:rPr>
              <w:t>Scopul şi obiectivele urmărite prin adoptarea actului normativ</w:t>
            </w:r>
          </w:p>
        </w:tc>
      </w:tr>
      <w:tr w:rsidR="00DA0595" w:rsidRPr="003A2A39" w14:paraId="47F9E7B4" w14:textId="77777777" w:rsidTr="009F4175">
        <w:tc>
          <w:tcPr>
            <w:tcW w:w="10170" w:type="dxa"/>
          </w:tcPr>
          <w:p w14:paraId="0B0CC3F2" w14:textId="3A00452A" w:rsidR="008D74DB" w:rsidRPr="00DA0595" w:rsidRDefault="00DA0595" w:rsidP="00A76414">
            <w:pPr>
              <w:pStyle w:val="cp"/>
              <w:jc w:val="both"/>
              <w:rPr>
                <w:noProof/>
                <w:sz w:val="28"/>
                <w:szCs w:val="28"/>
                <w:lang w:val="ro-RO"/>
              </w:rPr>
            </w:pPr>
            <w:r w:rsidRPr="004B49CA">
              <w:rPr>
                <w:b w:val="0"/>
                <w:noProof/>
                <w:sz w:val="28"/>
                <w:szCs w:val="28"/>
                <w:lang w:val="ro-RO"/>
              </w:rPr>
              <w:t xml:space="preserve">Scopul elaborării prezentului proiect de </w:t>
            </w:r>
            <w:r w:rsidR="00080177" w:rsidRPr="004B49CA">
              <w:rPr>
                <w:b w:val="0"/>
                <w:noProof/>
                <w:sz w:val="28"/>
                <w:szCs w:val="28"/>
                <w:lang w:val="ro-RO"/>
              </w:rPr>
              <w:t xml:space="preserve">lege </w:t>
            </w:r>
            <w:r w:rsidRPr="004B49CA">
              <w:rPr>
                <w:b w:val="0"/>
                <w:noProof/>
                <w:sz w:val="28"/>
                <w:szCs w:val="28"/>
                <w:lang w:val="ro-RO"/>
              </w:rPr>
              <w:t>constă în</w:t>
            </w:r>
            <w:r w:rsidR="008D74DB" w:rsidRPr="00DA0595">
              <w:rPr>
                <w:b w:val="0"/>
                <w:noProof/>
                <w:sz w:val="28"/>
                <w:szCs w:val="28"/>
                <w:lang w:val="ro-RO"/>
              </w:rPr>
              <w:t xml:space="preserve"> modific</w:t>
            </w:r>
            <w:r w:rsidR="008D74DB">
              <w:rPr>
                <w:b w:val="0"/>
                <w:noProof/>
                <w:sz w:val="28"/>
                <w:szCs w:val="28"/>
                <w:lang w:val="ro-RO"/>
              </w:rPr>
              <w:t>area</w:t>
            </w:r>
            <w:r w:rsidR="008D74DB" w:rsidRPr="00DA0595">
              <w:rPr>
                <w:b w:val="0"/>
                <w:noProof/>
                <w:sz w:val="28"/>
                <w:szCs w:val="28"/>
                <w:lang w:val="ro-RO"/>
              </w:rPr>
              <w:t xml:space="preserve"> și complet</w:t>
            </w:r>
            <w:r w:rsidR="008D74DB">
              <w:rPr>
                <w:b w:val="0"/>
                <w:noProof/>
                <w:sz w:val="28"/>
                <w:szCs w:val="28"/>
                <w:lang w:val="ro-RO"/>
              </w:rPr>
              <w:t>area</w:t>
            </w:r>
            <w:r w:rsidR="008D74DB" w:rsidRPr="00DA0595">
              <w:rPr>
                <w:b w:val="0"/>
                <w:noProof/>
                <w:sz w:val="28"/>
                <w:szCs w:val="28"/>
                <w:lang w:val="ro-RO"/>
              </w:rPr>
              <w:t xml:space="preserve"> Leg</w:t>
            </w:r>
            <w:r w:rsidR="008D74DB">
              <w:rPr>
                <w:b w:val="0"/>
                <w:noProof/>
                <w:sz w:val="28"/>
                <w:szCs w:val="28"/>
                <w:lang w:val="ro-RO"/>
              </w:rPr>
              <w:t>ii</w:t>
            </w:r>
            <w:r w:rsidR="008D74DB" w:rsidRPr="00DA0595">
              <w:rPr>
                <w:b w:val="0"/>
                <w:noProof/>
                <w:sz w:val="28"/>
                <w:szCs w:val="28"/>
                <w:lang w:val="ro-RO"/>
              </w:rPr>
              <w:t xml:space="preserve"> 489/1999 privind sistemul public de asigurări sociale și </w:t>
            </w:r>
            <w:r w:rsidR="008D74DB">
              <w:rPr>
                <w:b w:val="0"/>
                <w:noProof/>
                <w:sz w:val="28"/>
                <w:szCs w:val="28"/>
                <w:lang w:val="ro-RO"/>
              </w:rPr>
              <w:t>modificarea</w:t>
            </w:r>
            <w:r w:rsidR="008D74DB" w:rsidRPr="00DA0595">
              <w:rPr>
                <w:b w:val="0"/>
                <w:noProof/>
                <w:sz w:val="28"/>
                <w:szCs w:val="28"/>
                <w:lang w:val="ro-RO"/>
              </w:rPr>
              <w:t xml:space="preserve"> Leg</w:t>
            </w:r>
            <w:r w:rsidR="008D74DB">
              <w:rPr>
                <w:b w:val="0"/>
                <w:noProof/>
                <w:sz w:val="28"/>
                <w:szCs w:val="28"/>
                <w:lang w:val="ro-RO"/>
              </w:rPr>
              <w:t>ii</w:t>
            </w:r>
            <w:r w:rsidR="008D74DB" w:rsidRPr="00DA0595">
              <w:rPr>
                <w:b w:val="0"/>
                <w:noProof/>
                <w:sz w:val="28"/>
                <w:szCs w:val="28"/>
                <w:lang w:val="ro-RO"/>
              </w:rPr>
              <w:t xml:space="preserve"> 289/2004 privind indemnizațiile pentru incapacitate temporară de muncă şi alte prestaţii de asigurări sociale</w:t>
            </w:r>
            <w:r w:rsidR="008D74DB" w:rsidRPr="00DA0595">
              <w:rPr>
                <w:noProof/>
                <w:sz w:val="28"/>
                <w:szCs w:val="28"/>
                <w:lang w:val="ro-RO"/>
              </w:rPr>
              <w:t>.</w:t>
            </w:r>
          </w:p>
          <w:p w14:paraId="71FF02BF" w14:textId="21E6A9DB" w:rsidR="00B93096" w:rsidRDefault="00B93096" w:rsidP="00A76414">
            <w:pPr>
              <w:spacing w:line="240" w:lineRule="auto"/>
              <w:jc w:val="both"/>
              <w:rPr>
                <w:rFonts w:ascii="Times New Roman" w:hAnsi="Times New Roman" w:cs="Times New Roman"/>
                <w:noProof/>
                <w:sz w:val="28"/>
                <w:szCs w:val="28"/>
                <w:lang w:val="ro-RO"/>
              </w:rPr>
            </w:pPr>
            <w:r>
              <w:rPr>
                <w:rFonts w:ascii="Times New Roman" w:hAnsi="Times New Roman" w:cs="Times New Roman"/>
                <w:noProof/>
                <w:sz w:val="28"/>
                <w:szCs w:val="28"/>
                <w:lang w:val="ro-RO"/>
              </w:rPr>
              <w:t>La a</w:t>
            </w:r>
            <w:r w:rsidR="00080177" w:rsidRPr="00B93096">
              <w:rPr>
                <w:rFonts w:ascii="Times New Roman" w:hAnsi="Times New Roman" w:cs="Times New Roman"/>
                <w:noProof/>
                <w:sz w:val="28"/>
                <w:szCs w:val="28"/>
                <w:lang w:val="ro-RO"/>
              </w:rPr>
              <w:t xml:space="preserve">rticolul </w:t>
            </w:r>
            <w:r w:rsidRPr="00B93096">
              <w:rPr>
                <w:rFonts w:ascii="Times New Roman" w:hAnsi="Times New Roman" w:cs="Times New Roman"/>
                <w:noProof/>
                <w:sz w:val="28"/>
                <w:szCs w:val="28"/>
                <w:lang w:val="ro-RO"/>
              </w:rPr>
              <w:t>I din proiectul de lege</w:t>
            </w:r>
            <w:r>
              <w:rPr>
                <w:rFonts w:ascii="Times New Roman" w:hAnsi="Times New Roman" w:cs="Times New Roman"/>
                <w:noProof/>
                <w:sz w:val="28"/>
                <w:szCs w:val="28"/>
                <w:lang w:val="ro-RO"/>
              </w:rPr>
              <w:t xml:space="preserve"> se propune tr</w:t>
            </w:r>
            <w:r w:rsidR="00E26927" w:rsidRPr="00DA0595">
              <w:rPr>
                <w:rFonts w:ascii="Times New Roman" w:hAnsi="Times New Roman" w:cs="Times New Roman"/>
                <w:noProof/>
                <w:sz w:val="28"/>
                <w:szCs w:val="28"/>
                <w:lang w:val="ro-RO"/>
              </w:rPr>
              <w:t>ansfera</w:t>
            </w:r>
            <w:r w:rsidR="00E26927">
              <w:rPr>
                <w:rFonts w:ascii="Times New Roman" w:hAnsi="Times New Roman" w:cs="Times New Roman"/>
                <w:noProof/>
                <w:sz w:val="28"/>
                <w:szCs w:val="28"/>
                <w:lang w:val="ro-RO"/>
              </w:rPr>
              <w:t>rea</w:t>
            </w:r>
            <w:r w:rsidR="00E26927" w:rsidRPr="00DA0595">
              <w:rPr>
                <w:rFonts w:ascii="Times New Roman" w:hAnsi="Times New Roman" w:cs="Times New Roman"/>
                <w:noProof/>
                <w:sz w:val="28"/>
                <w:szCs w:val="28"/>
                <w:lang w:val="ro-RO"/>
              </w:rPr>
              <w:t xml:space="preserve"> anexel</w:t>
            </w:r>
            <w:r w:rsidR="00E26927">
              <w:rPr>
                <w:rFonts w:ascii="Times New Roman" w:hAnsi="Times New Roman" w:cs="Times New Roman"/>
                <w:noProof/>
                <w:sz w:val="28"/>
                <w:szCs w:val="28"/>
                <w:lang w:val="ro-RO"/>
              </w:rPr>
              <w:t>or</w:t>
            </w:r>
            <w:r w:rsidR="00E26927" w:rsidRPr="00DA0595">
              <w:rPr>
                <w:rFonts w:ascii="Times New Roman" w:hAnsi="Times New Roman" w:cs="Times New Roman"/>
                <w:noProof/>
                <w:sz w:val="28"/>
                <w:szCs w:val="28"/>
                <w:lang w:val="ro-RO"/>
              </w:rPr>
              <w:t xml:space="preserve"> nr. 3, 5 și 6 </w:t>
            </w:r>
            <w:r w:rsidR="003A2A39">
              <w:rPr>
                <w:rFonts w:ascii="Times New Roman" w:hAnsi="Times New Roman" w:cs="Times New Roman"/>
                <w:noProof/>
                <w:sz w:val="28"/>
                <w:szCs w:val="28"/>
                <w:lang w:val="ro-RO"/>
              </w:rPr>
              <w:t xml:space="preserve">prezentate în mod general </w:t>
            </w:r>
            <w:r w:rsidR="001033AE">
              <w:rPr>
                <w:rFonts w:ascii="Times New Roman" w:hAnsi="Times New Roman" w:cs="Times New Roman"/>
                <w:noProof/>
                <w:sz w:val="28"/>
                <w:szCs w:val="28"/>
                <w:lang w:val="ro-RO"/>
              </w:rPr>
              <w:t xml:space="preserve">la </w:t>
            </w:r>
            <w:r w:rsidR="00E26927" w:rsidRPr="00DA0595">
              <w:rPr>
                <w:rFonts w:ascii="Times New Roman" w:hAnsi="Times New Roman" w:cs="Times New Roman"/>
                <w:noProof/>
                <w:sz w:val="28"/>
                <w:szCs w:val="28"/>
                <w:lang w:val="ro-RO"/>
              </w:rPr>
              <w:t>Leg</w:t>
            </w:r>
            <w:r w:rsidR="001033AE">
              <w:rPr>
                <w:rFonts w:ascii="Times New Roman" w:hAnsi="Times New Roman" w:cs="Times New Roman"/>
                <w:noProof/>
                <w:sz w:val="28"/>
                <w:szCs w:val="28"/>
                <w:lang w:val="ro-RO"/>
              </w:rPr>
              <w:t>ile anuale ale</w:t>
            </w:r>
            <w:r w:rsidR="00E26927" w:rsidRPr="00DA0595">
              <w:rPr>
                <w:rFonts w:ascii="Times New Roman" w:hAnsi="Times New Roman" w:cs="Times New Roman"/>
                <w:noProof/>
                <w:sz w:val="28"/>
                <w:szCs w:val="28"/>
                <w:lang w:val="ro-RO"/>
              </w:rPr>
              <w:t xml:space="preserve"> bugetului asigurărilor sociale de stat în Legea privind sistemul public de asigurări sociale de stat 489/1999, </w:t>
            </w:r>
            <w:r w:rsidR="00E26927">
              <w:rPr>
                <w:rFonts w:ascii="Times New Roman" w:hAnsi="Times New Roman" w:cs="Times New Roman"/>
                <w:noProof/>
                <w:sz w:val="28"/>
                <w:szCs w:val="28"/>
                <w:lang w:val="ro-RO"/>
              </w:rPr>
              <w:t xml:space="preserve">prin care </w:t>
            </w:r>
            <w:r w:rsidR="00E26927" w:rsidRPr="00DA0595">
              <w:rPr>
                <w:rFonts w:ascii="Times New Roman" w:hAnsi="Times New Roman" w:cs="Times New Roman"/>
                <w:noProof/>
                <w:sz w:val="28"/>
                <w:szCs w:val="28"/>
                <w:lang w:val="ro-RO"/>
              </w:rPr>
              <w:t xml:space="preserve">anexa nr. 3 va </w:t>
            </w:r>
            <w:r w:rsidR="00E26927">
              <w:rPr>
                <w:rFonts w:ascii="Times New Roman" w:hAnsi="Times New Roman" w:cs="Times New Roman"/>
                <w:noProof/>
                <w:sz w:val="28"/>
                <w:szCs w:val="28"/>
                <w:lang w:val="ro-RO"/>
              </w:rPr>
              <w:t xml:space="preserve">deveni </w:t>
            </w:r>
            <w:r w:rsidR="00E26927" w:rsidRPr="00DA0595">
              <w:rPr>
                <w:rFonts w:ascii="Times New Roman" w:hAnsi="Times New Roman" w:cs="Times New Roman"/>
                <w:noProof/>
                <w:sz w:val="28"/>
                <w:szCs w:val="28"/>
                <w:lang w:val="ro-RO"/>
              </w:rPr>
              <w:t>nr.1, anexa nr. 6 va fi nr. 2</w:t>
            </w:r>
            <w:r w:rsidR="00E26927">
              <w:rPr>
                <w:rFonts w:ascii="Times New Roman" w:hAnsi="Times New Roman" w:cs="Times New Roman"/>
                <w:noProof/>
                <w:sz w:val="28"/>
                <w:szCs w:val="28"/>
                <w:lang w:val="ro-RO"/>
              </w:rPr>
              <w:t xml:space="preserve"> și</w:t>
            </w:r>
            <w:r w:rsidR="00E26927" w:rsidRPr="00DA0595">
              <w:rPr>
                <w:rFonts w:ascii="Times New Roman" w:hAnsi="Times New Roman" w:cs="Times New Roman"/>
                <w:noProof/>
                <w:sz w:val="28"/>
                <w:szCs w:val="28"/>
                <w:lang w:val="ro-RO"/>
              </w:rPr>
              <w:t xml:space="preserve"> anexa nr. 5 va </w:t>
            </w:r>
            <w:r w:rsidR="00E26927">
              <w:rPr>
                <w:rFonts w:ascii="Times New Roman" w:hAnsi="Times New Roman" w:cs="Times New Roman"/>
                <w:noProof/>
                <w:sz w:val="28"/>
                <w:szCs w:val="28"/>
                <w:lang w:val="ro-RO"/>
              </w:rPr>
              <w:t xml:space="preserve">deveni </w:t>
            </w:r>
            <w:r w:rsidR="00E26927" w:rsidRPr="00DA0595">
              <w:rPr>
                <w:rFonts w:ascii="Times New Roman" w:hAnsi="Times New Roman" w:cs="Times New Roman"/>
                <w:noProof/>
                <w:sz w:val="28"/>
                <w:szCs w:val="28"/>
                <w:lang w:val="ro-RO"/>
              </w:rPr>
              <w:t>nr. 3</w:t>
            </w:r>
            <w:r>
              <w:rPr>
                <w:rFonts w:ascii="Times New Roman" w:hAnsi="Times New Roman" w:cs="Times New Roman"/>
                <w:noProof/>
                <w:sz w:val="28"/>
                <w:szCs w:val="28"/>
                <w:lang w:val="ro-RO"/>
              </w:rPr>
              <w:t>.</w:t>
            </w:r>
          </w:p>
          <w:p w14:paraId="085CF020" w14:textId="4123C3FF" w:rsidR="00080177" w:rsidRPr="00080177" w:rsidRDefault="00080177" w:rsidP="00A76414">
            <w:pPr>
              <w:spacing w:line="240" w:lineRule="auto"/>
              <w:jc w:val="both"/>
              <w:rPr>
                <w:rFonts w:ascii="Times New Roman" w:hAnsi="Times New Roman" w:cs="Times New Roman"/>
                <w:i/>
                <w:noProof/>
                <w:sz w:val="28"/>
                <w:szCs w:val="28"/>
                <w:lang w:val="ro-RO"/>
              </w:rPr>
            </w:pPr>
            <w:r w:rsidRPr="00A76414">
              <w:rPr>
                <w:rFonts w:ascii="Times New Roman" w:hAnsi="Times New Roman" w:cs="Times New Roman"/>
                <w:noProof/>
                <w:sz w:val="28"/>
                <w:szCs w:val="28"/>
                <w:lang w:val="ro-RO"/>
              </w:rPr>
              <w:t>Articolul II din proiectul de lege</w:t>
            </w:r>
            <w:r w:rsidR="00A76414" w:rsidRPr="00A76414">
              <w:rPr>
                <w:rFonts w:ascii="Times New Roman" w:hAnsi="Times New Roman" w:cs="Times New Roman"/>
                <w:noProof/>
                <w:sz w:val="28"/>
                <w:szCs w:val="28"/>
                <w:lang w:val="ro-RO"/>
              </w:rPr>
              <w:t xml:space="preserve"> </w:t>
            </w:r>
            <w:r w:rsidR="00A76414">
              <w:rPr>
                <w:rFonts w:ascii="Times New Roman" w:hAnsi="Times New Roman" w:cs="Times New Roman"/>
                <w:noProof/>
                <w:sz w:val="28"/>
                <w:szCs w:val="28"/>
                <w:lang w:val="ro-RO"/>
              </w:rPr>
              <w:t>a</w:t>
            </w:r>
            <w:r w:rsidR="00B93096" w:rsidRPr="00A76414">
              <w:rPr>
                <w:rFonts w:ascii="Times New Roman" w:hAnsi="Times New Roman" w:cs="Times New Roman"/>
                <w:noProof/>
                <w:sz w:val="28"/>
                <w:szCs w:val="28"/>
                <w:lang w:val="ro-RO"/>
              </w:rPr>
              <w:t>re drept</w:t>
            </w:r>
            <w:r w:rsidR="00B93096" w:rsidRPr="00B93096">
              <w:rPr>
                <w:rFonts w:ascii="Times New Roman" w:hAnsi="Times New Roman" w:cs="Times New Roman"/>
                <w:noProof/>
                <w:sz w:val="28"/>
                <w:szCs w:val="28"/>
                <w:lang w:val="ro-RO"/>
              </w:rPr>
              <w:t xml:space="preserve"> scop</w:t>
            </w:r>
            <w:r w:rsidR="00B93096">
              <w:rPr>
                <w:rFonts w:ascii="Times New Roman" w:hAnsi="Times New Roman" w:cs="Times New Roman"/>
                <w:i/>
                <w:noProof/>
                <w:sz w:val="28"/>
                <w:szCs w:val="28"/>
                <w:lang w:val="ro-RO"/>
              </w:rPr>
              <w:t xml:space="preserve"> </w:t>
            </w:r>
            <w:r>
              <w:rPr>
                <w:rFonts w:ascii="Times New Roman" w:hAnsi="Times New Roman" w:cs="Times New Roman"/>
                <w:i/>
                <w:noProof/>
                <w:sz w:val="28"/>
                <w:szCs w:val="28"/>
                <w:lang w:val="ro-RO"/>
              </w:rPr>
              <w:t xml:space="preserve"> </w:t>
            </w:r>
            <w:r w:rsidR="00DA0595" w:rsidRPr="00DA0595">
              <w:rPr>
                <w:rFonts w:ascii="Times New Roman" w:hAnsi="Times New Roman" w:cs="Times New Roman"/>
                <w:noProof/>
                <w:sz w:val="28"/>
                <w:szCs w:val="28"/>
                <w:lang w:val="ro-RO"/>
              </w:rPr>
              <w:t>aducerea</w:t>
            </w:r>
            <w:r w:rsidRPr="00DA0595">
              <w:rPr>
                <w:rFonts w:ascii="Times New Roman" w:hAnsi="Times New Roman" w:cs="Times New Roman"/>
                <w:noProof/>
                <w:sz w:val="28"/>
                <w:szCs w:val="28"/>
                <w:lang w:val="ro-RO"/>
              </w:rPr>
              <w:t xml:space="preserve"> Legii 289/2004 privind indemnizațiile pentru incapacitate temporară de muncă şi alte prestaţii de asigurări sociale </w:t>
            </w:r>
            <w:r w:rsidR="00B93096">
              <w:rPr>
                <w:rFonts w:ascii="Times New Roman" w:hAnsi="Times New Roman" w:cs="Times New Roman"/>
                <w:noProof/>
                <w:sz w:val="28"/>
                <w:szCs w:val="28"/>
                <w:lang w:val="ro-RO"/>
              </w:rPr>
              <w:t>î</w:t>
            </w:r>
            <w:r>
              <w:rPr>
                <w:rFonts w:ascii="Times New Roman" w:hAnsi="Times New Roman" w:cs="Times New Roman"/>
                <w:noProof/>
                <w:sz w:val="28"/>
                <w:szCs w:val="28"/>
                <w:lang w:val="ro-RO"/>
              </w:rPr>
              <w:t xml:space="preserve">n concordanță cu </w:t>
            </w:r>
            <w:r w:rsidRPr="00DA0595">
              <w:rPr>
                <w:rFonts w:ascii="Times New Roman" w:hAnsi="Times New Roman" w:cs="Times New Roman"/>
                <w:noProof/>
                <w:sz w:val="28"/>
                <w:szCs w:val="28"/>
                <w:lang w:val="ro-RO"/>
              </w:rPr>
              <w:t>Art. V din Legea nr.123 din 7 iulie 2017 pentru modificarea și completarea unor acte legislative, potrivit prevederilor căruia, din Codul muncii au fost excluse toate normele referitoare la carnetul de muncă</w:t>
            </w:r>
            <w:r w:rsidR="00EA6E2C">
              <w:rPr>
                <w:rFonts w:ascii="Times New Roman" w:hAnsi="Times New Roman" w:cs="Times New Roman"/>
                <w:noProof/>
                <w:sz w:val="28"/>
                <w:szCs w:val="28"/>
                <w:lang w:val="ro-RO"/>
              </w:rPr>
              <w:t>.</w:t>
            </w:r>
          </w:p>
          <w:p w14:paraId="1333DEE0" w14:textId="2A6ED0F9" w:rsidR="00DA0595" w:rsidRPr="00DA0595" w:rsidRDefault="00080177" w:rsidP="00A76414">
            <w:pPr>
              <w:spacing w:before="120" w:after="0" w:line="240" w:lineRule="auto"/>
              <w:jc w:val="both"/>
              <w:rPr>
                <w:rFonts w:ascii="Times New Roman" w:hAnsi="Times New Roman" w:cs="Times New Roman"/>
                <w:noProof/>
                <w:sz w:val="28"/>
                <w:szCs w:val="28"/>
                <w:lang w:val="ro-RO"/>
              </w:rPr>
            </w:pPr>
            <w:r w:rsidRPr="00DA0595">
              <w:rPr>
                <w:rFonts w:ascii="Times New Roman" w:hAnsi="Times New Roman" w:cs="Times New Roman"/>
                <w:noProof/>
                <w:sz w:val="28"/>
                <w:szCs w:val="28"/>
                <w:lang w:val="ro-RO"/>
              </w:rPr>
              <w:t xml:space="preserve">Obiectivul acestui proiect constă în </w:t>
            </w:r>
            <w:r w:rsidR="00A76414">
              <w:rPr>
                <w:rFonts w:ascii="Times New Roman" w:hAnsi="Times New Roman" w:cs="Times New Roman"/>
                <w:noProof/>
                <w:sz w:val="28"/>
                <w:szCs w:val="28"/>
                <w:lang w:val="ro-RO"/>
              </w:rPr>
              <w:t xml:space="preserve">excluderea prevederilor care </w:t>
            </w:r>
            <w:r w:rsidR="00A76414" w:rsidRPr="00DA0595">
              <w:rPr>
                <w:rFonts w:ascii="Times New Roman" w:hAnsi="Times New Roman" w:cs="Times New Roman"/>
                <w:noProof/>
                <w:sz w:val="28"/>
                <w:szCs w:val="28"/>
                <w:lang w:val="ro-RO"/>
              </w:rPr>
              <w:t>au caracter de aplicabilitate permanentă</w:t>
            </w:r>
            <w:r w:rsidR="00A76414">
              <w:rPr>
                <w:rFonts w:ascii="Times New Roman" w:hAnsi="Times New Roman" w:cs="Times New Roman"/>
                <w:noProof/>
                <w:sz w:val="28"/>
                <w:szCs w:val="28"/>
                <w:lang w:val="ro-RO"/>
              </w:rPr>
              <w:t xml:space="preserve"> dintr-o lege adoptată anual și </w:t>
            </w:r>
            <w:r w:rsidRPr="00DA0595">
              <w:rPr>
                <w:rFonts w:ascii="Times New Roman" w:hAnsi="Times New Roman" w:cs="Times New Roman"/>
                <w:noProof/>
                <w:sz w:val="28"/>
                <w:szCs w:val="28"/>
                <w:lang w:val="ro-RO"/>
              </w:rPr>
              <w:t xml:space="preserve">executarea prevederilor </w:t>
            </w:r>
            <w:r w:rsidR="00B93096" w:rsidRPr="00DA0595">
              <w:rPr>
                <w:rFonts w:ascii="Times New Roman" w:hAnsi="Times New Roman" w:cs="Times New Roman"/>
                <w:noProof/>
                <w:sz w:val="28"/>
                <w:szCs w:val="28"/>
                <w:lang w:val="ro-RO"/>
              </w:rPr>
              <w:t xml:space="preserve">Art. VIII </w:t>
            </w:r>
            <w:r w:rsidR="00B93096">
              <w:rPr>
                <w:rFonts w:ascii="Times New Roman" w:hAnsi="Times New Roman" w:cs="Times New Roman"/>
                <w:noProof/>
                <w:sz w:val="28"/>
                <w:szCs w:val="28"/>
                <w:lang w:val="ro-RO"/>
              </w:rPr>
              <w:t xml:space="preserve">al </w:t>
            </w:r>
            <w:r w:rsidRPr="00DA0595">
              <w:rPr>
                <w:rFonts w:ascii="Times New Roman" w:hAnsi="Times New Roman" w:cs="Times New Roman"/>
                <w:noProof/>
                <w:sz w:val="28"/>
                <w:szCs w:val="28"/>
                <w:lang w:val="ro-RO"/>
              </w:rPr>
              <w:t xml:space="preserve">Legii nr. 123 din 7 iulie 2017 pentru modificarea și completarea unor acte legislative și aducerea în concordanță cu respectiva lege a Legii nr. 289 din 22 iulie 2004 </w:t>
            </w:r>
            <w:r w:rsidRPr="00DA0595">
              <w:rPr>
                <w:rFonts w:ascii="Times New Roman" w:eastAsia="Times New Roman" w:hAnsi="Times New Roman" w:cs="Times New Roman"/>
                <w:bCs/>
                <w:noProof/>
                <w:color w:val="000000"/>
                <w:sz w:val="28"/>
                <w:szCs w:val="28"/>
                <w:lang w:val="ro-RO"/>
              </w:rPr>
              <w:t>privind indemnizaţiile pentru incapacitate temporară de muncă şi alte prestaţii de asigurări sociale</w:t>
            </w:r>
            <w:r w:rsidRPr="00DA0595">
              <w:rPr>
                <w:rFonts w:ascii="Times New Roman" w:hAnsi="Times New Roman" w:cs="Times New Roman"/>
                <w:noProof/>
                <w:sz w:val="28"/>
                <w:szCs w:val="28"/>
                <w:lang w:val="ro-RO"/>
              </w:rPr>
              <w:t>.</w:t>
            </w:r>
          </w:p>
        </w:tc>
      </w:tr>
      <w:tr w:rsidR="00DA0595" w:rsidRPr="00DA0595" w14:paraId="3E8984A1" w14:textId="77777777" w:rsidTr="009F4175">
        <w:tc>
          <w:tcPr>
            <w:tcW w:w="10170" w:type="dxa"/>
            <w:shd w:val="clear" w:color="auto" w:fill="A6A6A6"/>
          </w:tcPr>
          <w:p w14:paraId="593AC44C" w14:textId="77777777" w:rsidR="00DA0595" w:rsidRPr="00DA0595" w:rsidRDefault="00DA0595" w:rsidP="00DA0595">
            <w:pPr>
              <w:spacing w:after="0" w:line="240" w:lineRule="auto"/>
              <w:contextualSpacing/>
              <w:jc w:val="both"/>
              <w:rPr>
                <w:rFonts w:ascii="Times New Roman" w:hAnsi="Times New Roman" w:cs="Times New Roman"/>
                <w:b/>
                <w:noProof/>
                <w:sz w:val="28"/>
                <w:szCs w:val="28"/>
                <w:lang w:val="ro-RO"/>
              </w:rPr>
            </w:pPr>
            <w:r w:rsidRPr="00DA0595">
              <w:rPr>
                <w:rFonts w:ascii="Times New Roman" w:hAnsi="Times New Roman" w:cs="Times New Roman"/>
                <w:b/>
                <w:noProof/>
                <w:sz w:val="28"/>
                <w:szCs w:val="28"/>
                <w:lang w:val="ro-RO"/>
              </w:rPr>
              <w:t>Expunerea problemelor abordate în proiect prin prisma cadrului normativ în vigoare, argumentarea necesităţii de reglementare, evidenţierea elementelor noi</w:t>
            </w:r>
          </w:p>
        </w:tc>
      </w:tr>
      <w:tr w:rsidR="00DA0595" w:rsidRPr="003A2A39" w14:paraId="1965E528" w14:textId="77777777" w:rsidTr="009F4175">
        <w:trPr>
          <w:trHeight w:val="1225"/>
        </w:trPr>
        <w:tc>
          <w:tcPr>
            <w:tcW w:w="10170" w:type="dxa"/>
            <w:shd w:val="clear" w:color="auto" w:fill="auto"/>
          </w:tcPr>
          <w:p w14:paraId="39456922" w14:textId="59108E47" w:rsidR="004B49CA" w:rsidRPr="00DA0595" w:rsidRDefault="00162BF5" w:rsidP="004B49CA">
            <w:pPr>
              <w:pStyle w:val="cp"/>
              <w:jc w:val="both"/>
              <w:rPr>
                <w:b w:val="0"/>
                <w:noProof/>
                <w:sz w:val="28"/>
                <w:szCs w:val="28"/>
                <w:lang w:val="ro-RO"/>
              </w:rPr>
            </w:pPr>
            <w:r>
              <w:rPr>
                <w:b w:val="0"/>
                <w:noProof/>
                <w:sz w:val="28"/>
                <w:szCs w:val="28"/>
                <w:lang w:val="ro-RO"/>
              </w:rPr>
              <w:t>A</w:t>
            </w:r>
            <w:r w:rsidR="004B49CA" w:rsidRPr="00DA0595">
              <w:rPr>
                <w:b w:val="0"/>
                <w:noProof/>
                <w:sz w:val="28"/>
                <w:szCs w:val="28"/>
                <w:lang w:val="ro-RO"/>
              </w:rPr>
              <w:t>nexele nr. 3, 5 și 6 prev</w:t>
            </w:r>
            <w:r w:rsidR="00D00749">
              <w:rPr>
                <w:b w:val="0"/>
                <w:noProof/>
                <w:sz w:val="28"/>
                <w:szCs w:val="28"/>
                <w:lang w:val="ro-RO"/>
              </w:rPr>
              <w:t>ăd</w:t>
            </w:r>
            <w:r w:rsidR="004B49CA" w:rsidRPr="00DA0595">
              <w:rPr>
                <w:b w:val="0"/>
                <w:noProof/>
                <w:sz w:val="28"/>
                <w:szCs w:val="28"/>
                <w:lang w:val="ro-RO"/>
              </w:rPr>
              <w:t xml:space="preserve">: </w:t>
            </w:r>
          </w:p>
          <w:p w14:paraId="36DF1FE2" w14:textId="77777777" w:rsidR="004B49CA" w:rsidRPr="00DA0595" w:rsidRDefault="004B49CA" w:rsidP="004B49CA">
            <w:pPr>
              <w:pStyle w:val="cp"/>
              <w:jc w:val="both"/>
              <w:rPr>
                <w:b w:val="0"/>
                <w:noProof/>
                <w:sz w:val="28"/>
                <w:szCs w:val="28"/>
                <w:lang w:val="ro-RO"/>
              </w:rPr>
            </w:pPr>
            <w:r w:rsidRPr="00DA0595">
              <w:rPr>
                <w:b w:val="0"/>
                <w:noProof/>
                <w:sz w:val="28"/>
                <w:szCs w:val="28"/>
                <w:lang w:val="ro-RO"/>
              </w:rPr>
              <w:t>- Categoriile de plătitori și de asigurați, tarifele și termenele de virare a contribuțiilor de asigurări sociale de stat în anexa nr. 3;</w:t>
            </w:r>
          </w:p>
          <w:p w14:paraId="28D6F579" w14:textId="77777777" w:rsidR="004B49CA" w:rsidRPr="00DA0595" w:rsidRDefault="004B49CA" w:rsidP="004B49CA">
            <w:pPr>
              <w:pStyle w:val="cp"/>
              <w:jc w:val="both"/>
              <w:rPr>
                <w:b w:val="0"/>
                <w:noProof/>
                <w:sz w:val="28"/>
                <w:szCs w:val="28"/>
                <w:lang w:val="ro-RO"/>
              </w:rPr>
            </w:pPr>
            <w:r w:rsidRPr="00DA0595">
              <w:rPr>
                <w:b w:val="0"/>
                <w:noProof/>
                <w:sz w:val="28"/>
                <w:szCs w:val="28"/>
                <w:lang w:val="ro-RO"/>
              </w:rPr>
              <w:t>- Tipuri de drepturi şi de venituri din care nu se calculează contribuţii de asigurări sociale de stat obligatorii în anexa nr. 5;</w:t>
            </w:r>
          </w:p>
          <w:p w14:paraId="5993EAAA" w14:textId="5733E281" w:rsidR="004B49CA" w:rsidRPr="00A76414" w:rsidRDefault="004B49CA" w:rsidP="004B49CA">
            <w:pPr>
              <w:pStyle w:val="cp"/>
              <w:jc w:val="both"/>
              <w:rPr>
                <w:b w:val="0"/>
                <w:noProof/>
                <w:sz w:val="28"/>
                <w:szCs w:val="28"/>
                <w:lang w:val="ro-RO"/>
              </w:rPr>
            </w:pPr>
            <w:r w:rsidRPr="00DA0595">
              <w:rPr>
                <w:b w:val="0"/>
                <w:noProof/>
                <w:sz w:val="28"/>
                <w:szCs w:val="28"/>
                <w:lang w:val="ro-RO"/>
              </w:rPr>
              <w:t xml:space="preserve">- Lista funcţiilor personalului din aviaţia civilă ale cărui condiţii de muncă se încadrează în </w:t>
            </w:r>
            <w:r w:rsidRPr="00A76414">
              <w:rPr>
                <w:b w:val="0"/>
                <w:noProof/>
                <w:sz w:val="28"/>
                <w:szCs w:val="28"/>
                <w:lang w:val="ro-RO"/>
              </w:rPr>
              <w:t>condiţii speciale în anexa nr. 6.</w:t>
            </w:r>
          </w:p>
          <w:p w14:paraId="7C8542EE" w14:textId="5F7010FC" w:rsidR="00A76414" w:rsidRDefault="00A76414" w:rsidP="004B49CA">
            <w:pPr>
              <w:pStyle w:val="cp"/>
              <w:jc w:val="both"/>
              <w:rPr>
                <w:b w:val="0"/>
                <w:noProof/>
                <w:sz w:val="28"/>
                <w:szCs w:val="28"/>
                <w:lang w:val="ro-RO"/>
              </w:rPr>
            </w:pPr>
            <w:r w:rsidRPr="00A76414">
              <w:rPr>
                <w:b w:val="0"/>
                <w:noProof/>
                <w:sz w:val="28"/>
                <w:szCs w:val="28"/>
                <w:lang w:val="ro-RO"/>
              </w:rPr>
              <w:lastRenderedPageBreak/>
              <w:t>Dat fiind faptul că aceste prevederi nu se schimbă anual se propune transferarea anexelor nr. 3, 5 și 6 din Legea bugetului asigurărilor sociale de stat pentru anul 2018 în Legea privind sistemul public de asigurări sociale de stat 489/1999</w:t>
            </w:r>
            <w:r>
              <w:rPr>
                <w:b w:val="0"/>
                <w:noProof/>
                <w:sz w:val="28"/>
                <w:szCs w:val="28"/>
                <w:lang w:val="ro-RO"/>
              </w:rPr>
              <w:t>.</w:t>
            </w:r>
          </w:p>
          <w:p w14:paraId="38222C6A" w14:textId="77777777" w:rsidR="007261B9" w:rsidRDefault="00A76414" w:rsidP="004B49CA">
            <w:pPr>
              <w:pStyle w:val="cp"/>
              <w:jc w:val="both"/>
              <w:rPr>
                <w:b w:val="0"/>
                <w:noProof/>
                <w:sz w:val="28"/>
                <w:szCs w:val="28"/>
                <w:lang w:val="ro-RO"/>
              </w:rPr>
            </w:pPr>
            <w:r>
              <w:rPr>
                <w:b w:val="0"/>
                <w:noProof/>
                <w:sz w:val="28"/>
                <w:szCs w:val="28"/>
                <w:lang w:val="ro-RO"/>
              </w:rPr>
              <w:t xml:space="preserve"> </w:t>
            </w:r>
            <w:r w:rsidR="007261B9">
              <w:rPr>
                <w:b w:val="0"/>
                <w:noProof/>
                <w:sz w:val="28"/>
                <w:szCs w:val="28"/>
                <w:lang w:val="ro-RO"/>
              </w:rPr>
              <w:t xml:space="preserve">    </w:t>
            </w:r>
          </w:p>
          <w:p w14:paraId="1CEBB405" w14:textId="70B9AA3E" w:rsidR="00DA0595" w:rsidRPr="00744BC4" w:rsidRDefault="0087355B" w:rsidP="00744BC4">
            <w:pPr>
              <w:spacing w:line="240" w:lineRule="auto"/>
              <w:jc w:val="both"/>
              <w:rPr>
                <w:rFonts w:ascii="Times New Roman" w:hAnsi="Times New Roman" w:cs="Times New Roman"/>
                <w:i/>
                <w:noProof/>
                <w:sz w:val="28"/>
                <w:szCs w:val="28"/>
                <w:lang w:val="ro-RO"/>
              </w:rPr>
            </w:pPr>
            <w:r w:rsidRPr="00744BC4">
              <w:rPr>
                <w:rFonts w:ascii="Times New Roman" w:hAnsi="Times New Roman" w:cs="Times New Roman"/>
                <w:noProof/>
                <w:sz w:val="28"/>
                <w:szCs w:val="28"/>
                <w:lang w:val="ro-RO"/>
              </w:rPr>
              <w:t>În conformitate cu prevederile art. 7 alineatul (8)</w:t>
            </w:r>
            <w:r w:rsidR="00052C9C" w:rsidRPr="00744BC4">
              <w:rPr>
                <w:rFonts w:ascii="Times New Roman" w:hAnsi="Times New Roman" w:cs="Times New Roman"/>
                <w:noProof/>
                <w:sz w:val="28"/>
                <w:szCs w:val="28"/>
                <w:lang w:val="ro-RO"/>
              </w:rPr>
              <w:t xml:space="preserve"> al Legii 289/2004 privind indemnizațiile pentru incapacitate temporară de muncă şi alte prestaţii de asigurări sociale</w:t>
            </w:r>
            <w:r w:rsidRPr="00744BC4">
              <w:rPr>
                <w:rFonts w:ascii="Times New Roman" w:hAnsi="Times New Roman" w:cs="Times New Roman"/>
                <w:noProof/>
                <w:sz w:val="28"/>
                <w:szCs w:val="28"/>
                <w:lang w:val="ro-RO"/>
              </w:rPr>
              <w:t xml:space="preserve"> </w:t>
            </w:r>
            <w:r w:rsidR="007261B9" w:rsidRPr="00744BC4">
              <w:rPr>
                <w:rFonts w:ascii="Times New Roman" w:hAnsi="Times New Roman" w:cs="Times New Roman"/>
                <w:noProof/>
                <w:sz w:val="28"/>
                <w:szCs w:val="28"/>
                <w:lang w:val="ro-RO"/>
              </w:rPr>
              <w:t>,,</w:t>
            </w:r>
            <w:r w:rsidRPr="00744BC4">
              <w:rPr>
                <w:rFonts w:ascii="Times New Roman" w:hAnsi="Times New Roman" w:cs="Times New Roman"/>
                <w:noProof/>
                <w:sz w:val="28"/>
                <w:szCs w:val="28"/>
                <w:lang w:val="ro-RO"/>
              </w:rPr>
              <w:t>Unitatea în care asiguratul îşi desfăşoară activitatea de bază se consideră unitatea unde se păstrează carnetul de muncă al asiguratului.</w:t>
            </w:r>
            <w:r w:rsidR="007261B9" w:rsidRPr="00744BC4">
              <w:rPr>
                <w:rFonts w:ascii="Times New Roman" w:hAnsi="Times New Roman" w:cs="Times New Roman"/>
                <w:noProof/>
                <w:sz w:val="28"/>
                <w:szCs w:val="28"/>
                <w:lang w:val="ro-RO"/>
              </w:rPr>
              <w:t>ˮ</w:t>
            </w:r>
            <w:r w:rsidR="00112206" w:rsidRPr="00744BC4">
              <w:rPr>
                <w:rFonts w:ascii="Times New Roman" w:hAnsi="Times New Roman" w:cs="Times New Roman"/>
                <w:noProof/>
                <w:sz w:val="28"/>
                <w:szCs w:val="28"/>
                <w:lang w:val="ro-RO"/>
              </w:rPr>
              <w:t xml:space="preserve">, iar potrivit art. 16 alin. (6) a legii menționate </w:t>
            </w:r>
            <w:r w:rsidR="00744BC4" w:rsidRPr="00744BC4">
              <w:rPr>
                <w:rFonts w:ascii="Times New Roman" w:hAnsi="Times New Roman" w:cs="Times New Roman"/>
                <w:noProof/>
                <w:sz w:val="28"/>
                <w:szCs w:val="28"/>
                <w:lang w:val="ro-RO"/>
              </w:rPr>
              <w:t>,,</w:t>
            </w:r>
            <w:r w:rsidR="00112206" w:rsidRPr="00744BC4">
              <w:rPr>
                <w:rFonts w:ascii="Times New Roman" w:hAnsi="Times New Roman" w:cs="Times New Roman"/>
                <w:noProof/>
                <w:sz w:val="28"/>
                <w:szCs w:val="28"/>
                <w:lang w:val="ro-RO"/>
              </w:rPr>
              <w:t>Soţia care se află la întreţinerea soţului asigurat beneficiază de indemnizaţie de maternitate dacă, la data acordării concediului de maternitate, nu este angajată în cîmpul muncii, fapt confirmat prin carnetul de muncă sau prin declaraţia scrisă pe proprie răspundere că nu realizează venit asigurat şi nu este persoană asigurată de riscul respectiv</w:t>
            </w:r>
            <w:r w:rsidR="00744BC4" w:rsidRPr="00744BC4">
              <w:rPr>
                <w:rFonts w:ascii="Times New Roman" w:hAnsi="Times New Roman" w:cs="Times New Roman"/>
                <w:noProof/>
                <w:sz w:val="28"/>
                <w:szCs w:val="28"/>
                <w:lang w:val="ro-RO"/>
              </w:rPr>
              <w:t>ˮ</w:t>
            </w:r>
            <w:r w:rsidR="00744BC4">
              <w:rPr>
                <w:rFonts w:ascii="Times New Roman" w:hAnsi="Times New Roman" w:cs="Times New Roman"/>
                <w:noProof/>
                <w:sz w:val="28"/>
                <w:szCs w:val="28"/>
                <w:lang w:val="ro-RO"/>
              </w:rPr>
              <w:t>.</w:t>
            </w:r>
            <w:r w:rsidR="00744BC4" w:rsidRPr="00744BC4">
              <w:rPr>
                <w:rFonts w:ascii="Times New Roman" w:hAnsi="Times New Roman" w:cs="Times New Roman"/>
                <w:noProof/>
                <w:sz w:val="28"/>
                <w:szCs w:val="28"/>
                <w:lang w:val="ro-RO"/>
              </w:rPr>
              <w:t xml:space="preserve"> </w:t>
            </w:r>
            <w:r w:rsidR="00744BC4">
              <w:rPr>
                <w:rFonts w:ascii="Times New Roman" w:hAnsi="Times New Roman" w:cs="Times New Roman"/>
                <w:noProof/>
                <w:sz w:val="28"/>
                <w:szCs w:val="28"/>
                <w:lang w:val="ro-RO"/>
              </w:rPr>
              <w:t>D</w:t>
            </w:r>
            <w:r w:rsidR="00744BC4" w:rsidRPr="00744BC4">
              <w:rPr>
                <w:rFonts w:ascii="Times New Roman" w:hAnsi="Times New Roman" w:cs="Times New Roman"/>
                <w:noProof/>
                <w:sz w:val="28"/>
                <w:szCs w:val="28"/>
                <w:lang w:val="ro-RO"/>
              </w:rPr>
              <w:t xml:space="preserve">in Codul </w:t>
            </w:r>
            <w:r w:rsidR="00744BC4">
              <w:rPr>
                <w:rFonts w:ascii="Times New Roman" w:hAnsi="Times New Roman" w:cs="Times New Roman"/>
                <w:noProof/>
                <w:sz w:val="28"/>
                <w:szCs w:val="28"/>
                <w:lang w:val="ro-RO"/>
              </w:rPr>
              <w:t>M</w:t>
            </w:r>
            <w:r w:rsidR="00744BC4" w:rsidRPr="00744BC4">
              <w:rPr>
                <w:rFonts w:ascii="Times New Roman" w:hAnsi="Times New Roman" w:cs="Times New Roman"/>
                <w:noProof/>
                <w:sz w:val="28"/>
                <w:szCs w:val="28"/>
                <w:lang w:val="ro-RO"/>
              </w:rPr>
              <w:t>uncii au fost excluse toate normele referitoare la carnetul de muncă</w:t>
            </w:r>
            <w:r w:rsidR="00744BC4">
              <w:rPr>
                <w:rFonts w:ascii="Times New Roman" w:hAnsi="Times New Roman" w:cs="Times New Roman"/>
                <w:noProof/>
                <w:sz w:val="28"/>
                <w:szCs w:val="28"/>
                <w:lang w:val="ro-RO"/>
              </w:rPr>
              <w:t xml:space="preserve"> prin urmare este inoportună păstrarea acestor prevederi în Legea </w:t>
            </w:r>
            <w:r w:rsidR="00744BC4" w:rsidRPr="00744BC4">
              <w:rPr>
                <w:rFonts w:ascii="Times New Roman" w:hAnsi="Times New Roman" w:cs="Times New Roman"/>
                <w:noProof/>
                <w:sz w:val="28"/>
                <w:szCs w:val="28"/>
                <w:lang w:val="ro-RO"/>
              </w:rPr>
              <w:t>289/2004</w:t>
            </w:r>
            <w:r w:rsidR="00744BC4">
              <w:rPr>
                <w:rFonts w:ascii="Times New Roman" w:hAnsi="Times New Roman" w:cs="Times New Roman"/>
                <w:noProof/>
                <w:sz w:val="28"/>
                <w:szCs w:val="28"/>
                <w:lang w:val="ro-RO"/>
              </w:rPr>
              <w:t>.</w:t>
            </w:r>
          </w:p>
        </w:tc>
      </w:tr>
      <w:tr w:rsidR="00DA0595" w:rsidRPr="00DA0595" w14:paraId="3F947B89" w14:textId="77777777" w:rsidTr="009F4175">
        <w:tc>
          <w:tcPr>
            <w:tcW w:w="10170" w:type="dxa"/>
            <w:shd w:val="clear" w:color="auto" w:fill="A6A6A6"/>
          </w:tcPr>
          <w:p w14:paraId="7514F1FD" w14:textId="77777777" w:rsidR="00DA0595" w:rsidRPr="00DA0595" w:rsidRDefault="00DA0595" w:rsidP="00DA0595">
            <w:pPr>
              <w:spacing w:after="0"/>
              <w:contextualSpacing/>
              <w:jc w:val="both"/>
              <w:rPr>
                <w:rFonts w:ascii="Times New Roman" w:hAnsi="Times New Roman" w:cs="Times New Roman"/>
                <w:b/>
                <w:noProof/>
                <w:sz w:val="28"/>
                <w:szCs w:val="28"/>
                <w:lang w:val="ro-RO"/>
              </w:rPr>
            </w:pPr>
            <w:r w:rsidRPr="00DA0595">
              <w:rPr>
                <w:rFonts w:ascii="Times New Roman" w:hAnsi="Times New Roman" w:cs="Times New Roman"/>
                <w:b/>
                <w:noProof/>
                <w:sz w:val="28"/>
                <w:szCs w:val="28"/>
                <w:lang w:val="ro-RO"/>
              </w:rPr>
              <w:lastRenderedPageBreak/>
              <w:t>Fundamentarea economico-financiară</w:t>
            </w:r>
          </w:p>
        </w:tc>
      </w:tr>
      <w:tr w:rsidR="00DA0595" w:rsidRPr="00DA0595" w14:paraId="3739A2EF" w14:textId="77777777" w:rsidTr="009F4175">
        <w:tc>
          <w:tcPr>
            <w:tcW w:w="10170" w:type="dxa"/>
            <w:shd w:val="clear" w:color="auto" w:fill="auto"/>
          </w:tcPr>
          <w:p w14:paraId="3E53FDBA" w14:textId="6903C525" w:rsidR="00DA0595" w:rsidRPr="00DA0595" w:rsidRDefault="00A76414" w:rsidP="00DA0595">
            <w:pPr>
              <w:spacing w:after="0" w:line="240" w:lineRule="auto"/>
              <w:contextualSpacing/>
              <w:jc w:val="both"/>
              <w:rPr>
                <w:rFonts w:ascii="Times New Roman" w:hAnsi="Times New Roman" w:cs="Times New Roman"/>
                <w:noProof/>
                <w:sz w:val="28"/>
                <w:szCs w:val="28"/>
                <w:lang w:val="ro-RO"/>
              </w:rPr>
            </w:pPr>
            <w:r>
              <w:rPr>
                <w:rFonts w:ascii="Times New Roman" w:hAnsi="Times New Roman" w:cs="Times New Roman"/>
                <w:noProof/>
                <w:sz w:val="28"/>
                <w:szCs w:val="28"/>
                <w:lang w:val="ro-RO"/>
              </w:rPr>
              <w:t>Prezentul proiect de lege nu necesită cheltuieli economico-financiare din bugetul public național.</w:t>
            </w:r>
          </w:p>
        </w:tc>
      </w:tr>
      <w:tr w:rsidR="00DA0595" w:rsidRPr="00DA0595" w14:paraId="7C407B8C" w14:textId="77777777" w:rsidTr="009F4175">
        <w:tc>
          <w:tcPr>
            <w:tcW w:w="10170" w:type="dxa"/>
            <w:shd w:val="clear" w:color="auto" w:fill="A6A6A6"/>
          </w:tcPr>
          <w:p w14:paraId="392C86E9" w14:textId="77777777" w:rsidR="00DA0595" w:rsidRPr="00DA0595" w:rsidRDefault="00DA0595" w:rsidP="00DA0595">
            <w:pPr>
              <w:spacing w:after="0"/>
              <w:contextualSpacing/>
              <w:jc w:val="both"/>
              <w:rPr>
                <w:rFonts w:ascii="Times New Roman" w:hAnsi="Times New Roman" w:cs="Times New Roman"/>
                <w:b/>
                <w:noProof/>
                <w:sz w:val="28"/>
                <w:szCs w:val="28"/>
                <w:lang w:val="ro-RO"/>
              </w:rPr>
            </w:pPr>
            <w:r w:rsidRPr="00DA0595">
              <w:rPr>
                <w:rFonts w:ascii="Times New Roman" w:hAnsi="Times New Roman" w:cs="Times New Roman"/>
                <w:b/>
                <w:noProof/>
                <w:sz w:val="28"/>
                <w:szCs w:val="28"/>
                <w:lang w:val="ro-RO"/>
              </w:rPr>
              <w:t>Modul de incorporare a proiectului în sistemul actelor normative în vigoare</w:t>
            </w:r>
          </w:p>
        </w:tc>
      </w:tr>
      <w:tr w:rsidR="00DA0595" w:rsidRPr="00DA0595" w14:paraId="6EC00913" w14:textId="77777777" w:rsidTr="009F4175">
        <w:tc>
          <w:tcPr>
            <w:tcW w:w="10170" w:type="dxa"/>
            <w:shd w:val="clear" w:color="auto" w:fill="auto"/>
          </w:tcPr>
          <w:p w14:paraId="50D0A112" w14:textId="77777777" w:rsidR="00DA0595" w:rsidRPr="00DA0595" w:rsidRDefault="00DA0595" w:rsidP="00DA0595">
            <w:pPr>
              <w:spacing w:after="0" w:line="240" w:lineRule="auto"/>
              <w:contextualSpacing/>
              <w:jc w:val="both"/>
              <w:rPr>
                <w:rFonts w:ascii="Times New Roman" w:hAnsi="Times New Roman" w:cs="Times New Roman"/>
                <w:noProof/>
                <w:sz w:val="28"/>
                <w:szCs w:val="28"/>
                <w:lang w:val="ro-RO"/>
              </w:rPr>
            </w:pPr>
            <w:r w:rsidRPr="00DA0595">
              <w:rPr>
                <w:rFonts w:ascii="Times New Roman" w:hAnsi="Times New Roman" w:cs="Times New Roman"/>
                <w:noProof/>
                <w:sz w:val="28"/>
                <w:szCs w:val="28"/>
                <w:lang w:val="ro-RO"/>
              </w:rPr>
              <w:t xml:space="preserve">Adoptarea proiectului respectiv de lege implică operarea anumitor modificări și completări în actele normative în vigoare din domeniu. </w:t>
            </w:r>
          </w:p>
        </w:tc>
      </w:tr>
      <w:tr w:rsidR="00DA0595" w:rsidRPr="00DA0595" w14:paraId="3CCDDF9F" w14:textId="77777777" w:rsidTr="009F4175">
        <w:tc>
          <w:tcPr>
            <w:tcW w:w="10170" w:type="dxa"/>
            <w:shd w:val="clear" w:color="auto" w:fill="A6A6A6"/>
          </w:tcPr>
          <w:p w14:paraId="5829206D" w14:textId="77777777" w:rsidR="00DA0595" w:rsidRPr="00DA0595" w:rsidRDefault="00DA0595" w:rsidP="00DA0595">
            <w:pPr>
              <w:spacing w:after="0"/>
              <w:contextualSpacing/>
              <w:jc w:val="both"/>
              <w:rPr>
                <w:rFonts w:ascii="Times New Roman" w:hAnsi="Times New Roman" w:cs="Times New Roman"/>
                <w:b/>
                <w:noProof/>
                <w:sz w:val="28"/>
                <w:szCs w:val="28"/>
                <w:lang w:val="ro-RO"/>
              </w:rPr>
            </w:pPr>
            <w:r w:rsidRPr="00DA0595">
              <w:rPr>
                <w:rFonts w:ascii="Times New Roman" w:hAnsi="Times New Roman" w:cs="Times New Roman"/>
                <w:b/>
                <w:noProof/>
                <w:sz w:val="28"/>
                <w:szCs w:val="28"/>
                <w:lang w:val="ro-RO"/>
              </w:rPr>
              <w:t>Avizarea și consultarea publică a proiectului</w:t>
            </w:r>
          </w:p>
        </w:tc>
      </w:tr>
      <w:tr w:rsidR="00DA0595" w:rsidRPr="003A2A39" w14:paraId="058B7433" w14:textId="77777777" w:rsidTr="009F4175">
        <w:tc>
          <w:tcPr>
            <w:tcW w:w="10170" w:type="dxa"/>
            <w:shd w:val="clear" w:color="auto" w:fill="auto"/>
          </w:tcPr>
          <w:p w14:paraId="4108B16D" w14:textId="77777777" w:rsidR="00DA0595" w:rsidRPr="00DA0595" w:rsidRDefault="00DA0595" w:rsidP="00DA0595">
            <w:pPr>
              <w:spacing w:after="0" w:line="240" w:lineRule="auto"/>
              <w:contextualSpacing/>
              <w:jc w:val="both"/>
              <w:rPr>
                <w:rFonts w:ascii="Times New Roman" w:hAnsi="Times New Roman" w:cs="Times New Roman"/>
                <w:noProof/>
                <w:sz w:val="28"/>
                <w:szCs w:val="28"/>
                <w:lang w:val="ro-RO"/>
              </w:rPr>
            </w:pPr>
            <w:r w:rsidRPr="00DA0595">
              <w:rPr>
                <w:rFonts w:ascii="Times New Roman" w:hAnsi="Times New Roman" w:cs="Times New Roman"/>
                <w:noProof/>
                <w:sz w:val="28"/>
                <w:szCs w:val="28"/>
                <w:lang w:val="ro-RO"/>
              </w:rPr>
              <w:t>Proiectul de lege a fost plasat pe pagina web a ministerului pentru avizare și consultare publică, directoriul „</w:t>
            </w:r>
            <w:r w:rsidRPr="00DA0595">
              <w:rPr>
                <w:rFonts w:ascii="Times New Roman" w:hAnsi="Times New Roman" w:cs="Times New Roman"/>
                <w:i/>
                <w:noProof/>
                <w:sz w:val="28"/>
                <w:szCs w:val="28"/>
                <w:lang w:val="ro-RO"/>
              </w:rPr>
              <w:t>Transparența decizională</w:t>
            </w:r>
            <w:r w:rsidRPr="00DA0595">
              <w:rPr>
                <w:rFonts w:ascii="Times New Roman" w:hAnsi="Times New Roman" w:cs="Times New Roman"/>
                <w:noProof/>
                <w:sz w:val="28"/>
                <w:szCs w:val="28"/>
                <w:lang w:val="ro-RO"/>
              </w:rPr>
              <w:t>”, secțiunea „</w:t>
            </w:r>
            <w:r w:rsidRPr="00DA0595">
              <w:rPr>
                <w:rFonts w:ascii="Times New Roman" w:hAnsi="Times New Roman" w:cs="Times New Roman"/>
                <w:i/>
                <w:noProof/>
                <w:sz w:val="28"/>
                <w:szCs w:val="28"/>
                <w:lang w:val="ro-RO"/>
              </w:rPr>
              <w:t>Proiecte</w:t>
            </w:r>
            <w:r w:rsidRPr="00DA0595">
              <w:rPr>
                <w:rFonts w:ascii="Times New Roman" w:hAnsi="Times New Roman" w:cs="Times New Roman"/>
                <w:noProof/>
                <w:sz w:val="28"/>
                <w:szCs w:val="28"/>
                <w:lang w:val="ro-RO"/>
              </w:rPr>
              <w:t>”.</w:t>
            </w:r>
          </w:p>
        </w:tc>
      </w:tr>
      <w:tr w:rsidR="00DA0595" w:rsidRPr="00DA0595" w14:paraId="508670D6" w14:textId="77777777" w:rsidTr="009F4175">
        <w:tc>
          <w:tcPr>
            <w:tcW w:w="10170" w:type="dxa"/>
            <w:shd w:val="clear" w:color="auto" w:fill="A6A6A6"/>
          </w:tcPr>
          <w:p w14:paraId="51F57496" w14:textId="77777777" w:rsidR="00DA0595" w:rsidRPr="00DA0595" w:rsidRDefault="00DA0595" w:rsidP="00DA0595">
            <w:pPr>
              <w:spacing w:after="0"/>
              <w:contextualSpacing/>
              <w:jc w:val="both"/>
              <w:rPr>
                <w:rFonts w:ascii="Times New Roman" w:hAnsi="Times New Roman" w:cs="Times New Roman"/>
                <w:b/>
                <w:noProof/>
                <w:sz w:val="28"/>
                <w:szCs w:val="28"/>
                <w:lang w:val="ro-RO"/>
              </w:rPr>
            </w:pPr>
            <w:r w:rsidRPr="00DA0595">
              <w:rPr>
                <w:rFonts w:ascii="Times New Roman" w:hAnsi="Times New Roman" w:cs="Times New Roman"/>
                <w:b/>
                <w:noProof/>
                <w:sz w:val="28"/>
                <w:szCs w:val="28"/>
                <w:lang w:val="ro-RO"/>
              </w:rPr>
              <w:t>Constatările expertizei anticorupţie</w:t>
            </w:r>
          </w:p>
        </w:tc>
      </w:tr>
      <w:tr w:rsidR="00DA0595" w:rsidRPr="00DA0595" w14:paraId="33296B8C" w14:textId="77777777" w:rsidTr="009F4175">
        <w:tc>
          <w:tcPr>
            <w:tcW w:w="10170" w:type="dxa"/>
            <w:shd w:val="clear" w:color="auto" w:fill="auto"/>
          </w:tcPr>
          <w:p w14:paraId="50A3B37C" w14:textId="77777777" w:rsidR="00DA0595" w:rsidRPr="00DA0595" w:rsidRDefault="00DA0595" w:rsidP="00DA0595">
            <w:pPr>
              <w:spacing w:after="0"/>
              <w:contextualSpacing/>
              <w:jc w:val="both"/>
              <w:rPr>
                <w:rFonts w:ascii="Times New Roman" w:hAnsi="Times New Roman" w:cs="Times New Roman"/>
                <w:noProof/>
                <w:sz w:val="28"/>
                <w:szCs w:val="28"/>
                <w:lang w:val="ro-RO"/>
              </w:rPr>
            </w:pPr>
          </w:p>
        </w:tc>
      </w:tr>
      <w:tr w:rsidR="00DA0595" w:rsidRPr="00DA0595" w14:paraId="0ED29E32" w14:textId="77777777" w:rsidTr="009F4175">
        <w:tc>
          <w:tcPr>
            <w:tcW w:w="10170" w:type="dxa"/>
            <w:shd w:val="clear" w:color="auto" w:fill="A6A6A6"/>
          </w:tcPr>
          <w:p w14:paraId="570FA8FC" w14:textId="77777777" w:rsidR="00DA0595" w:rsidRPr="00DA0595" w:rsidRDefault="00DA0595" w:rsidP="00DA0595">
            <w:pPr>
              <w:spacing w:after="0"/>
              <w:contextualSpacing/>
              <w:jc w:val="both"/>
              <w:rPr>
                <w:rFonts w:ascii="Times New Roman" w:hAnsi="Times New Roman" w:cs="Times New Roman"/>
                <w:b/>
                <w:noProof/>
                <w:sz w:val="28"/>
                <w:szCs w:val="28"/>
                <w:lang w:val="ro-RO"/>
              </w:rPr>
            </w:pPr>
            <w:r w:rsidRPr="00DA0595">
              <w:rPr>
                <w:rFonts w:ascii="Times New Roman" w:hAnsi="Times New Roman" w:cs="Times New Roman"/>
                <w:b/>
                <w:noProof/>
                <w:sz w:val="28"/>
                <w:szCs w:val="28"/>
                <w:lang w:val="ro-RO"/>
              </w:rPr>
              <w:t>Rezultatele expertizei juridice</w:t>
            </w:r>
          </w:p>
        </w:tc>
      </w:tr>
      <w:tr w:rsidR="00DA0595" w:rsidRPr="00DA0595" w14:paraId="76C7C919" w14:textId="77777777" w:rsidTr="009F4175">
        <w:tc>
          <w:tcPr>
            <w:tcW w:w="10170" w:type="dxa"/>
            <w:shd w:val="clear" w:color="auto" w:fill="auto"/>
          </w:tcPr>
          <w:p w14:paraId="410BA50D" w14:textId="77777777" w:rsidR="00DA0595" w:rsidRPr="00DA0595" w:rsidRDefault="00DA0595" w:rsidP="00DA0595">
            <w:pPr>
              <w:spacing w:after="0"/>
              <w:contextualSpacing/>
              <w:jc w:val="both"/>
              <w:rPr>
                <w:rFonts w:ascii="Times New Roman" w:hAnsi="Times New Roman" w:cs="Times New Roman"/>
                <w:noProof/>
                <w:sz w:val="28"/>
                <w:szCs w:val="28"/>
                <w:lang w:val="ro-RO"/>
              </w:rPr>
            </w:pPr>
          </w:p>
        </w:tc>
      </w:tr>
    </w:tbl>
    <w:p w14:paraId="697ABB11" w14:textId="77777777" w:rsidR="005826D6" w:rsidRPr="00DA0595" w:rsidRDefault="005826D6" w:rsidP="005826D6">
      <w:pPr>
        <w:spacing w:after="0"/>
        <w:contextualSpacing/>
        <w:jc w:val="both"/>
        <w:rPr>
          <w:rFonts w:ascii="Times New Roman" w:hAnsi="Times New Roman" w:cs="Times New Roman"/>
          <w:i/>
          <w:noProof/>
          <w:sz w:val="28"/>
          <w:szCs w:val="28"/>
          <w:lang w:val="ro-RO"/>
        </w:rPr>
      </w:pPr>
    </w:p>
    <w:p w14:paraId="2467661A" w14:textId="77777777" w:rsidR="005826D6" w:rsidRPr="00DA0595" w:rsidRDefault="005826D6" w:rsidP="005826D6">
      <w:pPr>
        <w:spacing w:before="120" w:after="0" w:line="240" w:lineRule="auto"/>
        <w:contextualSpacing/>
        <w:jc w:val="both"/>
        <w:rPr>
          <w:rFonts w:ascii="Times New Roman" w:hAnsi="Times New Roman" w:cs="Times New Roman"/>
          <w:i/>
          <w:noProof/>
          <w:sz w:val="28"/>
          <w:szCs w:val="28"/>
          <w:lang w:val="ro-RO"/>
        </w:rPr>
      </w:pPr>
    </w:p>
    <w:p w14:paraId="34116F83" w14:textId="67710BC5" w:rsidR="002756A2" w:rsidRPr="00DA0595" w:rsidRDefault="002756A2" w:rsidP="002756A2">
      <w:pPr>
        <w:spacing w:line="240" w:lineRule="auto"/>
        <w:jc w:val="center"/>
        <w:rPr>
          <w:rFonts w:ascii="Times New Roman" w:hAnsi="Times New Roman" w:cs="Times New Roman"/>
          <w:b/>
          <w:noProof/>
          <w:sz w:val="28"/>
          <w:szCs w:val="28"/>
          <w:lang w:val="ro-RO"/>
        </w:rPr>
      </w:pPr>
      <w:r w:rsidRPr="00DA0595">
        <w:rPr>
          <w:rFonts w:ascii="Times New Roman" w:hAnsi="Times New Roman" w:cs="Times New Roman"/>
          <w:b/>
          <w:noProof/>
          <w:sz w:val="28"/>
          <w:szCs w:val="28"/>
          <w:lang w:val="ro-RO"/>
        </w:rPr>
        <w:t>Ministru                                                                      Svetlana C</w:t>
      </w:r>
      <w:r w:rsidR="00BB2003">
        <w:rPr>
          <w:rFonts w:ascii="Times New Roman" w:hAnsi="Times New Roman" w:cs="Times New Roman"/>
          <w:b/>
          <w:noProof/>
          <w:sz w:val="28"/>
          <w:szCs w:val="28"/>
          <w:lang w:val="ro-RO"/>
        </w:rPr>
        <w:t>EBOTARI</w:t>
      </w:r>
      <w:bookmarkStart w:id="0" w:name="_GoBack"/>
      <w:bookmarkEnd w:id="0"/>
    </w:p>
    <w:p w14:paraId="2DC4AEA4" w14:textId="77777777" w:rsidR="005826D6" w:rsidRPr="00DA0595" w:rsidRDefault="005826D6" w:rsidP="005826D6">
      <w:pPr>
        <w:spacing w:before="120" w:after="0" w:line="240" w:lineRule="auto"/>
        <w:contextualSpacing/>
        <w:jc w:val="both"/>
        <w:rPr>
          <w:rFonts w:ascii="Times New Roman" w:hAnsi="Times New Roman" w:cs="Times New Roman"/>
          <w:i/>
          <w:noProof/>
          <w:sz w:val="28"/>
          <w:szCs w:val="28"/>
          <w:lang w:val="ro-RO"/>
        </w:rPr>
      </w:pPr>
    </w:p>
    <w:p w14:paraId="1391BE7E" w14:textId="6C327CB1" w:rsidR="00D24A45" w:rsidRPr="00DA0595" w:rsidRDefault="00D24A45" w:rsidP="00802FC5">
      <w:pPr>
        <w:spacing w:line="360" w:lineRule="auto"/>
        <w:jc w:val="both"/>
        <w:rPr>
          <w:rFonts w:ascii="Times New Roman" w:hAnsi="Times New Roman" w:cs="Times New Roman"/>
          <w:noProof/>
          <w:sz w:val="28"/>
          <w:szCs w:val="28"/>
          <w:lang w:val="ro-RO"/>
        </w:rPr>
      </w:pPr>
    </w:p>
    <w:sectPr w:rsidR="00D24A45" w:rsidRPr="00DA0595" w:rsidSect="002756A2">
      <w:pgSz w:w="12240" w:h="15840"/>
      <w:pgMar w:top="81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33B5"/>
    <w:rsid w:val="00052C9C"/>
    <w:rsid w:val="00057185"/>
    <w:rsid w:val="00080177"/>
    <w:rsid w:val="001033AE"/>
    <w:rsid w:val="00112206"/>
    <w:rsid w:val="00162BF5"/>
    <w:rsid w:val="00182BCF"/>
    <w:rsid w:val="00194886"/>
    <w:rsid w:val="001B20BD"/>
    <w:rsid w:val="001E2F87"/>
    <w:rsid w:val="00236505"/>
    <w:rsid w:val="002756A2"/>
    <w:rsid w:val="00306BBC"/>
    <w:rsid w:val="00327EEF"/>
    <w:rsid w:val="003A2A39"/>
    <w:rsid w:val="0041485A"/>
    <w:rsid w:val="0046561A"/>
    <w:rsid w:val="004B49CA"/>
    <w:rsid w:val="004D132E"/>
    <w:rsid w:val="004D3161"/>
    <w:rsid w:val="004D6D47"/>
    <w:rsid w:val="00565493"/>
    <w:rsid w:val="005826D6"/>
    <w:rsid w:val="0058440D"/>
    <w:rsid w:val="005F2952"/>
    <w:rsid w:val="006233B5"/>
    <w:rsid w:val="00671A91"/>
    <w:rsid w:val="00711ABB"/>
    <w:rsid w:val="007261B9"/>
    <w:rsid w:val="00744BC4"/>
    <w:rsid w:val="007528F8"/>
    <w:rsid w:val="0077000C"/>
    <w:rsid w:val="00781D68"/>
    <w:rsid w:val="00783AD6"/>
    <w:rsid w:val="00802FC5"/>
    <w:rsid w:val="0087355B"/>
    <w:rsid w:val="008D74DB"/>
    <w:rsid w:val="009A256E"/>
    <w:rsid w:val="009A7A3E"/>
    <w:rsid w:val="00A028C1"/>
    <w:rsid w:val="00A76414"/>
    <w:rsid w:val="00A824A6"/>
    <w:rsid w:val="00AB35FE"/>
    <w:rsid w:val="00AE0355"/>
    <w:rsid w:val="00B119C7"/>
    <w:rsid w:val="00B93096"/>
    <w:rsid w:val="00BB2003"/>
    <w:rsid w:val="00C57C5A"/>
    <w:rsid w:val="00CE35CB"/>
    <w:rsid w:val="00CF410B"/>
    <w:rsid w:val="00D00749"/>
    <w:rsid w:val="00D034F8"/>
    <w:rsid w:val="00D10879"/>
    <w:rsid w:val="00D24A45"/>
    <w:rsid w:val="00D266D8"/>
    <w:rsid w:val="00DA0595"/>
    <w:rsid w:val="00DF6650"/>
    <w:rsid w:val="00E26927"/>
    <w:rsid w:val="00E40288"/>
    <w:rsid w:val="00EA6E2C"/>
    <w:rsid w:val="00F013D8"/>
    <w:rsid w:val="00FA2B37"/>
    <w:rsid w:val="00FA7053"/>
    <w:rsid w:val="00FD06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7DED5A"/>
  <w15:chartTrackingRefBased/>
  <w15:docId w15:val="{53DB518A-9775-400F-AEC0-917229F59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8440D"/>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cp">
    <w:name w:val="cp"/>
    <w:basedOn w:val="Normal"/>
    <w:rsid w:val="009A7A3E"/>
    <w:pPr>
      <w:spacing w:after="0" w:line="240" w:lineRule="auto"/>
      <w:jc w:val="center"/>
    </w:pPr>
    <w:rPr>
      <w:rFonts w:ascii="Times New Roman" w:eastAsia="Times New Roman" w:hAnsi="Times New Roman" w:cs="Times New Roman"/>
      <w:b/>
      <w:bCs/>
      <w:sz w:val="24"/>
      <w:szCs w:val="24"/>
    </w:rPr>
  </w:style>
  <w:style w:type="table" w:styleId="Tabelgril">
    <w:name w:val="Table Grid"/>
    <w:basedOn w:val="TabelNormal"/>
    <w:uiPriority w:val="39"/>
    <w:rsid w:val="00783A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227</TotalTime>
  <Pages>2</Pages>
  <Words>642</Words>
  <Characters>3665</Characters>
  <Application>Microsoft Office Word</Application>
  <DocSecurity>0</DocSecurity>
  <Lines>30</Lines>
  <Paragraphs>8</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4299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cius tatiana</dc:creator>
  <cp:keywords/>
  <dc:description/>
  <cp:lastModifiedBy>cius tatiana</cp:lastModifiedBy>
  <cp:revision>65</cp:revision>
  <dcterms:created xsi:type="dcterms:W3CDTF">2018-05-15T07:17:00Z</dcterms:created>
  <dcterms:modified xsi:type="dcterms:W3CDTF">2018-05-22T13:04:00Z</dcterms:modified>
</cp:coreProperties>
</file>