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A7D" w:rsidRPr="00DF2490" w:rsidRDefault="00AB5A7D" w:rsidP="00AB5A7D">
      <w:pPr>
        <w:tabs>
          <w:tab w:val="left" w:pos="884"/>
          <w:tab w:val="left" w:pos="1196"/>
        </w:tabs>
        <w:jc w:val="center"/>
        <w:rPr>
          <w:b/>
          <w:sz w:val="28"/>
          <w:szCs w:val="28"/>
          <w:lang w:val="ro-MD"/>
        </w:rPr>
      </w:pPr>
      <w:r w:rsidRPr="00DF2490">
        <w:rPr>
          <w:b/>
          <w:sz w:val="28"/>
          <w:szCs w:val="28"/>
          <w:lang w:val="ro-MD"/>
        </w:rPr>
        <w:t xml:space="preserve">SINTEZA </w:t>
      </w:r>
    </w:p>
    <w:p w:rsidR="00AB5A7D" w:rsidRPr="00DF2490" w:rsidRDefault="00C84A1B" w:rsidP="00AB5A7D">
      <w:pPr>
        <w:tabs>
          <w:tab w:val="left" w:pos="884"/>
          <w:tab w:val="left" w:pos="1196"/>
        </w:tabs>
        <w:jc w:val="center"/>
        <w:rPr>
          <w:b/>
          <w:sz w:val="28"/>
          <w:szCs w:val="28"/>
          <w:lang w:val="ro-MD"/>
        </w:rPr>
      </w:pPr>
      <w:proofErr w:type="spellStart"/>
      <w:r w:rsidRPr="00DF2490">
        <w:rPr>
          <w:b/>
          <w:sz w:val="28"/>
          <w:szCs w:val="28"/>
          <w:lang w:val="ro-MD"/>
        </w:rPr>
        <w:t>obiecţiilor</w:t>
      </w:r>
      <w:proofErr w:type="spellEnd"/>
      <w:r w:rsidRPr="00DF2490">
        <w:rPr>
          <w:b/>
          <w:sz w:val="28"/>
          <w:szCs w:val="28"/>
          <w:lang w:val="ro-MD"/>
        </w:rPr>
        <w:t xml:space="preserve"> </w:t>
      </w:r>
      <w:proofErr w:type="spellStart"/>
      <w:r w:rsidRPr="00DF2490">
        <w:rPr>
          <w:b/>
          <w:sz w:val="28"/>
          <w:szCs w:val="28"/>
          <w:lang w:val="ro-MD"/>
        </w:rPr>
        <w:t>şi</w:t>
      </w:r>
      <w:proofErr w:type="spellEnd"/>
      <w:r w:rsidRPr="00DF2490">
        <w:rPr>
          <w:b/>
          <w:sz w:val="28"/>
          <w:szCs w:val="28"/>
          <w:lang w:val="ro-MD"/>
        </w:rPr>
        <w:t xml:space="preserve"> propunerilor (</w:t>
      </w:r>
      <w:r w:rsidR="00AB5A7D" w:rsidRPr="00DF2490">
        <w:rPr>
          <w:b/>
          <w:sz w:val="28"/>
          <w:szCs w:val="28"/>
          <w:lang w:val="ro-MD"/>
        </w:rPr>
        <w:t>recomandărilor</w:t>
      </w:r>
      <w:r w:rsidRPr="00DF2490">
        <w:rPr>
          <w:b/>
          <w:sz w:val="28"/>
          <w:szCs w:val="28"/>
          <w:lang w:val="ro-MD"/>
        </w:rPr>
        <w:t>)</w:t>
      </w:r>
    </w:p>
    <w:p w:rsidR="00FA36B2" w:rsidRPr="00DF2490" w:rsidRDefault="000B5936" w:rsidP="00FA36B2">
      <w:pPr>
        <w:jc w:val="center"/>
        <w:rPr>
          <w:b/>
          <w:sz w:val="28"/>
          <w:szCs w:val="28"/>
          <w:lang w:val="ro-MD"/>
        </w:rPr>
      </w:pPr>
      <w:r w:rsidRPr="00DF2490">
        <w:rPr>
          <w:b/>
          <w:sz w:val="28"/>
          <w:szCs w:val="28"/>
          <w:lang w:val="ro-MD"/>
        </w:rPr>
        <w:t xml:space="preserve">la </w:t>
      </w:r>
      <w:r w:rsidR="00FA36B2" w:rsidRPr="00DF2490">
        <w:rPr>
          <w:b/>
          <w:sz w:val="28"/>
          <w:szCs w:val="28"/>
          <w:lang w:val="ro-MD"/>
        </w:rPr>
        <w:t xml:space="preserve">proiectul de Lege pentru modificarea </w:t>
      </w:r>
      <w:r w:rsidR="00153DAC" w:rsidRPr="00DF2490">
        <w:rPr>
          <w:b/>
          <w:sz w:val="28"/>
          <w:szCs w:val="28"/>
          <w:lang w:val="ro-MD"/>
        </w:rPr>
        <w:t xml:space="preserve">unor acte </w:t>
      </w:r>
      <w:r w:rsidR="00BD2090">
        <w:rPr>
          <w:b/>
          <w:sz w:val="28"/>
          <w:szCs w:val="28"/>
          <w:lang w:val="ro-MD"/>
        </w:rPr>
        <w:t>legisla</w:t>
      </w:r>
      <w:r w:rsidR="00153DAC" w:rsidRPr="00DF2490">
        <w:rPr>
          <w:b/>
          <w:sz w:val="28"/>
          <w:szCs w:val="28"/>
          <w:lang w:val="ro-MD"/>
        </w:rPr>
        <w:t xml:space="preserve">tive </w:t>
      </w:r>
      <w:r w:rsidR="00FA36B2" w:rsidRPr="00DF2490">
        <w:rPr>
          <w:b/>
          <w:sz w:val="28"/>
          <w:szCs w:val="28"/>
          <w:lang w:val="ro-MD"/>
        </w:rPr>
        <w:t xml:space="preserve"> </w:t>
      </w:r>
    </w:p>
    <w:p w:rsidR="00FA36B2" w:rsidRPr="00DF2490" w:rsidRDefault="00FA36B2" w:rsidP="00197226">
      <w:pPr>
        <w:jc w:val="center"/>
        <w:rPr>
          <w:sz w:val="20"/>
          <w:szCs w:val="20"/>
          <w:lang w:val="ro-MD"/>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655"/>
        <w:gridCol w:w="4110"/>
      </w:tblGrid>
      <w:tr w:rsidR="00C84A1B" w:rsidRPr="00DF2490" w:rsidTr="00C84A1B">
        <w:tc>
          <w:tcPr>
            <w:tcW w:w="1951" w:type="dxa"/>
            <w:shd w:val="clear" w:color="auto" w:fill="FFFFFF"/>
          </w:tcPr>
          <w:p w:rsidR="00C84A1B" w:rsidRPr="00DF2490" w:rsidRDefault="00C84A1B" w:rsidP="00DA1ACA">
            <w:pPr>
              <w:tabs>
                <w:tab w:val="left" w:pos="884"/>
                <w:tab w:val="left" w:pos="1196"/>
              </w:tabs>
              <w:jc w:val="center"/>
              <w:rPr>
                <w:b/>
                <w:lang w:val="ro-MD"/>
              </w:rPr>
            </w:pPr>
            <w:r w:rsidRPr="00DF2490">
              <w:rPr>
                <w:b/>
                <w:sz w:val="22"/>
                <w:szCs w:val="22"/>
                <w:lang w:val="ro-MD"/>
              </w:rPr>
              <w:t>Participantul la avizare (expertizare)/</w:t>
            </w:r>
          </w:p>
          <w:p w:rsidR="00C84A1B" w:rsidRPr="00DF2490" w:rsidRDefault="00C84A1B" w:rsidP="00DA1ACA">
            <w:pPr>
              <w:tabs>
                <w:tab w:val="left" w:pos="884"/>
                <w:tab w:val="left" w:pos="1196"/>
              </w:tabs>
              <w:jc w:val="center"/>
              <w:rPr>
                <w:b/>
                <w:lang w:val="ro-MD"/>
              </w:rPr>
            </w:pPr>
            <w:r w:rsidRPr="00DF2490">
              <w:rPr>
                <w:b/>
                <w:sz w:val="22"/>
                <w:szCs w:val="22"/>
                <w:lang w:val="ro-MD"/>
              </w:rPr>
              <w:t xml:space="preserve">consultare publică </w:t>
            </w:r>
          </w:p>
        </w:tc>
        <w:tc>
          <w:tcPr>
            <w:tcW w:w="7655" w:type="dxa"/>
            <w:shd w:val="clear" w:color="auto" w:fill="FFFFFF"/>
          </w:tcPr>
          <w:p w:rsidR="00C84A1B" w:rsidRPr="00DF2490" w:rsidRDefault="00C84A1B" w:rsidP="00DA1ACA">
            <w:pPr>
              <w:tabs>
                <w:tab w:val="left" w:pos="884"/>
                <w:tab w:val="left" w:pos="1196"/>
              </w:tabs>
              <w:jc w:val="center"/>
              <w:rPr>
                <w:b/>
                <w:lang w:val="ro-MD"/>
              </w:rPr>
            </w:pPr>
            <w:proofErr w:type="spellStart"/>
            <w:r w:rsidRPr="00DF2490">
              <w:rPr>
                <w:b/>
                <w:sz w:val="22"/>
                <w:szCs w:val="22"/>
                <w:lang w:val="ro-MD"/>
              </w:rPr>
              <w:t>Conţinutul</w:t>
            </w:r>
            <w:proofErr w:type="spellEnd"/>
            <w:r w:rsidRPr="00DF2490">
              <w:rPr>
                <w:b/>
                <w:sz w:val="22"/>
                <w:szCs w:val="22"/>
                <w:lang w:val="ro-MD"/>
              </w:rPr>
              <w:t xml:space="preserve"> </w:t>
            </w:r>
            <w:proofErr w:type="spellStart"/>
            <w:r w:rsidRPr="00DF2490">
              <w:rPr>
                <w:b/>
                <w:sz w:val="22"/>
                <w:szCs w:val="22"/>
                <w:lang w:val="ro-MD"/>
              </w:rPr>
              <w:t>obiecţiei</w:t>
            </w:r>
            <w:proofErr w:type="spellEnd"/>
            <w:r w:rsidRPr="00DF2490">
              <w:rPr>
                <w:b/>
                <w:sz w:val="22"/>
                <w:szCs w:val="22"/>
                <w:lang w:val="ro-MD"/>
              </w:rPr>
              <w:t>/</w:t>
            </w:r>
          </w:p>
          <w:p w:rsidR="00C84A1B" w:rsidRPr="00DF2490" w:rsidRDefault="00C84A1B" w:rsidP="00DA1ACA">
            <w:pPr>
              <w:tabs>
                <w:tab w:val="left" w:pos="884"/>
                <w:tab w:val="left" w:pos="1196"/>
              </w:tabs>
              <w:jc w:val="center"/>
              <w:rPr>
                <w:b/>
                <w:lang w:val="ro-MD"/>
              </w:rPr>
            </w:pPr>
            <w:r w:rsidRPr="00DF2490">
              <w:rPr>
                <w:b/>
                <w:sz w:val="22"/>
                <w:szCs w:val="22"/>
                <w:lang w:val="ro-MD"/>
              </w:rPr>
              <w:t>propunerii (recomandării)</w:t>
            </w:r>
          </w:p>
        </w:tc>
        <w:tc>
          <w:tcPr>
            <w:tcW w:w="4110" w:type="dxa"/>
            <w:shd w:val="clear" w:color="auto" w:fill="FFFFFF"/>
          </w:tcPr>
          <w:p w:rsidR="00C84A1B" w:rsidRPr="00DF2490" w:rsidRDefault="00C84A1B" w:rsidP="00DA1ACA">
            <w:pPr>
              <w:tabs>
                <w:tab w:val="left" w:pos="884"/>
                <w:tab w:val="left" w:pos="1196"/>
              </w:tabs>
              <w:jc w:val="center"/>
              <w:rPr>
                <w:b/>
                <w:lang w:val="ro-MD"/>
              </w:rPr>
            </w:pPr>
            <w:r w:rsidRPr="00DF2490">
              <w:rPr>
                <w:b/>
                <w:sz w:val="22"/>
                <w:szCs w:val="22"/>
                <w:lang w:val="ro-MD"/>
              </w:rPr>
              <w:t xml:space="preserve">Argumentarea </w:t>
            </w:r>
          </w:p>
          <w:p w:rsidR="00C84A1B" w:rsidRPr="00DF2490" w:rsidRDefault="00C84A1B" w:rsidP="00DA1ACA">
            <w:pPr>
              <w:tabs>
                <w:tab w:val="left" w:pos="884"/>
                <w:tab w:val="left" w:pos="1196"/>
              </w:tabs>
              <w:jc w:val="center"/>
              <w:rPr>
                <w:b/>
                <w:lang w:val="ro-MD"/>
              </w:rPr>
            </w:pPr>
            <w:r w:rsidRPr="00DF2490">
              <w:rPr>
                <w:b/>
                <w:sz w:val="22"/>
                <w:szCs w:val="22"/>
                <w:lang w:val="ro-MD"/>
              </w:rPr>
              <w:t>autorului proiectului</w:t>
            </w:r>
          </w:p>
        </w:tc>
      </w:tr>
      <w:tr w:rsidR="005C28E4" w:rsidRPr="00DF2490" w:rsidTr="000E1EC9">
        <w:tc>
          <w:tcPr>
            <w:tcW w:w="1951" w:type="dxa"/>
            <w:vMerge w:val="restart"/>
            <w:tcBorders>
              <w:top w:val="single" w:sz="4" w:space="0" w:color="auto"/>
            </w:tcBorders>
          </w:tcPr>
          <w:p w:rsidR="005C28E4" w:rsidRPr="00DF2490" w:rsidRDefault="005C28E4" w:rsidP="00C84A1B">
            <w:pPr>
              <w:pStyle w:val="NormalWeb"/>
              <w:ind w:firstLine="0"/>
              <w:jc w:val="center"/>
              <w:rPr>
                <w:b/>
                <w:sz w:val="20"/>
                <w:szCs w:val="20"/>
                <w:lang w:val="ro-MD"/>
              </w:rPr>
            </w:pPr>
          </w:p>
          <w:p w:rsidR="005C28E4" w:rsidRPr="00DF2490" w:rsidRDefault="005C28E4" w:rsidP="00C84A1B">
            <w:pPr>
              <w:pStyle w:val="NormalWeb"/>
              <w:ind w:firstLine="0"/>
              <w:jc w:val="center"/>
              <w:rPr>
                <w:b/>
                <w:sz w:val="20"/>
                <w:szCs w:val="20"/>
                <w:lang w:val="ro-MD"/>
              </w:rPr>
            </w:pPr>
            <w:r w:rsidRPr="00DF2490">
              <w:rPr>
                <w:b/>
                <w:sz w:val="20"/>
                <w:szCs w:val="20"/>
                <w:lang w:val="ro-MD"/>
              </w:rPr>
              <w:t>Asociația Băncilor din Moldova</w:t>
            </w: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DA1ACA">
            <w:pPr>
              <w:tabs>
                <w:tab w:val="left" w:pos="884"/>
                <w:tab w:val="left" w:pos="1196"/>
              </w:tabs>
              <w:jc w:val="center"/>
              <w:rPr>
                <w:b/>
                <w:lang w:val="ro-MD"/>
              </w:rPr>
            </w:pPr>
            <w:proofErr w:type="spellStart"/>
            <w:r w:rsidRPr="00DF2490">
              <w:rPr>
                <w:b/>
                <w:sz w:val="22"/>
                <w:szCs w:val="22"/>
                <w:lang w:val="ro-MD"/>
              </w:rPr>
              <w:lastRenderedPageBreak/>
              <w:t>Obiecţiile</w:t>
            </w:r>
            <w:proofErr w:type="spellEnd"/>
          </w:p>
        </w:tc>
        <w:tc>
          <w:tcPr>
            <w:tcW w:w="4110" w:type="dxa"/>
          </w:tcPr>
          <w:p w:rsidR="005C28E4" w:rsidRPr="00DF2490" w:rsidRDefault="005C28E4" w:rsidP="00DA1ACA">
            <w:pPr>
              <w:pStyle w:val="ListParagraph"/>
              <w:tabs>
                <w:tab w:val="left" w:pos="884"/>
                <w:tab w:val="left" w:pos="1196"/>
              </w:tabs>
              <w:spacing w:after="0" w:line="240" w:lineRule="auto"/>
              <w:ind w:left="1422"/>
              <w:rPr>
                <w:sz w:val="28"/>
                <w:szCs w:val="28"/>
                <w:lang w:val="ro-MD"/>
              </w:rPr>
            </w:pPr>
          </w:p>
        </w:tc>
      </w:tr>
      <w:tr w:rsidR="005C28E4" w:rsidRPr="00DF2490" w:rsidTr="00C84A1B">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spacing w:after="120"/>
              <w:jc w:val="both"/>
              <w:rPr>
                <w:sz w:val="20"/>
                <w:szCs w:val="20"/>
                <w:lang w:val="ro-MD"/>
              </w:rPr>
            </w:pPr>
            <w:r>
              <w:rPr>
                <w:sz w:val="20"/>
                <w:szCs w:val="20"/>
                <w:lang w:val="ro-MD"/>
              </w:rPr>
              <w:t xml:space="preserve">           </w:t>
            </w:r>
            <w:r w:rsidRPr="00DF2490">
              <w:rPr>
                <w:sz w:val="20"/>
                <w:szCs w:val="20"/>
                <w:lang w:val="ro-MD"/>
              </w:rPr>
              <w:t xml:space="preserve">Cu referire la propunerea de stabilire a unei noi modalități de calcul a valorii depozitelor garantate prin trecerea de la determinarea bazei de calcul a depozitelor garantate de la finele trimestrului la determinarea mediei simple a depozitelor garantate înregistrate la </w:t>
            </w:r>
            <w:proofErr w:type="spellStart"/>
            <w:r w:rsidRPr="00DF2490">
              <w:rPr>
                <w:sz w:val="20"/>
                <w:szCs w:val="20"/>
                <w:lang w:val="ro-MD"/>
              </w:rPr>
              <w:t>sfîrșitul</w:t>
            </w:r>
            <w:proofErr w:type="spellEnd"/>
            <w:r w:rsidRPr="00DF2490">
              <w:rPr>
                <w:sz w:val="20"/>
                <w:szCs w:val="20"/>
                <w:lang w:val="ro-MD"/>
              </w:rPr>
              <w:t xml:space="preserve"> fiecărei luni într-un trimestru ( a se vedea p. 10, art. 12</w:t>
            </w:r>
            <w:r w:rsidRPr="00DF2490">
              <w:rPr>
                <w:sz w:val="20"/>
                <w:szCs w:val="20"/>
                <w:vertAlign w:val="superscript"/>
                <w:lang w:val="ro-MD"/>
              </w:rPr>
              <w:t>1</w:t>
            </w:r>
            <w:r w:rsidRPr="00DF2490">
              <w:rPr>
                <w:sz w:val="20"/>
                <w:szCs w:val="20"/>
                <w:lang w:val="ro-MD"/>
              </w:rPr>
              <w:t xml:space="preserve">, alin. (3), ținem să menționăm că băncile nu susțin această propunere, deoarece nu au posibilitate de a automatiza integral acest proces.  Cerința de modificare a calculului va tripla volumul de muncă efectuat atât de către executorii din bănci, cât și de către societățile de audit angajate să verifice si să confirme aceste situații pentru o remunerare, care evident se va majora în aceste condiții, </w:t>
            </w:r>
            <w:proofErr w:type="spellStart"/>
            <w:r w:rsidRPr="00DF2490">
              <w:rPr>
                <w:sz w:val="20"/>
                <w:szCs w:val="20"/>
                <w:lang w:val="ro-MD"/>
              </w:rPr>
              <w:t>implicînd</w:t>
            </w:r>
            <w:proofErr w:type="spellEnd"/>
            <w:r w:rsidRPr="00DF2490">
              <w:rPr>
                <w:sz w:val="20"/>
                <w:szCs w:val="20"/>
                <w:lang w:val="ro-MD"/>
              </w:rPr>
              <w:t xml:space="preserve"> cheltuieli suplimentare pentru bănci. </w:t>
            </w:r>
          </w:p>
        </w:tc>
        <w:tc>
          <w:tcPr>
            <w:tcW w:w="4110" w:type="dxa"/>
          </w:tcPr>
          <w:p w:rsidR="005C28E4" w:rsidRPr="00DF2490" w:rsidRDefault="005C28E4" w:rsidP="00C84A1B">
            <w:pPr>
              <w:jc w:val="both"/>
              <w:rPr>
                <w:b/>
                <w:sz w:val="20"/>
                <w:szCs w:val="20"/>
                <w:lang w:val="ro-MD"/>
              </w:rPr>
            </w:pPr>
            <w:r w:rsidRPr="00DF2490">
              <w:rPr>
                <w:b/>
                <w:sz w:val="20"/>
                <w:szCs w:val="20"/>
                <w:lang w:val="ro-MD"/>
              </w:rPr>
              <w:t>Se susține.</w:t>
            </w:r>
          </w:p>
          <w:p w:rsidR="005C28E4" w:rsidRPr="00DF2490" w:rsidRDefault="005C28E4" w:rsidP="00C84A1B">
            <w:pPr>
              <w:jc w:val="both"/>
              <w:rPr>
                <w:sz w:val="20"/>
                <w:szCs w:val="20"/>
                <w:lang w:val="ro-MD"/>
              </w:rPr>
            </w:pPr>
            <w:r w:rsidRPr="00DF2490">
              <w:rPr>
                <w:sz w:val="20"/>
                <w:szCs w:val="20"/>
                <w:lang w:val="ro-MD"/>
              </w:rPr>
              <w:t>S-au efectuat modificări prin excluderea alin. (3) din art.12</w:t>
            </w:r>
            <w:r w:rsidRPr="00DF2490">
              <w:rPr>
                <w:sz w:val="20"/>
                <w:szCs w:val="20"/>
                <w:vertAlign w:val="superscript"/>
                <w:lang w:val="ro-MD"/>
              </w:rPr>
              <w:t>1</w:t>
            </w:r>
            <w:r w:rsidRPr="00DF2490">
              <w:rPr>
                <w:sz w:val="20"/>
                <w:szCs w:val="20"/>
                <w:lang w:val="ro-MD"/>
              </w:rPr>
              <w:t>.</w:t>
            </w:r>
          </w:p>
          <w:p w:rsidR="005C28E4" w:rsidRPr="00DF2490" w:rsidRDefault="005C28E4" w:rsidP="00DA1ACA">
            <w:pPr>
              <w:pStyle w:val="ListParagraph"/>
              <w:tabs>
                <w:tab w:val="left" w:pos="884"/>
                <w:tab w:val="left" w:pos="1196"/>
              </w:tabs>
              <w:spacing w:after="0" w:line="240" w:lineRule="auto"/>
              <w:ind w:left="1422"/>
              <w:rPr>
                <w:sz w:val="28"/>
                <w:szCs w:val="28"/>
                <w:lang w:val="ro-MD"/>
              </w:rPr>
            </w:pPr>
          </w:p>
        </w:tc>
      </w:tr>
      <w:tr w:rsidR="005C28E4" w:rsidRPr="00DF2490" w:rsidTr="00C84A1B">
        <w:trPr>
          <w:trHeight w:val="170"/>
        </w:trPr>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DA1ACA">
            <w:pPr>
              <w:tabs>
                <w:tab w:val="left" w:pos="884"/>
                <w:tab w:val="left" w:pos="1196"/>
              </w:tabs>
              <w:jc w:val="center"/>
              <w:rPr>
                <w:b/>
                <w:lang w:val="ro-MD"/>
              </w:rPr>
            </w:pPr>
            <w:r w:rsidRPr="00DF2490">
              <w:rPr>
                <w:b/>
                <w:sz w:val="22"/>
                <w:szCs w:val="22"/>
                <w:lang w:val="ro-MD"/>
              </w:rPr>
              <w:t>Propunerile (recomandările)</w:t>
            </w:r>
          </w:p>
        </w:tc>
        <w:tc>
          <w:tcPr>
            <w:tcW w:w="4110" w:type="dxa"/>
          </w:tcPr>
          <w:p w:rsidR="005C28E4" w:rsidRPr="00DF2490" w:rsidRDefault="005C28E4" w:rsidP="00DA1ACA">
            <w:pPr>
              <w:pStyle w:val="ListParagraph"/>
              <w:tabs>
                <w:tab w:val="left" w:pos="884"/>
                <w:tab w:val="left" w:pos="1196"/>
              </w:tabs>
              <w:spacing w:after="0" w:line="240" w:lineRule="auto"/>
              <w:ind w:left="1422"/>
              <w:rPr>
                <w:sz w:val="28"/>
                <w:szCs w:val="28"/>
                <w:lang w:val="ro-MD"/>
              </w:rPr>
            </w:pPr>
          </w:p>
        </w:tc>
      </w:tr>
      <w:tr w:rsidR="005C28E4" w:rsidRPr="00DF2490" w:rsidTr="00C84A1B">
        <w:trPr>
          <w:trHeight w:val="170"/>
        </w:trPr>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jc w:val="both"/>
              <w:rPr>
                <w:sz w:val="20"/>
                <w:szCs w:val="20"/>
                <w:lang w:val="ro-MD"/>
              </w:rPr>
            </w:pPr>
            <w:r>
              <w:rPr>
                <w:sz w:val="20"/>
                <w:szCs w:val="20"/>
                <w:lang w:val="ro-MD"/>
              </w:rPr>
              <w:t xml:space="preserve">           </w:t>
            </w:r>
            <w:r w:rsidRPr="00DF2490">
              <w:rPr>
                <w:sz w:val="20"/>
                <w:szCs w:val="20"/>
                <w:lang w:val="ro-MD"/>
              </w:rPr>
              <w:t xml:space="preserve">Includerea în sistemul de garantare a depozitelor persoanelor juridice și majorarea plafonului de garantare </w:t>
            </w:r>
            <w:proofErr w:type="spellStart"/>
            <w:r w:rsidRPr="00DF2490">
              <w:rPr>
                <w:sz w:val="20"/>
                <w:szCs w:val="20"/>
                <w:lang w:val="ro-MD"/>
              </w:rPr>
              <w:t>pînă</w:t>
            </w:r>
            <w:proofErr w:type="spellEnd"/>
            <w:r w:rsidRPr="00DF2490">
              <w:rPr>
                <w:sz w:val="20"/>
                <w:szCs w:val="20"/>
                <w:lang w:val="ro-MD"/>
              </w:rPr>
              <w:t xml:space="preserve"> la 50,0 mii lei vor avea un impact semnificativ asupra cheltuielilor băncilor. Menționăm, că începând cu anul curent, plafonul de garantare a fost deja majorat semnificativ (de la 6,0 mii lei </w:t>
            </w:r>
            <w:proofErr w:type="spellStart"/>
            <w:r w:rsidRPr="00DF2490">
              <w:rPr>
                <w:sz w:val="20"/>
                <w:szCs w:val="20"/>
                <w:lang w:val="ro-MD"/>
              </w:rPr>
              <w:t>pînă</w:t>
            </w:r>
            <w:proofErr w:type="spellEnd"/>
            <w:r w:rsidRPr="00DF2490">
              <w:rPr>
                <w:sz w:val="20"/>
                <w:szCs w:val="20"/>
                <w:lang w:val="ro-MD"/>
              </w:rPr>
              <w:t xml:space="preserve"> la 20,0 mii lei, </w:t>
            </w:r>
            <w:proofErr w:type="spellStart"/>
            <w:r w:rsidRPr="00DF2490">
              <w:rPr>
                <w:sz w:val="20"/>
                <w:szCs w:val="20"/>
                <w:lang w:val="ro-MD"/>
              </w:rPr>
              <w:t>începînd</w:t>
            </w:r>
            <w:proofErr w:type="spellEnd"/>
            <w:r w:rsidRPr="00DF2490">
              <w:rPr>
                <w:sz w:val="20"/>
                <w:szCs w:val="20"/>
                <w:lang w:val="ro-MD"/>
              </w:rPr>
              <w:t xml:space="preserve"> cu 01.01.2018, ceea ce constituie o creștere de 3,3 ori), fapt care a condus practic la dublarea cheltuielilor Băncilor aferente garantării depozitelor. În legătură cu cele expuse mai sus și ținând cont că actualmente are loc ajustarea cadrului normativ bancar la standardele europene, în conformitate cu cerințele acordului Basel III, intervenim cu propunerea de a extinde termenul de garantare a depozitelor, conform articolului 4 alineatului 2 din „Proiect” până la 01 ianuarie 2022, ceea ce ar permite amortizarea cheltuielilor aferente și diminuarea impactului asupra capitalului băncii.</w:t>
            </w:r>
          </w:p>
        </w:tc>
        <w:tc>
          <w:tcPr>
            <w:tcW w:w="4110" w:type="dxa"/>
          </w:tcPr>
          <w:p w:rsidR="005C28E4" w:rsidRPr="00DF2490" w:rsidRDefault="005C28E4" w:rsidP="00C84A1B">
            <w:pPr>
              <w:jc w:val="both"/>
              <w:rPr>
                <w:b/>
                <w:sz w:val="20"/>
                <w:szCs w:val="20"/>
                <w:lang w:val="ro-MD"/>
              </w:rPr>
            </w:pPr>
            <w:r w:rsidRPr="00DF2490">
              <w:rPr>
                <w:b/>
                <w:sz w:val="20"/>
                <w:szCs w:val="20"/>
                <w:lang w:val="ro-MD"/>
              </w:rPr>
              <w:t>Nu se susține.</w:t>
            </w:r>
          </w:p>
          <w:p w:rsidR="005C28E4" w:rsidRPr="00DF2490" w:rsidRDefault="005C28E4" w:rsidP="00C84A1B">
            <w:pPr>
              <w:jc w:val="both"/>
              <w:rPr>
                <w:sz w:val="20"/>
                <w:szCs w:val="20"/>
                <w:lang w:val="ro-MD"/>
              </w:rPr>
            </w:pPr>
            <w:r w:rsidRPr="00DF2490">
              <w:rPr>
                <w:sz w:val="20"/>
                <w:szCs w:val="20"/>
                <w:lang w:val="ro-MD"/>
              </w:rPr>
              <w:t>Prevederile aferente cuantumului plafonului de garantare a depozitelor bancare și termenul de implementare a acestuia au fost introduse reieșind din angajamentele asumate în contextul implementării Acordului de Asociere RM - UE și din recomandările Fondului Monetar European. În acest context, considerăm oportună menținerea termenului 01.01.2020 în proiect, ceea ce va permite continuarea alinierii graduale la legislația UE.</w:t>
            </w:r>
          </w:p>
        </w:tc>
      </w:tr>
      <w:tr w:rsidR="005C28E4" w:rsidRPr="00DF2490" w:rsidTr="004A21D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805F03">
            <w:pPr>
              <w:spacing w:after="120"/>
              <w:jc w:val="both"/>
              <w:rPr>
                <w:sz w:val="20"/>
                <w:szCs w:val="20"/>
                <w:lang w:val="ro-MD"/>
              </w:rPr>
            </w:pPr>
            <w:r>
              <w:rPr>
                <w:sz w:val="20"/>
                <w:szCs w:val="20"/>
                <w:lang w:val="ro-MD"/>
              </w:rPr>
              <w:t xml:space="preserve">             </w:t>
            </w:r>
            <w:r w:rsidRPr="00DF2490">
              <w:rPr>
                <w:sz w:val="20"/>
                <w:szCs w:val="20"/>
                <w:lang w:val="ro-MD"/>
              </w:rPr>
              <w:t xml:space="preserve">Un alt aspect de bază, care este unul important și ar trebui să se regăsească în proiectul de lege, este modificarea din punct de vedere conceptual a modalității de calcul a contribuțiilor trimestriale pe care urmează să le transfere băncile trimestrial în Fondul de Garantare a Depozitelor. Actualmente, reieșind din prevederile art. 12, alin. (1) al Legii nr. 575/2003 privind garantarea depozitelor în sectorul bancar,  fiecare bancă </w:t>
            </w:r>
            <w:proofErr w:type="spellStart"/>
            <w:r w:rsidRPr="00DF2490">
              <w:rPr>
                <w:sz w:val="20"/>
                <w:szCs w:val="20"/>
                <w:lang w:val="ro-MD"/>
              </w:rPr>
              <w:t>licenţiată</w:t>
            </w:r>
            <w:proofErr w:type="spellEnd"/>
            <w:r w:rsidRPr="00DF2490">
              <w:rPr>
                <w:sz w:val="20"/>
                <w:szCs w:val="20"/>
                <w:lang w:val="ro-MD"/>
              </w:rPr>
              <w:t xml:space="preserve"> transferă în Fond o </w:t>
            </w:r>
            <w:proofErr w:type="spellStart"/>
            <w:r w:rsidRPr="00DF2490">
              <w:rPr>
                <w:sz w:val="20"/>
                <w:szCs w:val="20"/>
                <w:lang w:val="ro-MD"/>
              </w:rPr>
              <w:t>contribuţie</w:t>
            </w:r>
            <w:proofErr w:type="spellEnd"/>
            <w:r w:rsidRPr="00DF2490">
              <w:rPr>
                <w:sz w:val="20"/>
                <w:szCs w:val="20"/>
                <w:lang w:val="ro-MD"/>
              </w:rPr>
              <w:t xml:space="preserve"> trimestrială de 0,25% din suma totală a depozitelor garantate înregistrate în </w:t>
            </w:r>
            <w:proofErr w:type="spellStart"/>
            <w:r w:rsidRPr="00DF2490">
              <w:rPr>
                <w:sz w:val="20"/>
                <w:szCs w:val="20"/>
                <w:lang w:val="ro-MD"/>
              </w:rPr>
              <w:t>bilanţul</w:t>
            </w:r>
            <w:proofErr w:type="spellEnd"/>
            <w:r w:rsidRPr="00DF2490">
              <w:rPr>
                <w:sz w:val="20"/>
                <w:szCs w:val="20"/>
                <w:lang w:val="ro-MD"/>
              </w:rPr>
              <w:t xml:space="preserve"> băncii la </w:t>
            </w:r>
            <w:proofErr w:type="spellStart"/>
            <w:r w:rsidRPr="00DF2490">
              <w:rPr>
                <w:sz w:val="20"/>
                <w:szCs w:val="20"/>
                <w:lang w:val="ro-MD"/>
              </w:rPr>
              <w:t>sfîrşitul</w:t>
            </w:r>
            <w:proofErr w:type="spellEnd"/>
            <w:r w:rsidRPr="00DF2490">
              <w:rPr>
                <w:sz w:val="20"/>
                <w:szCs w:val="20"/>
                <w:lang w:val="ro-MD"/>
              </w:rPr>
              <w:t xml:space="preserve"> fiecărui trimestru. În așa mod la calcularea mijloacelor sumare necesare pentru garantarea depozitelor în sectorul bancar nu se ia în calcul soldul mijloacelor Fondului de Garantare a Depozitelor în Sectorul Bancar, ceea ce considerăm o abordare total greșită. În opinia comunității bancare, aportul băncilor licențiate la formarea mijloacelor Fondului la o anumită dată, ar urma să se calculeze de către FGDSB </w:t>
            </w:r>
            <w:proofErr w:type="spellStart"/>
            <w:r w:rsidRPr="00DF2490">
              <w:rPr>
                <w:sz w:val="20"/>
                <w:szCs w:val="20"/>
                <w:lang w:val="ro-MD"/>
              </w:rPr>
              <w:t>aplicînd</w:t>
            </w:r>
            <w:proofErr w:type="spellEnd"/>
            <w:r w:rsidRPr="00DF2490">
              <w:rPr>
                <w:sz w:val="20"/>
                <w:szCs w:val="20"/>
                <w:lang w:val="ro-MD"/>
              </w:rPr>
              <w:t xml:space="preserve"> un simplu calcul: </w:t>
            </w:r>
            <w:r w:rsidRPr="00DF2490">
              <w:rPr>
                <w:sz w:val="20"/>
                <w:szCs w:val="20"/>
                <w:lang w:val="ro-MD"/>
              </w:rPr>
              <w:lastRenderedPageBreak/>
              <w:t xml:space="preserve">(i) reieșind din soldul mijloacelor depozitelor garantate în sectorul bancar la o anumită dată și plafonul de garantare a depozitelor, stabilit prin lege (actualmente este 20,0 mii lei), FGDSB calculează mai </w:t>
            </w:r>
            <w:proofErr w:type="spellStart"/>
            <w:r w:rsidRPr="00DF2490">
              <w:rPr>
                <w:sz w:val="20"/>
                <w:szCs w:val="20"/>
                <w:lang w:val="ro-MD"/>
              </w:rPr>
              <w:t>întîi</w:t>
            </w:r>
            <w:proofErr w:type="spellEnd"/>
            <w:r w:rsidRPr="00DF2490">
              <w:rPr>
                <w:sz w:val="20"/>
                <w:szCs w:val="20"/>
                <w:lang w:val="ro-MD"/>
              </w:rPr>
              <w:t xml:space="preserve"> mijloacele necesare pentru garantarea tuturor depozitelor în sectorul bancar; (ii) ulterior în valoarea obținută urmează a fi reflectat soldul  mijloacelor Fondului de Garantare la aceeași dată. Diferența dintre aceste două valori constituie mijloacele insuficiente necesare pentru garantarea depozitelor în sectorul bancar la o anumită dată. Această valoare și trebuie să constituie aportul băncilor, care urmează a fi distribuit între bănci în conformitate cu prevederile legii (</w:t>
            </w:r>
            <w:proofErr w:type="spellStart"/>
            <w:r w:rsidRPr="00DF2490">
              <w:rPr>
                <w:sz w:val="20"/>
                <w:szCs w:val="20"/>
                <w:lang w:val="ro-MD"/>
              </w:rPr>
              <w:t>ținînd</w:t>
            </w:r>
            <w:proofErr w:type="spellEnd"/>
            <w:r w:rsidRPr="00DF2490">
              <w:rPr>
                <w:sz w:val="20"/>
                <w:szCs w:val="20"/>
                <w:lang w:val="ro-MD"/>
              </w:rPr>
              <w:t xml:space="preserve"> cont de gradul de risc și alți factori).  Urmare celor menționate la acest aspect, comunitatea bancară insistă asupra includerii acestei propuneri, cu privire la schimbarea modalității de calcul a contribuțiilor băncilor, în proiectul de lege sus-menționat. </w:t>
            </w:r>
          </w:p>
        </w:tc>
        <w:tc>
          <w:tcPr>
            <w:tcW w:w="4110" w:type="dxa"/>
          </w:tcPr>
          <w:p w:rsidR="005C28E4" w:rsidRPr="00DF2490" w:rsidRDefault="005C28E4" w:rsidP="00C84A1B">
            <w:pPr>
              <w:jc w:val="both"/>
              <w:rPr>
                <w:b/>
                <w:sz w:val="20"/>
                <w:szCs w:val="20"/>
                <w:lang w:val="ro-MD"/>
              </w:rPr>
            </w:pPr>
            <w:r w:rsidRPr="00DF2490">
              <w:rPr>
                <w:b/>
                <w:sz w:val="20"/>
                <w:szCs w:val="20"/>
                <w:lang w:val="ro-MD"/>
              </w:rPr>
              <w:lastRenderedPageBreak/>
              <w:t>Nu se susține.</w:t>
            </w:r>
          </w:p>
          <w:p w:rsidR="005C28E4" w:rsidRPr="00DF2490" w:rsidRDefault="005C28E4" w:rsidP="00C84A1B">
            <w:pPr>
              <w:jc w:val="both"/>
              <w:rPr>
                <w:sz w:val="20"/>
                <w:szCs w:val="20"/>
                <w:lang w:val="ro-MD"/>
              </w:rPr>
            </w:pPr>
            <w:r w:rsidRPr="00DF2490">
              <w:rPr>
                <w:sz w:val="20"/>
                <w:szCs w:val="20"/>
                <w:lang w:val="ro-MD"/>
              </w:rPr>
              <w:t xml:space="preserve">Abordarea curentă și mecanismul actual de stabilire a modalității de calcul a contribuțiilor trimestriale ale băncilor se consideră una potrivită pentru aplicarea ulterioară. Totodată, menționăm că art.14 al Legii nr.575/2003 prevede nivelul-țintă (7%) al mijloacelor acumulate de Fond, la atingerea cărora poate fi suspendată plata contribuțiilor trimestriale. În acest context, se consideră neîntemeiată </w:t>
            </w:r>
            <w:r w:rsidRPr="00DF2490">
              <w:rPr>
                <w:sz w:val="20"/>
                <w:szCs w:val="20"/>
                <w:lang w:val="ro-MD"/>
              </w:rPr>
              <w:lastRenderedPageBreak/>
              <w:t>afirmația că nu se ia în calcul soldul mijloacelor Fondului.</w:t>
            </w:r>
          </w:p>
          <w:p w:rsidR="005C28E4" w:rsidRPr="00DF2490" w:rsidRDefault="005C28E4" w:rsidP="00DA1ACA">
            <w:pPr>
              <w:pStyle w:val="ListParagraph"/>
              <w:tabs>
                <w:tab w:val="left" w:pos="884"/>
                <w:tab w:val="left" w:pos="1196"/>
              </w:tabs>
              <w:spacing w:after="0" w:line="240" w:lineRule="auto"/>
              <w:ind w:left="1422"/>
              <w:rPr>
                <w:sz w:val="28"/>
                <w:szCs w:val="28"/>
                <w:lang w:val="ro-MD"/>
              </w:rPr>
            </w:pPr>
          </w:p>
        </w:tc>
      </w:tr>
      <w:tr w:rsidR="005C28E4" w:rsidRPr="00DF2490" w:rsidTr="004A21D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spacing w:after="120"/>
              <w:jc w:val="both"/>
              <w:rPr>
                <w:sz w:val="20"/>
                <w:szCs w:val="20"/>
                <w:lang w:val="ro-MD"/>
              </w:rPr>
            </w:pPr>
            <w:r>
              <w:rPr>
                <w:sz w:val="20"/>
                <w:szCs w:val="20"/>
                <w:lang w:val="ro-MD"/>
              </w:rPr>
              <w:t xml:space="preserve">              </w:t>
            </w:r>
            <w:r w:rsidRPr="00DF2490">
              <w:rPr>
                <w:sz w:val="20"/>
                <w:szCs w:val="20"/>
                <w:lang w:val="ro-MD"/>
              </w:rPr>
              <w:t xml:space="preserve">Băncile nu pot </w:t>
            </w:r>
            <w:r w:rsidRPr="00DF2490">
              <w:rPr>
                <w:noProof/>
                <w:sz w:val="20"/>
                <w:szCs w:val="20"/>
                <w:lang w:val="en-GB" w:eastAsia="en-GB"/>
              </w:rPr>
              <w:drawing>
                <wp:inline distT="0" distB="0" distL="0" distR="0" wp14:anchorId="11DE311D" wp14:editId="140EDFAF">
                  <wp:extent cx="6097" cy="6097"/>
                  <wp:effectExtent l="0" t="0" r="0" b="0"/>
                  <wp:docPr id="6" name="Picture 1"/>
                  <wp:cNvGraphicFramePr/>
                  <a:graphic xmlns:a="http://schemas.openxmlformats.org/drawingml/2006/main">
                    <a:graphicData uri="http://schemas.openxmlformats.org/drawingml/2006/picture">
                      <pic:pic xmlns:pic="http://schemas.openxmlformats.org/drawingml/2006/picture">
                        <pic:nvPicPr>
                          <pic:cNvPr id="3813" name="Picture 3813"/>
                          <pic:cNvPicPr/>
                        </pic:nvPicPr>
                        <pic:blipFill>
                          <a:blip r:embed="rId8"/>
                          <a:stretch>
                            <a:fillRect/>
                          </a:stretch>
                        </pic:blipFill>
                        <pic:spPr>
                          <a:xfrm>
                            <a:off x="0" y="0"/>
                            <a:ext cx="6097" cy="6097"/>
                          </a:xfrm>
                          <a:prstGeom prst="rect">
                            <a:avLst/>
                          </a:prstGeom>
                        </pic:spPr>
                      </pic:pic>
                    </a:graphicData>
                  </a:graphic>
                </wp:inline>
              </w:drawing>
            </w:r>
            <w:r w:rsidRPr="00DF2490">
              <w:rPr>
                <w:sz w:val="20"/>
                <w:szCs w:val="20"/>
                <w:lang w:val="ro-MD"/>
              </w:rPr>
              <w:t xml:space="preserve">completamente automatiza calcularea fondului de garantare a depozitelor deoarece în calcul se includ și conturile intermediare de tranzit, la care sunt înregistrate sume aferente depozitelor preluate de la cele trei bănci în proces de lichidare - Banca de Economii, Banca Socială și </w:t>
            </w:r>
            <w:proofErr w:type="spellStart"/>
            <w:r w:rsidRPr="00DF2490">
              <w:rPr>
                <w:sz w:val="20"/>
                <w:szCs w:val="20"/>
                <w:lang w:val="ro-MD"/>
              </w:rPr>
              <w:t>Unibank</w:t>
            </w:r>
            <w:proofErr w:type="spellEnd"/>
            <w:r w:rsidRPr="00DF2490">
              <w:rPr>
                <w:sz w:val="20"/>
                <w:szCs w:val="20"/>
                <w:lang w:val="ro-MD"/>
              </w:rPr>
              <w:t xml:space="preserve">, sume aferente cardurilor expirate, gajurilor pentru safeurile individuale, dividendelor spre plată, decontărilor pentru operațiunile de </w:t>
            </w:r>
            <w:proofErr w:type="spellStart"/>
            <w:r w:rsidRPr="00DF2490">
              <w:rPr>
                <w:sz w:val="20"/>
                <w:szCs w:val="20"/>
                <w:lang w:val="ro-MD"/>
              </w:rPr>
              <w:t>vînzare</w:t>
            </w:r>
            <w:proofErr w:type="spellEnd"/>
            <w:r w:rsidRPr="00DF2490">
              <w:rPr>
                <w:sz w:val="20"/>
                <w:szCs w:val="20"/>
                <w:lang w:val="ro-MD"/>
              </w:rPr>
              <w:t xml:space="preserve">/cumpărare a valorilor mobiliare, etc. Pentru un număr considerabil de persoane fizice care dispun de solduri pe conturile intermediare și de tranzit, în special pentru deponenții băncilor în proces de lichidare, nu este cunoscut codul fiscal. Dacă ne orientăm spre practicile internaționale, menționăm că, spre exemplu,  în România din sistemul de garantare sunt excluse depozitele pentru persoanele identitatea cărora nu a fost verificată până la momentul când acestea devin indisponibile, potrivit legislației în domeniul prevenirii si combaterii spălării banilor. Astfel, propunem de a urma practica României. În acest context, comunitatea bancară vine cu propunerea de revizuire a pct. 2.2.1 al Regulamentului </w:t>
            </w:r>
            <w:r w:rsidRPr="00DF2490">
              <w:rPr>
                <w:bCs/>
                <w:sz w:val="20"/>
                <w:szCs w:val="20"/>
                <w:lang w:val="ro-MD"/>
              </w:rPr>
              <w:t>cu privire la modul de calculare </w:t>
            </w:r>
            <w:proofErr w:type="spellStart"/>
            <w:r w:rsidRPr="00DF2490">
              <w:rPr>
                <w:bCs/>
                <w:sz w:val="20"/>
                <w:szCs w:val="20"/>
                <w:lang w:val="ro-MD"/>
              </w:rPr>
              <w:t>şi</w:t>
            </w:r>
            <w:proofErr w:type="spellEnd"/>
            <w:r w:rsidRPr="00DF2490">
              <w:rPr>
                <w:bCs/>
                <w:sz w:val="20"/>
                <w:szCs w:val="20"/>
                <w:lang w:val="ro-MD"/>
              </w:rPr>
              <w:t xml:space="preserve"> plată de către bănci a vărsămintelor </w:t>
            </w:r>
            <w:proofErr w:type="spellStart"/>
            <w:r w:rsidRPr="00DF2490">
              <w:rPr>
                <w:bCs/>
                <w:sz w:val="20"/>
                <w:szCs w:val="20"/>
                <w:lang w:val="ro-MD"/>
              </w:rPr>
              <w:t>şi</w:t>
            </w:r>
            <w:proofErr w:type="spellEnd"/>
            <w:r w:rsidRPr="00DF2490">
              <w:rPr>
                <w:bCs/>
                <w:sz w:val="20"/>
                <w:szCs w:val="20"/>
                <w:lang w:val="ro-MD"/>
              </w:rPr>
              <w:t xml:space="preserve"> </w:t>
            </w:r>
            <w:proofErr w:type="spellStart"/>
            <w:r w:rsidRPr="00DF2490">
              <w:rPr>
                <w:bCs/>
                <w:sz w:val="20"/>
                <w:szCs w:val="20"/>
                <w:lang w:val="ro-MD"/>
              </w:rPr>
              <w:t>contribuţiilor</w:t>
            </w:r>
            <w:proofErr w:type="spellEnd"/>
            <w:r w:rsidRPr="00DF2490">
              <w:rPr>
                <w:bCs/>
                <w:sz w:val="20"/>
                <w:szCs w:val="20"/>
                <w:lang w:val="ro-MD"/>
              </w:rPr>
              <w:t xml:space="preserve"> către Fondul de garantare a depozitelor în sistemul bancar, aprobat prin </w:t>
            </w:r>
            <w:r w:rsidRPr="00DF2490">
              <w:rPr>
                <w:sz w:val="20"/>
                <w:szCs w:val="20"/>
                <w:lang w:val="ro-MD"/>
              </w:rPr>
              <w:t xml:space="preserve">Hotărârea  nr.8 din 20.08.2004 a Fondului de Garantare a Depozitelor în Sistemul Bancar </w:t>
            </w:r>
            <w:r w:rsidRPr="00DF2490">
              <w:rPr>
                <w:bCs/>
                <w:sz w:val="20"/>
                <w:szCs w:val="20"/>
                <w:lang w:val="ro-MD"/>
              </w:rPr>
              <w:t xml:space="preserve">privind aprobarea Regulamentului cu privire la modul de calculare </w:t>
            </w:r>
            <w:proofErr w:type="spellStart"/>
            <w:r w:rsidRPr="00DF2490">
              <w:rPr>
                <w:bCs/>
                <w:sz w:val="20"/>
                <w:szCs w:val="20"/>
                <w:lang w:val="ro-MD"/>
              </w:rPr>
              <w:t>şi</w:t>
            </w:r>
            <w:proofErr w:type="spellEnd"/>
            <w:r w:rsidRPr="00DF2490">
              <w:rPr>
                <w:bCs/>
                <w:sz w:val="20"/>
                <w:szCs w:val="20"/>
                <w:lang w:val="ro-MD"/>
              </w:rPr>
              <w:t xml:space="preserve"> plată de către bănci a vărsămintelor </w:t>
            </w:r>
            <w:proofErr w:type="spellStart"/>
            <w:r w:rsidRPr="00DF2490">
              <w:rPr>
                <w:bCs/>
                <w:sz w:val="20"/>
                <w:szCs w:val="20"/>
                <w:lang w:val="ro-MD"/>
              </w:rPr>
              <w:t>şi</w:t>
            </w:r>
            <w:proofErr w:type="spellEnd"/>
            <w:r w:rsidRPr="00DF2490">
              <w:rPr>
                <w:bCs/>
                <w:sz w:val="20"/>
                <w:szCs w:val="20"/>
                <w:lang w:val="ro-MD"/>
              </w:rPr>
              <w:t xml:space="preserve"> </w:t>
            </w:r>
            <w:proofErr w:type="spellStart"/>
            <w:r w:rsidRPr="00DF2490">
              <w:rPr>
                <w:bCs/>
                <w:sz w:val="20"/>
                <w:szCs w:val="20"/>
                <w:lang w:val="ro-MD"/>
              </w:rPr>
              <w:t>contribuţiilor</w:t>
            </w:r>
            <w:proofErr w:type="spellEnd"/>
            <w:r w:rsidRPr="00DF2490">
              <w:rPr>
                <w:bCs/>
                <w:sz w:val="20"/>
                <w:szCs w:val="20"/>
                <w:lang w:val="ro-MD"/>
              </w:rPr>
              <w:t xml:space="preserve"> către Fondul de garantarea depozitelor în sistemul bancar, </w:t>
            </w:r>
            <w:r w:rsidRPr="00DF2490">
              <w:rPr>
                <w:sz w:val="20"/>
                <w:szCs w:val="20"/>
                <w:lang w:val="ro-MD"/>
              </w:rPr>
              <w:t>care stabilește în mod expres grupele de conturi bilanțiere care sunt incluse în baza de calcul. Astfel, propunem excluderea din baza de calcul a conturilor respective din grupele bilanțiere 2790 „Conturi de tranzit suspendate” și 2800 „Alte obligațiuni”.</w:t>
            </w:r>
          </w:p>
        </w:tc>
        <w:tc>
          <w:tcPr>
            <w:tcW w:w="4110" w:type="dxa"/>
          </w:tcPr>
          <w:p w:rsidR="005C28E4" w:rsidRPr="00DF2490" w:rsidRDefault="005C28E4" w:rsidP="00C84A1B">
            <w:pPr>
              <w:jc w:val="both"/>
              <w:rPr>
                <w:b/>
                <w:sz w:val="20"/>
                <w:szCs w:val="20"/>
                <w:lang w:val="ro-MD"/>
              </w:rPr>
            </w:pPr>
            <w:r w:rsidRPr="00DF2490">
              <w:rPr>
                <w:b/>
                <w:sz w:val="20"/>
                <w:szCs w:val="20"/>
                <w:lang w:val="ro-MD"/>
              </w:rPr>
              <w:t>Nu se susține.</w:t>
            </w:r>
          </w:p>
          <w:p w:rsidR="005C28E4" w:rsidRPr="00DF2490" w:rsidRDefault="005C28E4" w:rsidP="00C84A1B">
            <w:pPr>
              <w:jc w:val="both"/>
              <w:rPr>
                <w:b/>
                <w:sz w:val="20"/>
                <w:szCs w:val="20"/>
                <w:lang w:val="ro-MD"/>
              </w:rPr>
            </w:pPr>
            <w:r w:rsidRPr="00DF2490">
              <w:rPr>
                <w:color w:val="000000"/>
                <w:sz w:val="20"/>
                <w:szCs w:val="20"/>
                <w:lang w:val="ro-MD"/>
              </w:rPr>
              <w:t xml:space="preserve">Implementarea acestei experiențe contravine noțiunii de depozit specificată în Legea 575/2003, conform căreia, depozitele includ și situațiile tranzitorii. În acest context, dat fiind faptul că propunerea înaintată ține de conceptul de depozit bancar, este necesară o analiză mult mai amplă a cadrului de aplicabilitate, și nu este oportună în cadrul pachetului curent de modificări, cu </w:t>
            </w:r>
            <w:proofErr w:type="spellStart"/>
            <w:r w:rsidRPr="00DF2490">
              <w:rPr>
                <w:color w:val="000000"/>
                <w:sz w:val="20"/>
                <w:szCs w:val="20"/>
                <w:lang w:val="ro-MD"/>
              </w:rPr>
              <w:t>atît</w:t>
            </w:r>
            <w:proofErr w:type="spellEnd"/>
            <w:r w:rsidRPr="00DF2490">
              <w:rPr>
                <w:color w:val="000000"/>
                <w:sz w:val="20"/>
                <w:szCs w:val="20"/>
                <w:lang w:val="ro-MD"/>
              </w:rPr>
              <w:t xml:space="preserve"> mai mult că prin proiect se extinde aria de acoperire a depozitelor garantate (depozitele persoanelor juridice).</w:t>
            </w:r>
          </w:p>
          <w:p w:rsidR="005C28E4" w:rsidRPr="00DF2490" w:rsidRDefault="005C28E4" w:rsidP="00C84A1B">
            <w:pPr>
              <w:jc w:val="both"/>
              <w:rPr>
                <w:b/>
                <w:sz w:val="20"/>
                <w:szCs w:val="20"/>
                <w:lang w:val="ro-MD"/>
              </w:rPr>
            </w:pPr>
          </w:p>
        </w:tc>
      </w:tr>
      <w:tr w:rsidR="005C28E4" w:rsidRPr="00DF2490" w:rsidTr="004A21D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spacing w:after="120"/>
              <w:jc w:val="both"/>
              <w:rPr>
                <w:sz w:val="20"/>
                <w:szCs w:val="20"/>
                <w:lang w:val="ro-MD"/>
              </w:rPr>
            </w:pPr>
            <w:r>
              <w:rPr>
                <w:sz w:val="20"/>
                <w:szCs w:val="20"/>
                <w:lang w:val="ro-MD"/>
              </w:rPr>
              <w:t xml:space="preserve">          </w:t>
            </w:r>
            <w:r w:rsidRPr="00DF2490">
              <w:rPr>
                <w:sz w:val="20"/>
                <w:szCs w:val="20"/>
                <w:lang w:val="ro-MD"/>
              </w:rPr>
              <w:t>La articolul I, p. 10 al proiectului de Lege, în alin. (4), art. 12</w:t>
            </w:r>
            <w:r w:rsidRPr="00DF2490">
              <w:rPr>
                <w:sz w:val="20"/>
                <w:szCs w:val="20"/>
                <w:vertAlign w:val="superscript"/>
                <w:lang w:val="ro-MD"/>
              </w:rPr>
              <w:t>1</w:t>
            </w:r>
            <w:r w:rsidRPr="00DF2490">
              <w:rPr>
                <w:sz w:val="20"/>
                <w:szCs w:val="20"/>
                <w:lang w:val="ro-MD"/>
              </w:rPr>
              <w:t>, după sintagma „moldovenesc” se va adăuga sintagma „al Băncii Naționale a Moldovei”, prin analogie cu concretizarea care se face la p. 7 al proiectului de lege.</w:t>
            </w:r>
          </w:p>
        </w:tc>
        <w:tc>
          <w:tcPr>
            <w:tcW w:w="4110" w:type="dxa"/>
          </w:tcPr>
          <w:p w:rsidR="005C28E4" w:rsidRPr="00DF2490" w:rsidRDefault="005C28E4" w:rsidP="00C84A1B">
            <w:pPr>
              <w:jc w:val="both"/>
              <w:rPr>
                <w:b/>
                <w:sz w:val="20"/>
                <w:szCs w:val="20"/>
                <w:lang w:val="ro-MD"/>
              </w:rPr>
            </w:pPr>
            <w:r w:rsidRPr="00DF2490">
              <w:rPr>
                <w:b/>
                <w:sz w:val="20"/>
                <w:szCs w:val="20"/>
                <w:lang w:val="ro-MD"/>
              </w:rPr>
              <w:t>Se susține.</w:t>
            </w:r>
          </w:p>
          <w:p w:rsidR="005C28E4" w:rsidRPr="00DF2490" w:rsidRDefault="005C28E4" w:rsidP="00C84A1B">
            <w:pPr>
              <w:jc w:val="both"/>
              <w:rPr>
                <w:sz w:val="20"/>
                <w:szCs w:val="20"/>
                <w:lang w:val="ro-MD"/>
              </w:rPr>
            </w:pPr>
            <w:r w:rsidRPr="00DF2490">
              <w:rPr>
                <w:sz w:val="20"/>
                <w:szCs w:val="20"/>
                <w:lang w:val="ro-MD"/>
              </w:rPr>
              <w:t>S-au efectuat completările de rigoare.</w:t>
            </w:r>
          </w:p>
          <w:p w:rsidR="005C28E4" w:rsidRPr="00DF2490" w:rsidRDefault="005C28E4" w:rsidP="00C84A1B">
            <w:pPr>
              <w:jc w:val="both"/>
              <w:rPr>
                <w:b/>
                <w:sz w:val="20"/>
                <w:szCs w:val="20"/>
                <w:lang w:val="ro-MD"/>
              </w:rPr>
            </w:pPr>
          </w:p>
        </w:tc>
      </w:tr>
      <w:tr w:rsidR="005C28E4" w:rsidRPr="00DF2490" w:rsidTr="009E405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jc w:val="both"/>
              <w:rPr>
                <w:sz w:val="20"/>
                <w:szCs w:val="20"/>
                <w:lang w:val="ro-MD"/>
              </w:rPr>
            </w:pPr>
            <w:r>
              <w:rPr>
                <w:sz w:val="20"/>
                <w:szCs w:val="20"/>
                <w:lang w:val="ro-MD"/>
              </w:rPr>
              <w:t xml:space="preserve">          </w:t>
            </w:r>
            <w:r w:rsidRPr="00DF2490">
              <w:rPr>
                <w:sz w:val="20"/>
                <w:szCs w:val="20"/>
                <w:lang w:val="ro-MD"/>
              </w:rPr>
              <w:t>La articolul I, p. 6 propunem de a completa art. 5 cu următoarele categorii de depozite ce nu se garantează:</w:t>
            </w:r>
          </w:p>
          <w:p w:rsidR="005C28E4" w:rsidRPr="00DF2490" w:rsidRDefault="005C28E4" w:rsidP="00C84A1B">
            <w:pPr>
              <w:jc w:val="both"/>
              <w:rPr>
                <w:sz w:val="20"/>
                <w:szCs w:val="20"/>
                <w:lang w:val="ro-MD"/>
              </w:rPr>
            </w:pPr>
            <w:r w:rsidRPr="00DF2490">
              <w:rPr>
                <w:sz w:val="20"/>
                <w:szCs w:val="20"/>
                <w:lang w:val="ro-MD"/>
              </w:rPr>
              <w:t>-   Depozitele fondurilor de pensii, CNAS, CNAM;</w:t>
            </w:r>
          </w:p>
          <w:p w:rsidR="005C28E4" w:rsidRPr="00DF2490" w:rsidRDefault="005C28E4" w:rsidP="00C84A1B">
            <w:pPr>
              <w:jc w:val="both"/>
              <w:rPr>
                <w:sz w:val="20"/>
                <w:szCs w:val="20"/>
                <w:lang w:val="ro-MD"/>
              </w:rPr>
            </w:pPr>
            <w:r w:rsidRPr="00DF2490">
              <w:rPr>
                <w:sz w:val="20"/>
                <w:szCs w:val="20"/>
                <w:lang w:val="ro-MD"/>
              </w:rPr>
              <w:t>-   Depozitele autorităților publice centrale și locale.</w:t>
            </w:r>
          </w:p>
          <w:p w:rsidR="005C28E4" w:rsidRPr="00DF2490" w:rsidRDefault="005C28E4" w:rsidP="00C84A1B">
            <w:pPr>
              <w:spacing w:after="120"/>
              <w:jc w:val="both"/>
              <w:rPr>
                <w:sz w:val="20"/>
                <w:szCs w:val="20"/>
                <w:lang w:val="ro-MD"/>
              </w:rPr>
            </w:pPr>
          </w:p>
        </w:tc>
        <w:tc>
          <w:tcPr>
            <w:tcW w:w="4110" w:type="dxa"/>
          </w:tcPr>
          <w:p w:rsidR="005C28E4" w:rsidRPr="00DF2490" w:rsidRDefault="005C28E4" w:rsidP="00C84A1B">
            <w:pPr>
              <w:jc w:val="both"/>
              <w:rPr>
                <w:b/>
                <w:sz w:val="20"/>
                <w:szCs w:val="20"/>
                <w:lang w:val="ro-MD"/>
              </w:rPr>
            </w:pPr>
            <w:r w:rsidRPr="00DF2490">
              <w:rPr>
                <w:b/>
                <w:sz w:val="20"/>
                <w:szCs w:val="20"/>
                <w:lang w:val="ro-MD"/>
              </w:rPr>
              <w:t>Nu se susține.</w:t>
            </w:r>
          </w:p>
          <w:p w:rsidR="005C28E4" w:rsidRPr="00DF2490" w:rsidRDefault="005C28E4" w:rsidP="00C84A1B">
            <w:pPr>
              <w:jc w:val="both"/>
              <w:rPr>
                <w:sz w:val="20"/>
                <w:szCs w:val="20"/>
                <w:lang w:val="ro-MD"/>
              </w:rPr>
            </w:pPr>
            <w:r w:rsidRPr="00DF2490">
              <w:rPr>
                <w:sz w:val="20"/>
                <w:szCs w:val="20"/>
                <w:lang w:val="ro-MD"/>
              </w:rPr>
              <w:t xml:space="preserve">Conform recomandărilor experților internaționali, proiectul de lege are drept scop extinderea ariei de acoperire a depozitelor bancare garantare. </w:t>
            </w:r>
          </w:p>
        </w:tc>
      </w:tr>
      <w:tr w:rsidR="005C28E4" w:rsidRPr="00DF2490" w:rsidTr="009E405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jc w:val="both"/>
              <w:rPr>
                <w:sz w:val="20"/>
                <w:szCs w:val="20"/>
                <w:lang w:val="ro-MD"/>
              </w:rPr>
            </w:pPr>
            <w:r>
              <w:rPr>
                <w:sz w:val="20"/>
                <w:szCs w:val="20"/>
                <w:lang w:val="ro-MD"/>
              </w:rPr>
              <w:t xml:space="preserve">           </w:t>
            </w:r>
            <w:r w:rsidRPr="00DF2490">
              <w:rPr>
                <w:sz w:val="20"/>
                <w:szCs w:val="20"/>
                <w:lang w:val="ro-MD"/>
              </w:rPr>
              <w:t xml:space="preserve">La articolul I, p.12 al proiectului Legii, cu referire la completarea art. 18 al Legii, se propune de a exclude sintagma „care a cauzat prejudicii unor terți” pentru a nu limita răspunderea persoanelor vizate numai situației </w:t>
            </w:r>
            <w:proofErr w:type="spellStart"/>
            <w:r w:rsidRPr="00DF2490">
              <w:rPr>
                <w:sz w:val="20"/>
                <w:szCs w:val="20"/>
                <w:lang w:val="ro-MD"/>
              </w:rPr>
              <w:t>cînd</w:t>
            </w:r>
            <w:proofErr w:type="spellEnd"/>
            <w:r w:rsidRPr="00DF2490">
              <w:rPr>
                <w:sz w:val="20"/>
                <w:szCs w:val="20"/>
                <w:lang w:val="ro-MD"/>
              </w:rPr>
              <w:t xml:space="preserve"> sunt cauzate prejudicii terților. La fel </w:t>
            </w:r>
            <w:r w:rsidRPr="00DF2490">
              <w:rPr>
                <w:sz w:val="20"/>
                <w:szCs w:val="20"/>
                <w:lang w:val="ro-MD"/>
              </w:rPr>
              <w:lastRenderedPageBreak/>
              <w:t xml:space="preserve">această sintagmă este în contradicție cu alte norme juridice de drept penal, spre exemplu, care nu prevăd ca element al componenței de infracțiune neapărat existența prejudiciilor. </w:t>
            </w:r>
          </w:p>
        </w:tc>
        <w:tc>
          <w:tcPr>
            <w:tcW w:w="4110" w:type="dxa"/>
          </w:tcPr>
          <w:p w:rsidR="005C28E4" w:rsidRPr="00DF2490" w:rsidRDefault="005C28E4" w:rsidP="00C84A1B">
            <w:pPr>
              <w:jc w:val="both"/>
              <w:rPr>
                <w:b/>
                <w:sz w:val="20"/>
                <w:szCs w:val="20"/>
                <w:lang w:val="ro-MD"/>
              </w:rPr>
            </w:pPr>
            <w:r w:rsidRPr="00DF2490">
              <w:rPr>
                <w:b/>
                <w:sz w:val="20"/>
                <w:szCs w:val="20"/>
                <w:lang w:val="ro-MD"/>
              </w:rPr>
              <w:lastRenderedPageBreak/>
              <w:t>Se susține.</w:t>
            </w:r>
          </w:p>
          <w:p w:rsidR="005C28E4" w:rsidRPr="00DF2490" w:rsidRDefault="005C28E4" w:rsidP="00C84A1B">
            <w:pPr>
              <w:jc w:val="both"/>
              <w:rPr>
                <w:sz w:val="20"/>
                <w:szCs w:val="20"/>
                <w:lang w:val="ro-MD"/>
              </w:rPr>
            </w:pPr>
            <w:r w:rsidRPr="00DF2490">
              <w:rPr>
                <w:sz w:val="20"/>
                <w:szCs w:val="20"/>
                <w:lang w:val="ro-MD"/>
              </w:rPr>
              <w:t>S-a exclus sintagma ,,care a cauzat prejudicii unor terți”.</w:t>
            </w:r>
          </w:p>
          <w:p w:rsidR="005C28E4" w:rsidRPr="00DF2490" w:rsidRDefault="005C28E4" w:rsidP="00C84A1B">
            <w:pPr>
              <w:jc w:val="both"/>
              <w:rPr>
                <w:sz w:val="20"/>
                <w:szCs w:val="20"/>
                <w:lang w:val="ro-MD"/>
              </w:rPr>
            </w:pPr>
          </w:p>
          <w:p w:rsidR="005C28E4" w:rsidRPr="00DF2490" w:rsidRDefault="005C28E4" w:rsidP="00C84A1B">
            <w:pPr>
              <w:jc w:val="both"/>
              <w:rPr>
                <w:b/>
                <w:sz w:val="20"/>
                <w:szCs w:val="20"/>
                <w:lang w:val="ro-MD"/>
              </w:rPr>
            </w:pPr>
          </w:p>
        </w:tc>
      </w:tr>
      <w:tr w:rsidR="005C28E4" w:rsidRPr="00DF2490" w:rsidTr="009E405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805F03">
            <w:pPr>
              <w:jc w:val="both"/>
              <w:rPr>
                <w:sz w:val="20"/>
                <w:szCs w:val="20"/>
                <w:lang w:val="ro-MD"/>
              </w:rPr>
            </w:pPr>
            <w:r>
              <w:rPr>
                <w:sz w:val="20"/>
                <w:szCs w:val="20"/>
                <w:lang w:val="ro-MD"/>
              </w:rPr>
              <w:t xml:space="preserve">            </w:t>
            </w:r>
            <w:r w:rsidRPr="00DF2490">
              <w:rPr>
                <w:sz w:val="20"/>
                <w:szCs w:val="20"/>
                <w:lang w:val="ro-MD"/>
              </w:rPr>
              <w:t xml:space="preserve">Totodată, considerăm oportun de a introduce la </w:t>
            </w:r>
            <w:proofErr w:type="spellStart"/>
            <w:r w:rsidRPr="00DF2490">
              <w:rPr>
                <w:sz w:val="20"/>
                <w:szCs w:val="20"/>
                <w:lang w:val="ro-MD"/>
              </w:rPr>
              <w:t>sfîrșitul</w:t>
            </w:r>
            <w:proofErr w:type="spellEnd"/>
            <w:r w:rsidRPr="00DF2490">
              <w:rPr>
                <w:sz w:val="20"/>
                <w:szCs w:val="20"/>
                <w:lang w:val="ro-MD"/>
              </w:rPr>
              <w:t xml:space="preserve"> alineatului sintagma „</w:t>
            </w:r>
            <w:r w:rsidRPr="00DF2490">
              <w:rPr>
                <w:i/>
                <w:sz w:val="20"/>
                <w:szCs w:val="20"/>
                <w:lang w:val="ro-MD"/>
              </w:rPr>
              <w:t>cu excepția situațiilor în care a fost dovedită vinovăția acestora, în modul și ordinea prevăzută de lege”,</w:t>
            </w:r>
            <w:r w:rsidRPr="00DF2490">
              <w:rPr>
                <w:sz w:val="20"/>
                <w:szCs w:val="20"/>
                <w:lang w:val="ro-MD"/>
              </w:rPr>
              <w:t xml:space="preserve"> astfel încât acest alineat să fie expus astfel „(7) Fondul, membrii Consiliului de administrație al Fondului și personalul acestuia nu răspund administrativ, civil sau penal pentru actele sau faptele îndeplinite ori pentru omisiunea îndeplinirii unor acte sau fapte în exercitarea atribuțiilor conferite prin lege Fondului, cu excepția cazurilor în care instanțele judecătorești constată îndeplinirea sau omisiunea îndeplinirii de către aceste persoane, cu rea-credință sau din neglijență, a oricărui act sau fapt legat de exercitarea atribuțiilor Fondului. Cheltuielile de judecată ocazionate de procedurile judiciare inițiate împotriva persoanelor prevăzute la prezentul alineat sunt suportate de către Fond, cu excepția situațiilor în care a fost dovedită vinovăția acestora, în modul și ordinea prevăzută de lege”.</w:t>
            </w:r>
          </w:p>
        </w:tc>
        <w:tc>
          <w:tcPr>
            <w:tcW w:w="4110" w:type="dxa"/>
          </w:tcPr>
          <w:p w:rsidR="005C28E4" w:rsidRPr="00DF2490" w:rsidRDefault="005C28E4" w:rsidP="00C84A1B">
            <w:pPr>
              <w:jc w:val="both"/>
              <w:rPr>
                <w:b/>
                <w:sz w:val="20"/>
                <w:szCs w:val="20"/>
                <w:lang w:val="ro-MD"/>
              </w:rPr>
            </w:pPr>
            <w:r w:rsidRPr="00DF2490">
              <w:rPr>
                <w:b/>
                <w:sz w:val="20"/>
                <w:szCs w:val="20"/>
                <w:lang w:val="ro-MD"/>
              </w:rPr>
              <w:t>Se susține</w:t>
            </w:r>
            <w:r>
              <w:rPr>
                <w:b/>
                <w:sz w:val="20"/>
                <w:szCs w:val="20"/>
                <w:lang w:val="ro-MD"/>
              </w:rPr>
              <w:t xml:space="preserve"> parțial</w:t>
            </w:r>
            <w:r w:rsidRPr="00DF2490">
              <w:rPr>
                <w:b/>
                <w:sz w:val="20"/>
                <w:szCs w:val="20"/>
                <w:lang w:val="ro-MD"/>
              </w:rPr>
              <w:t>.</w:t>
            </w:r>
          </w:p>
          <w:p w:rsidR="005C28E4" w:rsidRPr="00DF2490" w:rsidRDefault="005C28E4" w:rsidP="006B0E72">
            <w:pPr>
              <w:jc w:val="both"/>
              <w:rPr>
                <w:b/>
                <w:sz w:val="20"/>
                <w:szCs w:val="20"/>
                <w:lang w:val="ro-MD"/>
              </w:rPr>
            </w:pPr>
            <w:r w:rsidRPr="009322EB">
              <w:rPr>
                <w:sz w:val="20"/>
                <w:szCs w:val="20"/>
                <w:lang w:val="ro-MD"/>
              </w:rPr>
              <w:t xml:space="preserve">Propunerea de </w:t>
            </w:r>
            <w:r w:rsidR="006B0E72">
              <w:rPr>
                <w:sz w:val="20"/>
                <w:szCs w:val="20"/>
                <w:lang w:val="ro-MD"/>
              </w:rPr>
              <w:t xml:space="preserve">la alin.(7) </w:t>
            </w:r>
            <w:r w:rsidRPr="009322EB">
              <w:rPr>
                <w:sz w:val="20"/>
                <w:szCs w:val="20"/>
                <w:lang w:val="ro-MD"/>
              </w:rPr>
              <w:t xml:space="preserve">art.18 al Legii nr.575/2003 a fost </w:t>
            </w:r>
            <w:r w:rsidR="006B0E72">
              <w:rPr>
                <w:sz w:val="20"/>
                <w:szCs w:val="20"/>
                <w:lang w:val="ro-MD"/>
              </w:rPr>
              <w:t>reformulată conform propunerii Ministerului Justiției</w:t>
            </w:r>
            <w:r w:rsidRPr="009322EB">
              <w:rPr>
                <w:sz w:val="20"/>
                <w:szCs w:val="20"/>
                <w:lang w:val="ro-MD"/>
              </w:rPr>
              <w:t>.</w:t>
            </w:r>
            <w:bookmarkStart w:id="0" w:name="_GoBack"/>
            <w:bookmarkEnd w:id="0"/>
          </w:p>
        </w:tc>
      </w:tr>
      <w:tr w:rsidR="005C28E4" w:rsidRPr="00DF2490" w:rsidTr="009E405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pStyle w:val="NoSpacing"/>
              <w:rPr>
                <w:b/>
                <w:i/>
                <w:sz w:val="20"/>
                <w:szCs w:val="20"/>
                <w:lang w:val="ro-MD"/>
              </w:rPr>
            </w:pPr>
            <w:r w:rsidRPr="00DF2490">
              <w:rPr>
                <w:b/>
                <w:i/>
                <w:sz w:val="20"/>
                <w:szCs w:val="20"/>
                <w:lang w:val="ro-MD"/>
              </w:rPr>
              <w:t>Suplimentar:</w:t>
            </w:r>
          </w:p>
          <w:p w:rsidR="005C28E4" w:rsidRPr="00DF2490" w:rsidRDefault="005C28E4" w:rsidP="00C84A1B">
            <w:pPr>
              <w:pStyle w:val="NoSpacing"/>
              <w:jc w:val="both"/>
              <w:rPr>
                <w:sz w:val="20"/>
                <w:szCs w:val="20"/>
                <w:lang w:val="ro-MD"/>
              </w:rPr>
            </w:pPr>
            <w:r>
              <w:rPr>
                <w:sz w:val="20"/>
                <w:szCs w:val="20"/>
                <w:lang w:val="ro-MD"/>
              </w:rPr>
              <w:t xml:space="preserve">             </w:t>
            </w:r>
            <w:r w:rsidRPr="00DF2490">
              <w:rPr>
                <w:sz w:val="20"/>
                <w:szCs w:val="20"/>
                <w:lang w:val="ro-MD"/>
              </w:rPr>
              <w:t xml:space="preserve">Proiectul de lege urmează a fi îmbunătățit prin prisma includerii unor prevederi cu privire la extinderea surselor de constituire a mijloacelor FGDSB. Asociația Băncilor din Moldova a atenționat în avizele elaborate în perioada anilor 2014-2016 la solicitarea FGDSB, Ministerului Finanțelor, Comisiei Economie, Buget și Finanțe a Parlamentului R.M, asupra necesității demarării reformelor sistemului de garantare a depozitelor  în sectorul bancar, inclusiv a schemei de garantare a depozitelor în sectorul bancar din Moldova, prin includerea participării instituțiilor statului la constituirea mijloacelor Fondului. Reiterăm că perfecționarea schemei de garantare a depozitelor, inclusiv prin sporirea rolului Statului la procesul de formare a mijloacelor fondului, a  fost una din recomandările experților internaționali care au evaluat sistemul de garantare a depozitelor în Moldova în martie 2013, conform celor 18 Principii de bază </w:t>
            </w:r>
            <w:r w:rsidRPr="00DF2490">
              <w:rPr>
                <w:noProof/>
                <w:sz w:val="20"/>
                <w:szCs w:val="20"/>
                <w:lang w:val="en-GB" w:eastAsia="en-GB"/>
              </w:rPr>
              <w:drawing>
                <wp:inline distT="0" distB="0" distL="0" distR="0" wp14:anchorId="19A7EE41" wp14:editId="5A6BF77F">
                  <wp:extent cx="6096" cy="6096"/>
                  <wp:effectExtent l="0" t="0" r="0" b="0"/>
                  <wp:docPr id="8" name="Picture 2"/>
                  <wp:cNvGraphicFramePr/>
                  <a:graphic xmlns:a="http://schemas.openxmlformats.org/drawingml/2006/main">
                    <a:graphicData uri="http://schemas.openxmlformats.org/drawingml/2006/picture">
                      <pic:pic xmlns:pic="http://schemas.openxmlformats.org/drawingml/2006/picture">
                        <pic:nvPicPr>
                          <pic:cNvPr id="7557" name="Picture 7557"/>
                          <pic:cNvPicPr/>
                        </pic:nvPicPr>
                        <pic:blipFill>
                          <a:blip r:embed="rId9"/>
                          <a:stretch>
                            <a:fillRect/>
                          </a:stretch>
                        </pic:blipFill>
                        <pic:spPr>
                          <a:xfrm>
                            <a:off x="0" y="0"/>
                            <a:ext cx="6096" cy="6096"/>
                          </a:xfrm>
                          <a:prstGeom prst="rect">
                            <a:avLst/>
                          </a:prstGeom>
                        </pic:spPr>
                      </pic:pic>
                    </a:graphicData>
                  </a:graphic>
                </wp:inline>
              </w:drawing>
            </w:r>
            <w:r w:rsidRPr="00DF2490">
              <w:rPr>
                <w:sz w:val="20"/>
                <w:szCs w:val="20"/>
                <w:lang w:val="ro-MD"/>
              </w:rPr>
              <w:t xml:space="preserve">ale IADI-BIS pentru un sistem eficient de garantare a depozitelor.  </w:t>
            </w:r>
            <w:proofErr w:type="spellStart"/>
            <w:r w:rsidRPr="00DF2490">
              <w:rPr>
                <w:sz w:val="20"/>
                <w:szCs w:val="20"/>
                <w:lang w:val="ro-MD"/>
              </w:rPr>
              <w:t>Bazîndu</w:t>
            </w:r>
            <w:proofErr w:type="spellEnd"/>
            <w:r w:rsidRPr="00DF2490">
              <w:rPr>
                <w:sz w:val="20"/>
                <w:szCs w:val="20"/>
                <w:lang w:val="ro-MD"/>
              </w:rPr>
              <w:t xml:space="preserve">-ne pe experiența altor țări și pe recomandările experților internaționali despre care se menționează mai sus, comunitatea bancară consideră oportună participarea Statului prin Banca Națională a Moldovei la constituirea mijloacelor Fondului, evident cu mijloace mai modeste și eventual cu intrarea în vigoare a acestor prevederi mai </w:t>
            </w:r>
            <w:proofErr w:type="spellStart"/>
            <w:r w:rsidRPr="00DF2490">
              <w:rPr>
                <w:sz w:val="20"/>
                <w:szCs w:val="20"/>
                <w:lang w:val="ro-MD"/>
              </w:rPr>
              <w:t>tîrziu</w:t>
            </w:r>
            <w:proofErr w:type="spellEnd"/>
            <w:r w:rsidRPr="00DF2490">
              <w:rPr>
                <w:sz w:val="20"/>
                <w:szCs w:val="20"/>
                <w:lang w:val="ro-MD"/>
              </w:rPr>
              <w:t xml:space="preserve">, </w:t>
            </w:r>
            <w:proofErr w:type="spellStart"/>
            <w:r w:rsidRPr="00DF2490">
              <w:rPr>
                <w:sz w:val="20"/>
                <w:szCs w:val="20"/>
                <w:lang w:val="ro-MD"/>
              </w:rPr>
              <w:t>ținînd</w:t>
            </w:r>
            <w:proofErr w:type="spellEnd"/>
            <w:r w:rsidRPr="00DF2490">
              <w:rPr>
                <w:sz w:val="20"/>
                <w:szCs w:val="20"/>
                <w:lang w:val="ro-MD"/>
              </w:rPr>
              <w:t xml:space="preserve"> cont de unele aranjamente </w:t>
            </w:r>
            <w:proofErr w:type="spellStart"/>
            <w:r w:rsidRPr="00DF2490">
              <w:rPr>
                <w:sz w:val="20"/>
                <w:szCs w:val="20"/>
                <w:lang w:val="ro-MD"/>
              </w:rPr>
              <w:t>pînă</w:t>
            </w:r>
            <w:proofErr w:type="spellEnd"/>
            <w:r w:rsidRPr="00DF2490">
              <w:rPr>
                <w:sz w:val="20"/>
                <w:szCs w:val="20"/>
                <w:lang w:val="ro-MD"/>
              </w:rPr>
              <w:t xml:space="preserve"> la rezolvarea situației cu cele 3 bănci aflate în proces de lichidare. </w:t>
            </w:r>
          </w:p>
        </w:tc>
        <w:tc>
          <w:tcPr>
            <w:tcW w:w="4110" w:type="dxa"/>
          </w:tcPr>
          <w:p w:rsidR="005C28E4" w:rsidRPr="00DF2490" w:rsidRDefault="005C28E4" w:rsidP="00C84A1B">
            <w:pPr>
              <w:jc w:val="both"/>
              <w:rPr>
                <w:sz w:val="20"/>
                <w:szCs w:val="20"/>
                <w:lang w:val="ro-MD"/>
              </w:rPr>
            </w:pPr>
          </w:p>
          <w:p w:rsidR="005C28E4" w:rsidRPr="00DF2490" w:rsidRDefault="005C28E4" w:rsidP="00C84A1B">
            <w:pPr>
              <w:jc w:val="both"/>
              <w:rPr>
                <w:b/>
                <w:sz w:val="20"/>
                <w:szCs w:val="20"/>
                <w:lang w:val="ro-MD"/>
              </w:rPr>
            </w:pPr>
            <w:r w:rsidRPr="00DF2490">
              <w:rPr>
                <w:sz w:val="20"/>
                <w:szCs w:val="20"/>
                <w:lang w:val="ro-MD"/>
              </w:rPr>
              <w:t>S</w:t>
            </w:r>
            <w:r w:rsidRPr="00DF2490">
              <w:rPr>
                <w:b/>
                <w:sz w:val="20"/>
                <w:szCs w:val="20"/>
                <w:lang w:val="ro-MD"/>
              </w:rPr>
              <w:t>e susține parțial.</w:t>
            </w:r>
          </w:p>
          <w:p w:rsidR="005C28E4" w:rsidRPr="00DF2490" w:rsidRDefault="005C28E4" w:rsidP="00C84A1B">
            <w:pPr>
              <w:shd w:val="clear" w:color="auto" w:fill="FFFFFF"/>
              <w:jc w:val="both"/>
              <w:rPr>
                <w:color w:val="000000"/>
                <w:sz w:val="20"/>
                <w:szCs w:val="20"/>
                <w:lang w:val="ro-MD"/>
              </w:rPr>
            </w:pPr>
            <w:r w:rsidRPr="00DF2490">
              <w:rPr>
                <w:color w:val="000000"/>
                <w:sz w:val="20"/>
                <w:szCs w:val="20"/>
                <w:lang w:val="ro-MD"/>
              </w:rPr>
              <w:t>Prin art.16 alin.(3) și (4) s-a sporit rolul statului în procesul de achitare a depozitelor indisponibile, asigurând Fondul de garantare a depozitelor cu mijloace financiare suplimentare în situații de urgență.</w:t>
            </w:r>
          </w:p>
          <w:p w:rsidR="005C28E4" w:rsidRPr="00DF2490" w:rsidRDefault="005C28E4" w:rsidP="00C84A1B">
            <w:pPr>
              <w:jc w:val="both"/>
              <w:rPr>
                <w:b/>
                <w:sz w:val="20"/>
                <w:szCs w:val="20"/>
                <w:lang w:val="ro-MD"/>
              </w:rPr>
            </w:pPr>
          </w:p>
        </w:tc>
      </w:tr>
      <w:tr w:rsidR="005C28E4" w:rsidRPr="00DF2490" w:rsidTr="009E4055">
        <w:tc>
          <w:tcPr>
            <w:tcW w:w="1951" w:type="dxa"/>
            <w:vMerge/>
          </w:tcPr>
          <w:p w:rsidR="005C28E4" w:rsidRPr="00DF2490" w:rsidRDefault="005C28E4" w:rsidP="00DA1ACA">
            <w:pPr>
              <w:tabs>
                <w:tab w:val="left" w:pos="884"/>
                <w:tab w:val="left" w:pos="1196"/>
              </w:tabs>
              <w:rPr>
                <w:sz w:val="28"/>
                <w:szCs w:val="28"/>
                <w:lang w:val="ro-MD"/>
              </w:rPr>
            </w:pPr>
          </w:p>
        </w:tc>
        <w:tc>
          <w:tcPr>
            <w:tcW w:w="7655" w:type="dxa"/>
          </w:tcPr>
          <w:p w:rsidR="005C28E4" w:rsidRPr="00DF2490" w:rsidRDefault="005C28E4" w:rsidP="00C84A1B">
            <w:pPr>
              <w:pStyle w:val="NoSpacing"/>
              <w:jc w:val="both"/>
              <w:rPr>
                <w:sz w:val="20"/>
                <w:szCs w:val="20"/>
                <w:lang w:val="ro-MD"/>
              </w:rPr>
            </w:pPr>
            <w:r>
              <w:rPr>
                <w:sz w:val="20"/>
                <w:szCs w:val="20"/>
                <w:lang w:val="ro-MD"/>
              </w:rPr>
              <w:t xml:space="preserve">             </w:t>
            </w:r>
            <w:proofErr w:type="spellStart"/>
            <w:r w:rsidRPr="00DF2490">
              <w:rPr>
                <w:sz w:val="20"/>
                <w:szCs w:val="20"/>
                <w:lang w:val="ro-MD"/>
              </w:rPr>
              <w:t>Avînd</w:t>
            </w:r>
            <w:proofErr w:type="spellEnd"/>
            <w:r w:rsidRPr="00DF2490">
              <w:rPr>
                <w:sz w:val="20"/>
                <w:szCs w:val="20"/>
                <w:lang w:val="ro-MD"/>
              </w:rPr>
              <w:t xml:space="preserve"> în vedere propunerile BNM de a limita dreptul Fondului de a investi mijloacele financiare disponibile în titluri emise de Banca </w:t>
            </w:r>
            <w:proofErr w:type="spellStart"/>
            <w:r w:rsidRPr="00DF2490">
              <w:rPr>
                <w:sz w:val="20"/>
                <w:szCs w:val="20"/>
                <w:lang w:val="ro-MD"/>
              </w:rPr>
              <w:t>Naţională</w:t>
            </w:r>
            <w:proofErr w:type="spellEnd"/>
            <w:r w:rsidRPr="00DF2490">
              <w:rPr>
                <w:sz w:val="20"/>
                <w:szCs w:val="20"/>
                <w:lang w:val="ro-MD"/>
              </w:rPr>
              <w:t xml:space="preserve"> a Moldovei (prevedere actuală la art. 9 alin. (3) al Legii nr. 575/2003), și obligativitatea Fondului de a păstra mijloacele Fondului la contul unic la Banca Națională a Moldovei, propunem ca Banca Națională a Moldovei să calculeze și să achite Fondului o </w:t>
            </w:r>
            <w:proofErr w:type="spellStart"/>
            <w:r w:rsidRPr="00DF2490">
              <w:rPr>
                <w:sz w:val="20"/>
                <w:szCs w:val="20"/>
                <w:lang w:val="ro-MD"/>
              </w:rPr>
              <w:t>dobîndă</w:t>
            </w:r>
            <w:proofErr w:type="spellEnd"/>
            <w:r w:rsidRPr="00DF2490">
              <w:rPr>
                <w:sz w:val="20"/>
                <w:szCs w:val="20"/>
                <w:lang w:val="ro-MD"/>
              </w:rPr>
              <w:t xml:space="preserve"> la soldul curent al contului, echivalentă cu rata </w:t>
            </w:r>
            <w:proofErr w:type="spellStart"/>
            <w:r w:rsidRPr="00DF2490">
              <w:rPr>
                <w:sz w:val="20"/>
                <w:szCs w:val="20"/>
                <w:lang w:val="ro-MD"/>
              </w:rPr>
              <w:t>dobînzii</w:t>
            </w:r>
            <w:proofErr w:type="spellEnd"/>
            <w:r w:rsidRPr="00DF2490">
              <w:rPr>
                <w:sz w:val="20"/>
                <w:szCs w:val="20"/>
                <w:lang w:val="ro-MD"/>
              </w:rPr>
              <w:t xml:space="preserve"> calculate și achitate la Certificatele Băncii Naționale (CBN). </w:t>
            </w:r>
          </w:p>
          <w:p w:rsidR="005C28E4" w:rsidRPr="00DF2490" w:rsidRDefault="005C28E4" w:rsidP="00C84A1B">
            <w:pPr>
              <w:ind w:firstLine="437"/>
              <w:jc w:val="both"/>
              <w:rPr>
                <w:sz w:val="20"/>
                <w:szCs w:val="20"/>
                <w:lang w:val="ro-MD"/>
              </w:rPr>
            </w:pPr>
          </w:p>
        </w:tc>
        <w:tc>
          <w:tcPr>
            <w:tcW w:w="4110" w:type="dxa"/>
          </w:tcPr>
          <w:p w:rsidR="005C28E4" w:rsidRPr="00DF2490" w:rsidRDefault="005C28E4" w:rsidP="00C84A1B">
            <w:pPr>
              <w:jc w:val="both"/>
              <w:rPr>
                <w:b/>
                <w:sz w:val="20"/>
                <w:szCs w:val="20"/>
                <w:lang w:val="ro-MD"/>
              </w:rPr>
            </w:pPr>
            <w:r w:rsidRPr="00DF2490">
              <w:rPr>
                <w:b/>
                <w:sz w:val="20"/>
                <w:szCs w:val="20"/>
                <w:lang w:val="ro-MD"/>
              </w:rPr>
              <w:t>Nu se susține.</w:t>
            </w:r>
          </w:p>
          <w:p w:rsidR="005C28E4" w:rsidRPr="00DF2490" w:rsidRDefault="005C28E4" w:rsidP="00C84A1B">
            <w:pPr>
              <w:jc w:val="both"/>
              <w:rPr>
                <w:b/>
                <w:sz w:val="20"/>
                <w:szCs w:val="20"/>
                <w:lang w:val="ro-MD"/>
              </w:rPr>
            </w:pPr>
            <w:r w:rsidRPr="00DF2490">
              <w:rPr>
                <w:color w:val="000000"/>
                <w:sz w:val="20"/>
                <w:szCs w:val="20"/>
                <w:lang w:val="ro-MD"/>
              </w:rPr>
              <w:t xml:space="preserve">Certificatele Băncii Naționale reprezintă instrumente ale </w:t>
            </w:r>
            <w:proofErr w:type="spellStart"/>
            <w:r w:rsidRPr="00DF2490">
              <w:rPr>
                <w:color w:val="000000"/>
                <w:sz w:val="20"/>
                <w:szCs w:val="20"/>
                <w:lang w:val="ro-MD"/>
              </w:rPr>
              <w:t>pieţei</w:t>
            </w:r>
            <w:proofErr w:type="spellEnd"/>
            <w:r w:rsidRPr="00DF2490">
              <w:rPr>
                <w:color w:val="000000"/>
                <w:sz w:val="20"/>
                <w:szCs w:val="20"/>
                <w:lang w:val="ro-MD"/>
              </w:rPr>
              <w:t xml:space="preserve"> monetare </w:t>
            </w:r>
            <w:proofErr w:type="spellStart"/>
            <w:r w:rsidRPr="00DF2490">
              <w:rPr>
                <w:color w:val="000000"/>
                <w:sz w:val="20"/>
                <w:szCs w:val="20"/>
                <w:lang w:val="ro-MD"/>
              </w:rPr>
              <w:t>şi</w:t>
            </w:r>
            <w:proofErr w:type="spellEnd"/>
            <w:r w:rsidRPr="00DF2490">
              <w:rPr>
                <w:color w:val="000000"/>
                <w:sz w:val="20"/>
                <w:szCs w:val="20"/>
                <w:lang w:val="ro-MD"/>
              </w:rPr>
              <w:t xml:space="preserve"> se emit în scopul realizării politicii monetare </w:t>
            </w:r>
            <w:proofErr w:type="spellStart"/>
            <w:r w:rsidRPr="00DF2490">
              <w:rPr>
                <w:color w:val="000000"/>
                <w:sz w:val="20"/>
                <w:szCs w:val="20"/>
                <w:lang w:val="ro-MD"/>
              </w:rPr>
              <w:t>şi</w:t>
            </w:r>
            <w:proofErr w:type="spellEnd"/>
            <w:r w:rsidRPr="00DF2490">
              <w:rPr>
                <w:color w:val="000000"/>
                <w:sz w:val="20"/>
                <w:szCs w:val="20"/>
                <w:lang w:val="ro-MD"/>
              </w:rPr>
              <w:t xml:space="preserve"> valutare a Băncii Naționale a Moldovei, și nu reprezintă instrumente investiționale (cum sunt valorile mobiliare de stat). Investițiile efectuate de Fond în instrumentele monetare emise de BNM majorează costurile de emisie și cheltuielile cu dobânzi, ceea ce implică costul mai ridicat al politicii monetare desfășurate de BNM. Totodată, ținem să menționăm că Fondul dispune de oportunități de investire a mijloacelor sale dat </w:t>
            </w:r>
            <w:r w:rsidRPr="00DF2490">
              <w:rPr>
                <w:color w:val="000000"/>
                <w:sz w:val="20"/>
                <w:szCs w:val="20"/>
                <w:lang w:val="ro-MD"/>
              </w:rPr>
              <w:lastRenderedPageBreak/>
              <w:t>fiind gama variată a VMS, oferită de Ministerul Finanțelor.</w:t>
            </w:r>
          </w:p>
        </w:tc>
      </w:tr>
      <w:tr w:rsidR="000E1EC9" w:rsidRPr="00DF2490" w:rsidTr="00C84A1B">
        <w:tc>
          <w:tcPr>
            <w:tcW w:w="1951" w:type="dxa"/>
            <w:vMerge/>
          </w:tcPr>
          <w:p w:rsidR="000E1EC9" w:rsidRPr="00DF2490" w:rsidRDefault="000E1EC9" w:rsidP="000E1EC9">
            <w:pPr>
              <w:pStyle w:val="NormalWeb"/>
              <w:ind w:firstLine="0"/>
              <w:jc w:val="center"/>
              <w:rPr>
                <w:b/>
                <w:sz w:val="20"/>
                <w:szCs w:val="20"/>
                <w:lang w:val="ro-MD"/>
              </w:rPr>
            </w:pPr>
          </w:p>
        </w:tc>
        <w:tc>
          <w:tcPr>
            <w:tcW w:w="7655" w:type="dxa"/>
          </w:tcPr>
          <w:p w:rsidR="000E1EC9" w:rsidRPr="00DF2490" w:rsidRDefault="000E1EC9" w:rsidP="000E1EC9">
            <w:pPr>
              <w:pStyle w:val="NormalWeb"/>
              <w:ind w:firstLine="0"/>
              <w:jc w:val="center"/>
              <w:rPr>
                <w:sz w:val="20"/>
                <w:szCs w:val="20"/>
                <w:lang w:val="ro-MD"/>
              </w:rPr>
            </w:pPr>
            <w:r w:rsidRPr="00DF2490">
              <w:rPr>
                <w:b/>
                <w:sz w:val="22"/>
                <w:szCs w:val="22"/>
                <w:lang w:val="ro-MD"/>
              </w:rPr>
              <w:t>Propunerile (recomandările)</w:t>
            </w:r>
          </w:p>
        </w:tc>
        <w:tc>
          <w:tcPr>
            <w:tcW w:w="4110" w:type="dxa"/>
          </w:tcPr>
          <w:p w:rsidR="000E1EC9" w:rsidRPr="00DF2490" w:rsidRDefault="000E1EC9" w:rsidP="00C84A1B">
            <w:pPr>
              <w:jc w:val="both"/>
              <w:rPr>
                <w:b/>
                <w:sz w:val="20"/>
                <w:szCs w:val="20"/>
                <w:lang w:val="ro-MD"/>
              </w:rPr>
            </w:pPr>
          </w:p>
        </w:tc>
      </w:tr>
      <w:tr w:rsidR="000E1EC9" w:rsidRPr="00DF2490" w:rsidTr="00C84A1B">
        <w:tc>
          <w:tcPr>
            <w:tcW w:w="1951" w:type="dxa"/>
            <w:vMerge/>
          </w:tcPr>
          <w:p w:rsidR="000E1EC9" w:rsidRPr="00DF2490" w:rsidRDefault="000E1EC9" w:rsidP="000E1EC9">
            <w:pPr>
              <w:pStyle w:val="NormalWeb"/>
              <w:ind w:firstLine="0"/>
              <w:jc w:val="center"/>
              <w:rPr>
                <w:b/>
                <w:sz w:val="20"/>
                <w:szCs w:val="20"/>
                <w:lang w:val="ro-MD"/>
              </w:rPr>
            </w:pPr>
          </w:p>
        </w:tc>
        <w:tc>
          <w:tcPr>
            <w:tcW w:w="7655" w:type="dxa"/>
          </w:tcPr>
          <w:p w:rsidR="000E1EC9" w:rsidRPr="00DF2490" w:rsidRDefault="009322EB" w:rsidP="000E1EC9">
            <w:pPr>
              <w:autoSpaceDE w:val="0"/>
              <w:autoSpaceDN w:val="0"/>
              <w:adjustRightInd w:val="0"/>
              <w:jc w:val="both"/>
              <w:rPr>
                <w:sz w:val="20"/>
                <w:szCs w:val="20"/>
                <w:lang w:val="ro-MD" w:eastAsia="ro-RO"/>
              </w:rPr>
            </w:pPr>
            <w:r>
              <w:rPr>
                <w:sz w:val="20"/>
                <w:szCs w:val="20"/>
                <w:lang w:val="ro-MD" w:eastAsia="ro-RO"/>
              </w:rPr>
              <w:t xml:space="preserve">            </w:t>
            </w:r>
            <w:r w:rsidR="000E1EC9" w:rsidRPr="00DF2490">
              <w:rPr>
                <w:sz w:val="20"/>
                <w:szCs w:val="20"/>
                <w:lang w:val="ro-MD" w:eastAsia="ro-RO"/>
              </w:rPr>
              <w:t xml:space="preserve">Se recomandă autorului corelarea instituției clasificării băncilor în categoriile de risc A, B sau C cu prevederile Legii nr.548/1995 și Legii nr.202/2017. Totodată, a se exclude caracterul </w:t>
            </w:r>
            <w:proofErr w:type="spellStart"/>
            <w:r w:rsidR="000E1EC9" w:rsidRPr="00DF2490">
              <w:rPr>
                <w:sz w:val="20"/>
                <w:szCs w:val="20"/>
                <w:lang w:val="ro-MD" w:eastAsia="ro-RO"/>
              </w:rPr>
              <w:t>netransaprent</w:t>
            </w:r>
            <w:proofErr w:type="spellEnd"/>
            <w:r w:rsidR="000E1EC9" w:rsidRPr="00DF2490">
              <w:rPr>
                <w:sz w:val="20"/>
                <w:szCs w:val="20"/>
                <w:lang w:val="ro-MD" w:eastAsia="ro-RO"/>
              </w:rPr>
              <w:t xml:space="preserve"> al clasificărilor acordate băncilor de către Banca Națională a Moldovei</w:t>
            </w:r>
          </w:p>
          <w:p w:rsidR="000E1EC9" w:rsidRPr="00DF2490" w:rsidRDefault="000E1EC9" w:rsidP="000E1EC9">
            <w:pPr>
              <w:pStyle w:val="NormalWeb"/>
              <w:ind w:firstLine="0"/>
              <w:jc w:val="center"/>
              <w:rPr>
                <w:sz w:val="20"/>
                <w:szCs w:val="20"/>
                <w:lang w:val="ro-MD"/>
              </w:rPr>
            </w:pPr>
          </w:p>
        </w:tc>
        <w:tc>
          <w:tcPr>
            <w:tcW w:w="4110" w:type="dxa"/>
          </w:tcPr>
          <w:p w:rsidR="00E86200" w:rsidRPr="00DF2490" w:rsidRDefault="00E86200" w:rsidP="00E86200">
            <w:pPr>
              <w:pStyle w:val="NoSpacing"/>
              <w:rPr>
                <w:b/>
                <w:sz w:val="20"/>
                <w:szCs w:val="20"/>
                <w:lang w:val="ro-MD"/>
              </w:rPr>
            </w:pPr>
            <w:r w:rsidRPr="00DF2490">
              <w:rPr>
                <w:b/>
                <w:sz w:val="20"/>
                <w:szCs w:val="20"/>
                <w:lang w:val="ro-MD"/>
              </w:rPr>
              <w:t>Nu se susține.</w:t>
            </w:r>
          </w:p>
          <w:p w:rsidR="00E86200" w:rsidRPr="00DF2490" w:rsidRDefault="00E86200" w:rsidP="00E86200">
            <w:pPr>
              <w:pStyle w:val="NoSpacing"/>
              <w:jc w:val="both"/>
              <w:rPr>
                <w:sz w:val="20"/>
                <w:szCs w:val="20"/>
                <w:lang w:val="ro-MD"/>
              </w:rPr>
            </w:pPr>
            <w:r w:rsidRPr="00DF2490">
              <w:rPr>
                <w:sz w:val="20"/>
                <w:szCs w:val="20"/>
                <w:lang w:val="ro-MD"/>
              </w:rPr>
              <w:t xml:space="preserve">Clasificarea băncilor în categorii de risc se va efectua în dependență de anumiți indicatori ai activității </w:t>
            </w:r>
            <w:proofErr w:type="spellStart"/>
            <w:r w:rsidRPr="00DF2490">
              <w:rPr>
                <w:sz w:val="20"/>
                <w:szCs w:val="20"/>
                <w:lang w:val="ro-MD"/>
              </w:rPr>
              <w:t>economico</w:t>
            </w:r>
            <w:proofErr w:type="spellEnd"/>
            <w:r w:rsidRPr="00DF2490">
              <w:rPr>
                <w:sz w:val="20"/>
                <w:szCs w:val="20"/>
                <w:lang w:val="ro-MD"/>
              </w:rPr>
              <w:t>-financiare a băncii, care ar putea fi înregistra valori oscilatorii în diverse perioade. Astfel, într-o perioadă de raportare o bancă poate fi clasificată la categoria B de risc, iar în alta în categoria A. Publicarea clasificării băncilor în categoriile de risc va influența negativ imaginea băncii, iar înregistrarea unei categorii de risc cum ar fi B sau C ar genera panică și retragerea masivă a depozitelor populației din banca respectivă, chiar dacă în perioadele ulterioare aceasta ar înregistra categoria A de risc.</w:t>
            </w:r>
          </w:p>
          <w:p w:rsidR="000E1EC9" w:rsidRPr="00DF2490" w:rsidRDefault="000E1EC9" w:rsidP="00C84A1B">
            <w:pPr>
              <w:jc w:val="both"/>
              <w:rPr>
                <w:b/>
                <w:sz w:val="20"/>
                <w:szCs w:val="20"/>
                <w:lang w:val="ro-MD"/>
              </w:rPr>
            </w:pPr>
          </w:p>
        </w:tc>
      </w:tr>
      <w:tr w:rsidR="000E1EC9" w:rsidRPr="00DF2490" w:rsidTr="00C84A1B">
        <w:tc>
          <w:tcPr>
            <w:tcW w:w="1951" w:type="dxa"/>
            <w:vMerge/>
          </w:tcPr>
          <w:p w:rsidR="000E1EC9" w:rsidRPr="00DF2490" w:rsidRDefault="000E1EC9" w:rsidP="000E1EC9">
            <w:pPr>
              <w:pStyle w:val="NormalWeb"/>
              <w:ind w:firstLine="0"/>
              <w:jc w:val="center"/>
              <w:rPr>
                <w:b/>
                <w:sz w:val="20"/>
                <w:szCs w:val="20"/>
                <w:lang w:val="ro-MD"/>
              </w:rPr>
            </w:pPr>
          </w:p>
        </w:tc>
        <w:tc>
          <w:tcPr>
            <w:tcW w:w="7655" w:type="dxa"/>
          </w:tcPr>
          <w:p w:rsidR="00E86200" w:rsidRPr="00DF2490" w:rsidRDefault="009322EB" w:rsidP="00E86200">
            <w:pPr>
              <w:autoSpaceDE w:val="0"/>
              <w:autoSpaceDN w:val="0"/>
              <w:adjustRightInd w:val="0"/>
              <w:jc w:val="both"/>
              <w:rPr>
                <w:sz w:val="20"/>
                <w:szCs w:val="20"/>
                <w:lang w:val="ro-MD" w:eastAsia="ro-RO"/>
              </w:rPr>
            </w:pPr>
            <w:r>
              <w:rPr>
                <w:sz w:val="20"/>
                <w:szCs w:val="20"/>
                <w:lang w:val="ro-MD" w:eastAsia="ro-RO"/>
              </w:rPr>
              <w:t xml:space="preserve">              </w:t>
            </w:r>
            <w:r w:rsidR="00E86200" w:rsidRPr="00DF2490">
              <w:rPr>
                <w:sz w:val="20"/>
                <w:szCs w:val="20"/>
                <w:lang w:val="ro-MD" w:eastAsia="ro-RO"/>
              </w:rPr>
              <w:t>Norma alin.(1) din art.26 din Legea nr.575/2003 reglementează condițiile ce urmează să le întrunească membrii Consiliului de administrație, precum și directorul executiv. Considerăm că norma evaziv reglementează instituția conflictului de interese. Or, respectarea regimului juridic al conflictelor de interese, precum și neadmiterea favoritismului sunt condiții esențiale de implementat în vederea asigurării exercitării transparente și eficiente a atribuțiilor de serviciu. Considerăm că activitatea Fondului urmează să se desfășoare pe principiul transparenței, eficienței, iar ca o măsură suplimentară de asigurare a integrității membrilor acestuia se propune semnarea de către aceștia a unei declarații de imparțialitate care va înlătura riscul comiterii conflictului de interese și/sau a favoritismului.</w:t>
            </w:r>
          </w:p>
          <w:p w:rsidR="000E1EC9" w:rsidRPr="00DF2490" w:rsidRDefault="000E1EC9" w:rsidP="000E1EC9">
            <w:pPr>
              <w:pStyle w:val="NormalWeb"/>
              <w:ind w:firstLine="0"/>
              <w:jc w:val="center"/>
              <w:rPr>
                <w:sz w:val="20"/>
                <w:szCs w:val="20"/>
                <w:lang w:val="ro-MD"/>
              </w:rPr>
            </w:pPr>
          </w:p>
        </w:tc>
        <w:tc>
          <w:tcPr>
            <w:tcW w:w="4110" w:type="dxa"/>
          </w:tcPr>
          <w:p w:rsidR="00E86200" w:rsidRPr="00DF2490" w:rsidRDefault="00E86200" w:rsidP="00E86200">
            <w:pPr>
              <w:autoSpaceDE w:val="0"/>
              <w:autoSpaceDN w:val="0"/>
              <w:adjustRightInd w:val="0"/>
              <w:jc w:val="both"/>
              <w:rPr>
                <w:b/>
                <w:sz w:val="20"/>
                <w:szCs w:val="20"/>
                <w:lang w:val="ro-MD"/>
              </w:rPr>
            </w:pPr>
            <w:r w:rsidRPr="00DF2490">
              <w:rPr>
                <w:b/>
                <w:sz w:val="20"/>
                <w:szCs w:val="20"/>
                <w:lang w:val="ro-MD"/>
              </w:rPr>
              <w:t>Nu se susține.</w:t>
            </w:r>
          </w:p>
          <w:p w:rsidR="00E86200" w:rsidRPr="00DF2490" w:rsidRDefault="00E86200" w:rsidP="00E86200">
            <w:pPr>
              <w:autoSpaceDE w:val="0"/>
              <w:autoSpaceDN w:val="0"/>
              <w:adjustRightInd w:val="0"/>
              <w:jc w:val="both"/>
              <w:rPr>
                <w:sz w:val="20"/>
                <w:szCs w:val="20"/>
                <w:lang w:val="ro-MD"/>
              </w:rPr>
            </w:pPr>
            <w:r w:rsidRPr="00DF2490">
              <w:rPr>
                <w:sz w:val="20"/>
                <w:szCs w:val="20"/>
                <w:lang w:val="ro-MD"/>
              </w:rPr>
              <w:t xml:space="preserve">Modificările propuse nu prevăd instituirea unor norme noi, ci presupun doar actualizarea noțiunilor reieșind din prevederile </w:t>
            </w:r>
            <w:r w:rsidRPr="00DF2490">
              <w:rPr>
                <w:sz w:val="20"/>
                <w:szCs w:val="20"/>
                <w:lang w:val="ro-MD" w:eastAsia="ro-RO"/>
              </w:rPr>
              <w:t>Legii nr. 202 din 6 octombrie 2017 privind activitatea băncilor. Conform legii prenotate, nu se mai utilizează noțiunea de ,,administrator” și ,,instituție financiară”, ci ,,organ de conducere” și, respectiv ,,bancă”. Astfel, propunerea prevăzută în punctul dat al proiectului are drept scop substituirea noțiunilor reieșind din noua lege privind activitatea băncilor.</w:t>
            </w:r>
          </w:p>
          <w:p w:rsidR="000E1EC9" w:rsidRPr="00DF2490" w:rsidRDefault="000E1EC9" w:rsidP="00C84A1B">
            <w:pPr>
              <w:jc w:val="both"/>
              <w:rPr>
                <w:b/>
                <w:sz w:val="20"/>
                <w:szCs w:val="20"/>
                <w:lang w:val="ro-MD"/>
              </w:rPr>
            </w:pPr>
          </w:p>
        </w:tc>
      </w:tr>
    </w:tbl>
    <w:p w:rsidR="00D75769" w:rsidRPr="00DF2490" w:rsidRDefault="00D75769" w:rsidP="00197226">
      <w:pPr>
        <w:jc w:val="center"/>
        <w:rPr>
          <w:sz w:val="20"/>
          <w:szCs w:val="20"/>
          <w:lang w:val="ro-MD"/>
        </w:rPr>
      </w:pPr>
    </w:p>
    <w:p w:rsidR="00AB5A7D" w:rsidRPr="00DF2490" w:rsidRDefault="00AB5A7D" w:rsidP="00197226">
      <w:pPr>
        <w:jc w:val="center"/>
        <w:rPr>
          <w:sz w:val="20"/>
          <w:szCs w:val="20"/>
          <w:lang w:val="ro-MD"/>
        </w:rPr>
      </w:pPr>
    </w:p>
    <w:p w:rsidR="00AB5A7D" w:rsidRPr="00DF2490" w:rsidRDefault="00AB5A7D" w:rsidP="00197226">
      <w:pPr>
        <w:jc w:val="center"/>
        <w:rPr>
          <w:sz w:val="20"/>
          <w:szCs w:val="20"/>
          <w:lang w:val="ro-MD"/>
        </w:rPr>
      </w:pPr>
    </w:p>
    <w:p w:rsidR="000B5936" w:rsidRPr="00DF2490" w:rsidRDefault="000B5936" w:rsidP="00BB2AAD">
      <w:pPr>
        <w:pStyle w:val="NormalWeb"/>
        <w:rPr>
          <w:sz w:val="20"/>
          <w:szCs w:val="20"/>
          <w:lang w:val="ro-MD"/>
        </w:rPr>
      </w:pPr>
    </w:p>
    <w:p w:rsidR="00EB6E63" w:rsidRPr="00DF2490" w:rsidRDefault="00EB6E63" w:rsidP="00BB2AAD">
      <w:pPr>
        <w:pStyle w:val="NormalWeb"/>
        <w:rPr>
          <w:sz w:val="20"/>
          <w:szCs w:val="20"/>
          <w:lang w:val="ro-MD"/>
        </w:rPr>
      </w:pPr>
    </w:p>
    <w:p w:rsidR="00EB6E63" w:rsidRPr="00DF2490" w:rsidRDefault="00EB6E63" w:rsidP="00BB2AAD">
      <w:pPr>
        <w:pStyle w:val="NormalWeb"/>
        <w:rPr>
          <w:sz w:val="20"/>
          <w:szCs w:val="20"/>
          <w:lang w:val="ro-MD"/>
        </w:rPr>
      </w:pPr>
    </w:p>
    <w:p w:rsidR="00EB6E63" w:rsidRPr="00DF2490" w:rsidRDefault="00EB6E63" w:rsidP="00BB2AAD">
      <w:pPr>
        <w:pStyle w:val="NormalWeb"/>
        <w:rPr>
          <w:sz w:val="20"/>
          <w:szCs w:val="20"/>
          <w:lang w:val="ro-MD"/>
        </w:rPr>
      </w:pPr>
    </w:p>
    <w:sectPr w:rsidR="00EB6E63" w:rsidRPr="00DF2490" w:rsidSect="00827452">
      <w:footerReference w:type="default" r:id="rId10"/>
      <w:pgSz w:w="15840" w:h="12240" w:orient="landscape"/>
      <w:pgMar w:top="720" w:right="1440" w:bottom="709" w:left="144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808" w:rsidRDefault="00655808" w:rsidP="00F2464E">
      <w:r>
        <w:separator/>
      </w:r>
    </w:p>
  </w:endnote>
  <w:endnote w:type="continuationSeparator" w:id="0">
    <w:p w:rsidR="00655808" w:rsidRDefault="00655808" w:rsidP="00F2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ermianSerifTypeface">
    <w:altName w:val="Calibri"/>
    <w:panose1 w:val="00000000000000000000"/>
    <w:charset w:val="00"/>
    <w:family w:val="modern"/>
    <w:notTrueType/>
    <w:pitch w:val="variable"/>
    <w:sig w:usb0="00000001" w:usb1="4000A46A" w:usb2="00000000" w:usb3="00000000" w:csb0="00000007"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620563"/>
      <w:docPartObj>
        <w:docPartGallery w:val="Page Numbers (Bottom of Page)"/>
        <w:docPartUnique/>
      </w:docPartObj>
    </w:sdtPr>
    <w:sdtEndPr/>
    <w:sdtContent>
      <w:p w:rsidR="00DA1ACA" w:rsidRDefault="00DB166F">
        <w:pPr>
          <w:pStyle w:val="Footer"/>
          <w:jc w:val="right"/>
        </w:pPr>
        <w:r>
          <w:fldChar w:fldCharType="begin"/>
        </w:r>
        <w:r w:rsidR="00DA1ACA">
          <w:instrText>PAGE   \* MERGEFORMAT</w:instrText>
        </w:r>
        <w:r>
          <w:fldChar w:fldCharType="separate"/>
        </w:r>
        <w:r w:rsidR="006B0E72" w:rsidRPr="006B0E72">
          <w:rPr>
            <w:noProof/>
            <w:lang w:val="ru-RU"/>
          </w:rPr>
          <w:t>4</w:t>
        </w:r>
        <w:r>
          <w:rPr>
            <w:noProof/>
            <w:lang w:val="ru-RU"/>
          </w:rPr>
          <w:fldChar w:fldCharType="end"/>
        </w:r>
      </w:p>
    </w:sdtContent>
  </w:sdt>
  <w:p w:rsidR="00DA1ACA" w:rsidRDefault="00DA1A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808" w:rsidRDefault="00655808" w:rsidP="00F2464E">
      <w:r>
        <w:separator/>
      </w:r>
    </w:p>
  </w:footnote>
  <w:footnote w:type="continuationSeparator" w:id="0">
    <w:p w:rsidR="00655808" w:rsidRDefault="00655808" w:rsidP="00F246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613D0"/>
    <w:multiLevelType w:val="hybridMultilevel"/>
    <w:tmpl w:val="3BC8B6C4"/>
    <w:lvl w:ilvl="0" w:tplc="0F5468AE">
      <w:start w:val="3"/>
      <w:numFmt w:val="bullet"/>
      <w:lvlText w:val="-"/>
      <w:lvlJc w:val="left"/>
      <w:pPr>
        <w:ind w:left="1080" w:hanging="360"/>
      </w:pPr>
      <w:rPr>
        <w:rFonts w:ascii="PermianSerifTypeface" w:eastAsiaTheme="minorHAnsi" w:hAnsi="PermianSerifTypefac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6E6FAD"/>
    <w:multiLevelType w:val="multilevel"/>
    <w:tmpl w:val="2A6E6FAD"/>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2E912032"/>
    <w:multiLevelType w:val="hybridMultilevel"/>
    <w:tmpl w:val="87682DAA"/>
    <w:lvl w:ilvl="0" w:tplc="01069DAE">
      <w:start w:val="2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4A2579A"/>
    <w:multiLevelType w:val="hybridMultilevel"/>
    <w:tmpl w:val="1AB85C24"/>
    <w:lvl w:ilvl="0" w:tplc="CEA6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A94DBE"/>
    <w:multiLevelType w:val="hybridMultilevel"/>
    <w:tmpl w:val="B10C9ED8"/>
    <w:lvl w:ilvl="0" w:tplc="D57C8390">
      <w:start w:val="13"/>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513199F"/>
    <w:multiLevelType w:val="multilevel"/>
    <w:tmpl w:val="D1903F1E"/>
    <w:lvl w:ilvl="0">
      <w:start w:val="1"/>
      <w:numFmt w:val="decimal"/>
      <w:lvlText w:val="(%1)"/>
      <w:lvlJc w:val="left"/>
      <w:pPr>
        <w:ind w:left="9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36"/>
    <w:rsid w:val="000145D1"/>
    <w:rsid w:val="00021848"/>
    <w:rsid w:val="0003098B"/>
    <w:rsid w:val="00035A2F"/>
    <w:rsid w:val="00041D01"/>
    <w:rsid w:val="000436B6"/>
    <w:rsid w:val="000577BA"/>
    <w:rsid w:val="00062114"/>
    <w:rsid w:val="00067C53"/>
    <w:rsid w:val="00072DC8"/>
    <w:rsid w:val="000762BE"/>
    <w:rsid w:val="00076DF7"/>
    <w:rsid w:val="0008545F"/>
    <w:rsid w:val="00090DD7"/>
    <w:rsid w:val="000915CF"/>
    <w:rsid w:val="000A4FFD"/>
    <w:rsid w:val="000A6A1F"/>
    <w:rsid w:val="000B0A75"/>
    <w:rsid w:val="000B5936"/>
    <w:rsid w:val="000C0158"/>
    <w:rsid w:val="000D1969"/>
    <w:rsid w:val="000E0F37"/>
    <w:rsid w:val="000E19DD"/>
    <w:rsid w:val="000E1EC9"/>
    <w:rsid w:val="000E3DB5"/>
    <w:rsid w:val="000F0683"/>
    <w:rsid w:val="000F45C6"/>
    <w:rsid w:val="000F6B8B"/>
    <w:rsid w:val="000F7FE0"/>
    <w:rsid w:val="001007A2"/>
    <w:rsid w:val="001047DA"/>
    <w:rsid w:val="0011317F"/>
    <w:rsid w:val="00114EF1"/>
    <w:rsid w:val="0013121D"/>
    <w:rsid w:val="001368A9"/>
    <w:rsid w:val="00142429"/>
    <w:rsid w:val="00145135"/>
    <w:rsid w:val="00147056"/>
    <w:rsid w:val="00147A3C"/>
    <w:rsid w:val="00153DAC"/>
    <w:rsid w:val="00154631"/>
    <w:rsid w:val="00154AB4"/>
    <w:rsid w:val="0018353E"/>
    <w:rsid w:val="001855D4"/>
    <w:rsid w:val="001952B7"/>
    <w:rsid w:val="00197226"/>
    <w:rsid w:val="001A299E"/>
    <w:rsid w:val="001B5D28"/>
    <w:rsid w:val="001C3CAF"/>
    <w:rsid w:val="001C41B4"/>
    <w:rsid w:val="001C5F9E"/>
    <w:rsid w:val="001D6B12"/>
    <w:rsid w:val="001E4319"/>
    <w:rsid w:val="001E7255"/>
    <w:rsid w:val="001F0F17"/>
    <w:rsid w:val="001F5A34"/>
    <w:rsid w:val="001F6379"/>
    <w:rsid w:val="0020104B"/>
    <w:rsid w:val="00207E0B"/>
    <w:rsid w:val="00213E2E"/>
    <w:rsid w:val="0021541E"/>
    <w:rsid w:val="00216285"/>
    <w:rsid w:val="00221C9B"/>
    <w:rsid w:val="00224020"/>
    <w:rsid w:val="00234B6D"/>
    <w:rsid w:val="00236528"/>
    <w:rsid w:val="00243193"/>
    <w:rsid w:val="0024773D"/>
    <w:rsid w:val="002522F9"/>
    <w:rsid w:val="00252FBE"/>
    <w:rsid w:val="00256D4B"/>
    <w:rsid w:val="00262A47"/>
    <w:rsid w:val="0026395E"/>
    <w:rsid w:val="00266903"/>
    <w:rsid w:val="0027012C"/>
    <w:rsid w:val="002711BC"/>
    <w:rsid w:val="00271BCB"/>
    <w:rsid w:val="002720AA"/>
    <w:rsid w:val="00275C84"/>
    <w:rsid w:val="00280CA7"/>
    <w:rsid w:val="00282F4B"/>
    <w:rsid w:val="002831B3"/>
    <w:rsid w:val="00291E66"/>
    <w:rsid w:val="00295B08"/>
    <w:rsid w:val="002979BF"/>
    <w:rsid w:val="002A15BD"/>
    <w:rsid w:val="002A4EAE"/>
    <w:rsid w:val="002B6AD1"/>
    <w:rsid w:val="002C0E1E"/>
    <w:rsid w:val="002C24B5"/>
    <w:rsid w:val="002C70D2"/>
    <w:rsid w:val="002D615F"/>
    <w:rsid w:val="002E50E8"/>
    <w:rsid w:val="002F2665"/>
    <w:rsid w:val="00305406"/>
    <w:rsid w:val="00305EA7"/>
    <w:rsid w:val="00307332"/>
    <w:rsid w:val="0031288B"/>
    <w:rsid w:val="0033071D"/>
    <w:rsid w:val="00333641"/>
    <w:rsid w:val="003355DC"/>
    <w:rsid w:val="00336BE5"/>
    <w:rsid w:val="003405F9"/>
    <w:rsid w:val="00340927"/>
    <w:rsid w:val="003410FA"/>
    <w:rsid w:val="00353269"/>
    <w:rsid w:val="00360ABF"/>
    <w:rsid w:val="00365B3B"/>
    <w:rsid w:val="00375C39"/>
    <w:rsid w:val="00376D2E"/>
    <w:rsid w:val="00376FDF"/>
    <w:rsid w:val="003824EB"/>
    <w:rsid w:val="0039298D"/>
    <w:rsid w:val="003A0746"/>
    <w:rsid w:val="003A51A2"/>
    <w:rsid w:val="003B5AD3"/>
    <w:rsid w:val="003B68F8"/>
    <w:rsid w:val="003B7DFD"/>
    <w:rsid w:val="003C11A1"/>
    <w:rsid w:val="003C2C82"/>
    <w:rsid w:val="003C4498"/>
    <w:rsid w:val="003C5B96"/>
    <w:rsid w:val="003D1DC9"/>
    <w:rsid w:val="003E1B31"/>
    <w:rsid w:val="003E4E43"/>
    <w:rsid w:val="003F13E9"/>
    <w:rsid w:val="003F4F93"/>
    <w:rsid w:val="00402F4C"/>
    <w:rsid w:val="00410328"/>
    <w:rsid w:val="004118C8"/>
    <w:rsid w:val="004119F6"/>
    <w:rsid w:val="00417ABE"/>
    <w:rsid w:val="00421766"/>
    <w:rsid w:val="00427CD3"/>
    <w:rsid w:val="004318B5"/>
    <w:rsid w:val="00432523"/>
    <w:rsid w:val="00441867"/>
    <w:rsid w:val="004428F4"/>
    <w:rsid w:val="00454E50"/>
    <w:rsid w:val="004561CF"/>
    <w:rsid w:val="00460767"/>
    <w:rsid w:val="0046753D"/>
    <w:rsid w:val="00490010"/>
    <w:rsid w:val="00494C0C"/>
    <w:rsid w:val="00496C8E"/>
    <w:rsid w:val="004A2677"/>
    <w:rsid w:val="004B110A"/>
    <w:rsid w:val="004C3CC4"/>
    <w:rsid w:val="004D1426"/>
    <w:rsid w:val="004D6EF4"/>
    <w:rsid w:val="004D7502"/>
    <w:rsid w:val="004E4945"/>
    <w:rsid w:val="004E6DBF"/>
    <w:rsid w:val="004E7981"/>
    <w:rsid w:val="004F033A"/>
    <w:rsid w:val="004F0B6C"/>
    <w:rsid w:val="004F0F58"/>
    <w:rsid w:val="004F289B"/>
    <w:rsid w:val="004F48A4"/>
    <w:rsid w:val="004F78EB"/>
    <w:rsid w:val="00511203"/>
    <w:rsid w:val="00512E3F"/>
    <w:rsid w:val="0051513D"/>
    <w:rsid w:val="00516EE5"/>
    <w:rsid w:val="005326A8"/>
    <w:rsid w:val="005635FB"/>
    <w:rsid w:val="005677F6"/>
    <w:rsid w:val="00570BB8"/>
    <w:rsid w:val="005732F7"/>
    <w:rsid w:val="00574A5C"/>
    <w:rsid w:val="00581487"/>
    <w:rsid w:val="005843CE"/>
    <w:rsid w:val="00584407"/>
    <w:rsid w:val="005867BB"/>
    <w:rsid w:val="00586ECA"/>
    <w:rsid w:val="00590481"/>
    <w:rsid w:val="00595F19"/>
    <w:rsid w:val="00596860"/>
    <w:rsid w:val="005A0283"/>
    <w:rsid w:val="005B0793"/>
    <w:rsid w:val="005B1CA1"/>
    <w:rsid w:val="005B3581"/>
    <w:rsid w:val="005C28E4"/>
    <w:rsid w:val="005C5CB1"/>
    <w:rsid w:val="005C79E0"/>
    <w:rsid w:val="005D0793"/>
    <w:rsid w:val="005D10AF"/>
    <w:rsid w:val="005D237D"/>
    <w:rsid w:val="005E3AA7"/>
    <w:rsid w:val="005E4887"/>
    <w:rsid w:val="005E6482"/>
    <w:rsid w:val="005F03A9"/>
    <w:rsid w:val="005F3AC3"/>
    <w:rsid w:val="005F3DF2"/>
    <w:rsid w:val="005F7799"/>
    <w:rsid w:val="00601C14"/>
    <w:rsid w:val="00602644"/>
    <w:rsid w:val="00602BF5"/>
    <w:rsid w:val="0060385A"/>
    <w:rsid w:val="006045C8"/>
    <w:rsid w:val="006067DC"/>
    <w:rsid w:val="00615570"/>
    <w:rsid w:val="0062420C"/>
    <w:rsid w:val="00625E62"/>
    <w:rsid w:val="006277DA"/>
    <w:rsid w:val="00633A59"/>
    <w:rsid w:val="0064059D"/>
    <w:rsid w:val="00640654"/>
    <w:rsid w:val="00650B94"/>
    <w:rsid w:val="00650EE0"/>
    <w:rsid w:val="006522C6"/>
    <w:rsid w:val="0065571D"/>
    <w:rsid w:val="00655808"/>
    <w:rsid w:val="00671AE8"/>
    <w:rsid w:val="00671FD1"/>
    <w:rsid w:val="00672D58"/>
    <w:rsid w:val="006750E8"/>
    <w:rsid w:val="0068475E"/>
    <w:rsid w:val="00690BE5"/>
    <w:rsid w:val="00691D20"/>
    <w:rsid w:val="006A3380"/>
    <w:rsid w:val="006B0E72"/>
    <w:rsid w:val="006B20AA"/>
    <w:rsid w:val="006B7299"/>
    <w:rsid w:val="006C0EE1"/>
    <w:rsid w:val="006C69F4"/>
    <w:rsid w:val="006D1879"/>
    <w:rsid w:val="006D41B7"/>
    <w:rsid w:val="006E333B"/>
    <w:rsid w:val="006E61AC"/>
    <w:rsid w:val="006E6800"/>
    <w:rsid w:val="006F2B17"/>
    <w:rsid w:val="006F53E4"/>
    <w:rsid w:val="006F6215"/>
    <w:rsid w:val="006F69E5"/>
    <w:rsid w:val="007041C2"/>
    <w:rsid w:val="00705B17"/>
    <w:rsid w:val="00710D73"/>
    <w:rsid w:val="00720288"/>
    <w:rsid w:val="00720306"/>
    <w:rsid w:val="00725E7B"/>
    <w:rsid w:val="00730B62"/>
    <w:rsid w:val="00733226"/>
    <w:rsid w:val="00733DE7"/>
    <w:rsid w:val="0073490D"/>
    <w:rsid w:val="0074126D"/>
    <w:rsid w:val="0074231F"/>
    <w:rsid w:val="007458C0"/>
    <w:rsid w:val="0074617B"/>
    <w:rsid w:val="0075081E"/>
    <w:rsid w:val="00764B72"/>
    <w:rsid w:val="00771B49"/>
    <w:rsid w:val="00777C04"/>
    <w:rsid w:val="007839D9"/>
    <w:rsid w:val="007924F4"/>
    <w:rsid w:val="0079332A"/>
    <w:rsid w:val="007A0412"/>
    <w:rsid w:val="007A2231"/>
    <w:rsid w:val="007A24C9"/>
    <w:rsid w:val="007A47EF"/>
    <w:rsid w:val="007B0551"/>
    <w:rsid w:val="007B1714"/>
    <w:rsid w:val="007B4F76"/>
    <w:rsid w:val="007B5A19"/>
    <w:rsid w:val="007C1B93"/>
    <w:rsid w:val="007D1CC7"/>
    <w:rsid w:val="007D5090"/>
    <w:rsid w:val="007E1E27"/>
    <w:rsid w:val="007E46D4"/>
    <w:rsid w:val="007F7F75"/>
    <w:rsid w:val="0080420D"/>
    <w:rsid w:val="00805F03"/>
    <w:rsid w:val="00806973"/>
    <w:rsid w:val="0081157E"/>
    <w:rsid w:val="00811C31"/>
    <w:rsid w:val="00816940"/>
    <w:rsid w:val="00827452"/>
    <w:rsid w:val="008276F3"/>
    <w:rsid w:val="00831490"/>
    <w:rsid w:val="00840AD5"/>
    <w:rsid w:val="00841B36"/>
    <w:rsid w:val="00851ECA"/>
    <w:rsid w:val="00852A3D"/>
    <w:rsid w:val="0087009C"/>
    <w:rsid w:val="00870499"/>
    <w:rsid w:val="008738A3"/>
    <w:rsid w:val="00881CF7"/>
    <w:rsid w:val="008863C4"/>
    <w:rsid w:val="0089003F"/>
    <w:rsid w:val="00891E49"/>
    <w:rsid w:val="00894D57"/>
    <w:rsid w:val="008A06EF"/>
    <w:rsid w:val="008A5EA2"/>
    <w:rsid w:val="008A6EDF"/>
    <w:rsid w:val="008A7577"/>
    <w:rsid w:val="008B1D54"/>
    <w:rsid w:val="008C35CE"/>
    <w:rsid w:val="008C6DE1"/>
    <w:rsid w:val="008D32BF"/>
    <w:rsid w:val="008D3E4F"/>
    <w:rsid w:val="008D4A76"/>
    <w:rsid w:val="008D4C58"/>
    <w:rsid w:val="008D5085"/>
    <w:rsid w:val="008D6B4C"/>
    <w:rsid w:val="008E0511"/>
    <w:rsid w:val="008E08C0"/>
    <w:rsid w:val="008F3593"/>
    <w:rsid w:val="008F599A"/>
    <w:rsid w:val="008F7E24"/>
    <w:rsid w:val="00903134"/>
    <w:rsid w:val="00906AFE"/>
    <w:rsid w:val="0091566F"/>
    <w:rsid w:val="00925E87"/>
    <w:rsid w:val="00927857"/>
    <w:rsid w:val="009278C7"/>
    <w:rsid w:val="00930D36"/>
    <w:rsid w:val="009322EB"/>
    <w:rsid w:val="00934EBF"/>
    <w:rsid w:val="00936943"/>
    <w:rsid w:val="00942F0B"/>
    <w:rsid w:val="00943107"/>
    <w:rsid w:val="009451A8"/>
    <w:rsid w:val="00957695"/>
    <w:rsid w:val="00962D3B"/>
    <w:rsid w:val="00966C7F"/>
    <w:rsid w:val="009702DD"/>
    <w:rsid w:val="00974AD4"/>
    <w:rsid w:val="00981FE6"/>
    <w:rsid w:val="00987BF5"/>
    <w:rsid w:val="00997BF0"/>
    <w:rsid w:val="009A0CC5"/>
    <w:rsid w:val="009A14BE"/>
    <w:rsid w:val="009A1E71"/>
    <w:rsid w:val="009B0B58"/>
    <w:rsid w:val="009B2AE7"/>
    <w:rsid w:val="009B4117"/>
    <w:rsid w:val="009B5199"/>
    <w:rsid w:val="009C0DD0"/>
    <w:rsid w:val="009C3C9F"/>
    <w:rsid w:val="009D2021"/>
    <w:rsid w:val="009E0F8D"/>
    <w:rsid w:val="009E105B"/>
    <w:rsid w:val="009E1E9C"/>
    <w:rsid w:val="00A07288"/>
    <w:rsid w:val="00A23587"/>
    <w:rsid w:val="00A34332"/>
    <w:rsid w:val="00A378FF"/>
    <w:rsid w:val="00A437FA"/>
    <w:rsid w:val="00A50C3E"/>
    <w:rsid w:val="00A5192C"/>
    <w:rsid w:val="00A56BAD"/>
    <w:rsid w:val="00A6085D"/>
    <w:rsid w:val="00A67C85"/>
    <w:rsid w:val="00A71ACE"/>
    <w:rsid w:val="00A845EB"/>
    <w:rsid w:val="00A908F9"/>
    <w:rsid w:val="00A96456"/>
    <w:rsid w:val="00AA0068"/>
    <w:rsid w:val="00AA0F52"/>
    <w:rsid w:val="00AB2E79"/>
    <w:rsid w:val="00AB2FA2"/>
    <w:rsid w:val="00AB5A7D"/>
    <w:rsid w:val="00AC3AE2"/>
    <w:rsid w:val="00AC766C"/>
    <w:rsid w:val="00AC7FAD"/>
    <w:rsid w:val="00AD0AAF"/>
    <w:rsid w:val="00AD74D8"/>
    <w:rsid w:val="00AE594E"/>
    <w:rsid w:val="00AF22B1"/>
    <w:rsid w:val="00AF693C"/>
    <w:rsid w:val="00B043E0"/>
    <w:rsid w:val="00B05790"/>
    <w:rsid w:val="00B0611C"/>
    <w:rsid w:val="00B11961"/>
    <w:rsid w:val="00B16C75"/>
    <w:rsid w:val="00B20616"/>
    <w:rsid w:val="00B21C71"/>
    <w:rsid w:val="00B23443"/>
    <w:rsid w:val="00B2567A"/>
    <w:rsid w:val="00B34724"/>
    <w:rsid w:val="00B36FFA"/>
    <w:rsid w:val="00B37F88"/>
    <w:rsid w:val="00B460EB"/>
    <w:rsid w:val="00B468C8"/>
    <w:rsid w:val="00B53081"/>
    <w:rsid w:val="00B6542E"/>
    <w:rsid w:val="00B65DAB"/>
    <w:rsid w:val="00B664F0"/>
    <w:rsid w:val="00B6772B"/>
    <w:rsid w:val="00B83744"/>
    <w:rsid w:val="00B850FC"/>
    <w:rsid w:val="00B85196"/>
    <w:rsid w:val="00B865B9"/>
    <w:rsid w:val="00B904B7"/>
    <w:rsid w:val="00B919F4"/>
    <w:rsid w:val="00BA1C3D"/>
    <w:rsid w:val="00BA6619"/>
    <w:rsid w:val="00BA7C7A"/>
    <w:rsid w:val="00BB2970"/>
    <w:rsid w:val="00BB2AAD"/>
    <w:rsid w:val="00BC0A50"/>
    <w:rsid w:val="00BC7C88"/>
    <w:rsid w:val="00BD1A6A"/>
    <w:rsid w:val="00BD2090"/>
    <w:rsid w:val="00BE729C"/>
    <w:rsid w:val="00BF63AB"/>
    <w:rsid w:val="00C038C0"/>
    <w:rsid w:val="00C0755E"/>
    <w:rsid w:val="00C077A2"/>
    <w:rsid w:val="00C11669"/>
    <w:rsid w:val="00C12235"/>
    <w:rsid w:val="00C202A5"/>
    <w:rsid w:val="00C302A7"/>
    <w:rsid w:val="00C30D07"/>
    <w:rsid w:val="00C36370"/>
    <w:rsid w:val="00C45C08"/>
    <w:rsid w:val="00C45E02"/>
    <w:rsid w:val="00C5111F"/>
    <w:rsid w:val="00C53412"/>
    <w:rsid w:val="00C55E72"/>
    <w:rsid w:val="00C57152"/>
    <w:rsid w:val="00C634D9"/>
    <w:rsid w:val="00C63861"/>
    <w:rsid w:val="00C706E2"/>
    <w:rsid w:val="00C7153A"/>
    <w:rsid w:val="00C77DB5"/>
    <w:rsid w:val="00C84A1B"/>
    <w:rsid w:val="00C91513"/>
    <w:rsid w:val="00CB6076"/>
    <w:rsid w:val="00CB62B3"/>
    <w:rsid w:val="00CC1E51"/>
    <w:rsid w:val="00CD035D"/>
    <w:rsid w:val="00CD1B9B"/>
    <w:rsid w:val="00CD2F3E"/>
    <w:rsid w:val="00CE397F"/>
    <w:rsid w:val="00CE6B56"/>
    <w:rsid w:val="00CF081D"/>
    <w:rsid w:val="00CF2423"/>
    <w:rsid w:val="00CF4E2F"/>
    <w:rsid w:val="00CF6AF7"/>
    <w:rsid w:val="00CF75E5"/>
    <w:rsid w:val="00D009B5"/>
    <w:rsid w:val="00D027AE"/>
    <w:rsid w:val="00D05497"/>
    <w:rsid w:val="00D0559A"/>
    <w:rsid w:val="00D122B0"/>
    <w:rsid w:val="00D25F49"/>
    <w:rsid w:val="00D26F44"/>
    <w:rsid w:val="00D306E7"/>
    <w:rsid w:val="00D34F69"/>
    <w:rsid w:val="00D3757B"/>
    <w:rsid w:val="00D44AE5"/>
    <w:rsid w:val="00D467AD"/>
    <w:rsid w:val="00D50F55"/>
    <w:rsid w:val="00D51ADC"/>
    <w:rsid w:val="00D54E73"/>
    <w:rsid w:val="00D55784"/>
    <w:rsid w:val="00D67F48"/>
    <w:rsid w:val="00D7270F"/>
    <w:rsid w:val="00D75769"/>
    <w:rsid w:val="00D75D53"/>
    <w:rsid w:val="00D842AD"/>
    <w:rsid w:val="00D84F96"/>
    <w:rsid w:val="00D90DD8"/>
    <w:rsid w:val="00D92228"/>
    <w:rsid w:val="00D9454B"/>
    <w:rsid w:val="00D949A3"/>
    <w:rsid w:val="00DA029C"/>
    <w:rsid w:val="00DA1ACA"/>
    <w:rsid w:val="00DA1B01"/>
    <w:rsid w:val="00DB166F"/>
    <w:rsid w:val="00DB66CE"/>
    <w:rsid w:val="00DC10C6"/>
    <w:rsid w:val="00DC776D"/>
    <w:rsid w:val="00DD2AE3"/>
    <w:rsid w:val="00DD49F5"/>
    <w:rsid w:val="00DD54AB"/>
    <w:rsid w:val="00DD6D1C"/>
    <w:rsid w:val="00DF060A"/>
    <w:rsid w:val="00DF1DEA"/>
    <w:rsid w:val="00DF2490"/>
    <w:rsid w:val="00DF36DB"/>
    <w:rsid w:val="00E006F8"/>
    <w:rsid w:val="00E01162"/>
    <w:rsid w:val="00E01717"/>
    <w:rsid w:val="00E01839"/>
    <w:rsid w:val="00E04902"/>
    <w:rsid w:val="00E059C9"/>
    <w:rsid w:val="00E118E6"/>
    <w:rsid w:val="00E1290A"/>
    <w:rsid w:val="00E21FAD"/>
    <w:rsid w:val="00E2377B"/>
    <w:rsid w:val="00E276FC"/>
    <w:rsid w:val="00E40667"/>
    <w:rsid w:val="00E41F2F"/>
    <w:rsid w:val="00E5375F"/>
    <w:rsid w:val="00E628BD"/>
    <w:rsid w:val="00E63AE5"/>
    <w:rsid w:val="00E674C8"/>
    <w:rsid w:val="00E71099"/>
    <w:rsid w:val="00E72C05"/>
    <w:rsid w:val="00E809CB"/>
    <w:rsid w:val="00E830A3"/>
    <w:rsid w:val="00E832A5"/>
    <w:rsid w:val="00E8363D"/>
    <w:rsid w:val="00E849EF"/>
    <w:rsid w:val="00E86200"/>
    <w:rsid w:val="00E86E4F"/>
    <w:rsid w:val="00E9758B"/>
    <w:rsid w:val="00EA10FF"/>
    <w:rsid w:val="00EB6E63"/>
    <w:rsid w:val="00EB7ADE"/>
    <w:rsid w:val="00EC0DCC"/>
    <w:rsid w:val="00EC1012"/>
    <w:rsid w:val="00EC335C"/>
    <w:rsid w:val="00EC7297"/>
    <w:rsid w:val="00EF0D7F"/>
    <w:rsid w:val="00EF5DC8"/>
    <w:rsid w:val="00EF767C"/>
    <w:rsid w:val="00F00026"/>
    <w:rsid w:val="00F0163D"/>
    <w:rsid w:val="00F22A23"/>
    <w:rsid w:val="00F2464E"/>
    <w:rsid w:val="00F30357"/>
    <w:rsid w:val="00F320E0"/>
    <w:rsid w:val="00F40742"/>
    <w:rsid w:val="00F41844"/>
    <w:rsid w:val="00F548A1"/>
    <w:rsid w:val="00F64D7F"/>
    <w:rsid w:val="00F665EE"/>
    <w:rsid w:val="00F671AA"/>
    <w:rsid w:val="00F778C6"/>
    <w:rsid w:val="00F81A15"/>
    <w:rsid w:val="00F81F0E"/>
    <w:rsid w:val="00F90ED7"/>
    <w:rsid w:val="00F92B7B"/>
    <w:rsid w:val="00F95B5E"/>
    <w:rsid w:val="00FA36B2"/>
    <w:rsid w:val="00FA77A3"/>
    <w:rsid w:val="00FB182C"/>
    <w:rsid w:val="00FB1F0A"/>
    <w:rsid w:val="00FC02D8"/>
    <w:rsid w:val="00FD0BF7"/>
    <w:rsid w:val="00FD7069"/>
    <w:rsid w:val="00FE37FC"/>
    <w:rsid w:val="00FE4548"/>
    <w:rsid w:val="00FE4AD6"/>
    <w:rsid w:val="00FE4DAA"/>
    <w:rsid w:val="00FF04A6"/>
    <w:rsid w:val="00FF51BA"/>
    <w:rsid w:val="00FF69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B058"/>
  <w15:docId w15:val="{3A63873D-F158-4ABB-87F5-40866EC2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57"/>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9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D2F3E"/>
    <w:pPr>
      <w:spacing w:after="160" w:line="259" w:lineRule="auto"/>
      <w:ind w:left="720"/>
      <w:contextualSpacing/>
    </w:pPr>
    <w:rPr>
      <w:rFonts w:asciiTheme="minorHAnsi" w:eastAsiaTheme="minorHAnsi" w:hAnsiTheme="minorHAnsi" w:cstheme="minorBidi"/>
      <w:sz w:val="22"/>
      <w:szCs w:val="22"/>
      <w:lang w:val="ru-RU" w:eastAsia="en-US"/>
    </w:rPr>
  </w:style>
  <w:style w:type="character" w:customStyle="1" w:styleId="ListParagraphChar">
    <w:name w:val="List Paragraph Char"/>
    <w:basedOn w:val="DefaultParagraphFont"/>
    <w:link w:val="ListParagraph"/>
    <w:uiPriority w:val="34"/>
    <w:locked/>
    <w:rsid w:val="00CD2F3E"/>
    <w:rPr>
      <w:lang w:val="ru-RU"/>
    </w:rPr>
  </w:style>
  <w:style w:type="paragraph" w:styleId="NormalWeb">
    <w:name w:val="Normal (Web)"/>
    <w:aliases w:val="Normal (Web) Char Char,Normal (Web) Char Char Char,Normal (Web) Char Char Char Char,Normal (Web) Char Char Char Char Char Char,Normal (Web) Char Char Char Char Char,Знак"/>
    <w:basedOn w:val="Normal"/>
    <w:link w:val="NormalWebChar"/>
    <w:uiPriority w:val="99"/>
    <w:unhideWhenUsed/>
    <w:qFormat/>
    <w:rsid w:val="00E04902"/>
    <w:pPr>
      <w:ind w:firstLine="567"/>
      <w:jc w:val="both"/>
    </w:pPr>
    <w:rPr>
      <w:lang w:val="ru-RU"/>
    </w:rPr>
  </w:style>
  <w:style w:type="paragraph" w:customStyle="1" w:styleId="Default">
    <w:name w:val="Default"/>
    <w:rsid w:val="007E1E2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F2464E"/>
    <w:rPr>
      <w:rFonts w:ascii="Calibri" w:eastAsia="Calibri" w:hAnsi="Calibri"/>
      <w:sz w:val="20"/>
      <w:szCs w:val="20"/>
      <w:lang w:val="ru-RU" w:eastAsia="en-US"/>
    </w:rPr>
  </w:style>
  <w:style w:type="character" w:customStyle="1" w:styleId="FootnoteTextChar">
    <w:name w:val="Footnote Text Char"/>
    <w:basedOn w:val="DefaultParagraphFont"/>
    <w:link w:val="FootnoteText"/>
    <w:uiPriority w:val="99"/>
    <w:semiHidden/>
    <w:rsid w:val="00F2464E"/>
    <w:rPr>
      <w:rFonts w:ascii="Calibri" w:eastAsia="Calibri" w:hAnsi="Calibri" w:cs="Times New Roman"/>
      <w:sz w:val="20"/>
      <w:szCs w:val="20"/>
      <w:lang w:val="ru-RU"/>
    </w:rPr>
  </w:style>
  <w:style w:type="character" w:styleId="FootnoteReference">
    <w:name w:val="footnote reference"/>
    <w:basedOn w:val="DefaultParagraphFont"/>
    <w:uiPriority w:val="99"/>
    <w:semiHidden/>
    <w:unhideWhenUsed/>
    <w:rsid w:val="00F2464E"/>
    <w:rPr>
      <w:vertAlign w:val="superscript"/>
    </w:rPr>
  </w:style>
  <w:style w:type="character" w:styleId="Hyperlink">
    <w:name w:val="Hyperlink"/>
    <w:uiPriority w:val="99"/>
    <w:unhideWhenUsed/>
    <w:rsid w:val="00A845EB"/>
    <w:rPr>
      <w:color w:val="0000FF"/>
      <w:u w:val="single"/>
    </w:rPr>
  </w:style>
  <w:style w:type="paragraph" w:styleId="Header">
    <w:name w:val="header"/>
    <w:basedOn w:val="Normal"/>
    <w:link w:val="HeaderChar"/>
    <w:uiPriority w:val="99"/>
    <w:unhideWhenUsed/>
    <w:rsid w:val="00154AB4"/>
    <w:pPr>
      <w:tabs>
        <w:tab w:val="center" w:pos="4677"/>
        <w:tab w:val="right" w:pos="9355"/>
      </w:tabs>
    </w:pPr>
  </w:style>
  <w:style w:type="character" w:customStyle="1" w:styleId="HeaderChar">
    <w:name w:val="Header Char"/>
    <w:basedOn w:val="DefaultParagraphFont"/>
    <w:link w:val="Header"/>
    <w:uiPriority w:val="99"/>
    <w:rsid w:val="00154AB4"/>
    <w:rPr>
      <w:rFonts w:ascii="Times New Roman" w:eastAsia="Times New Roman" w:hAnsi="Times New Roman" w:cs="Times New Roman"/>
      <w:sz w:val="24"/>
      <w:szCs w:val="24"/>
      <w:lang w:val="ro-RO" w:eastAsia="ru-RU"/>
    </w:rPr>
  </w:style>
  <w:style w:type="paragraph" w:styleId="Footer">
    <w:name w:val="footer"/>
    <w:basedOn w:val="Normal"/>
    <w:link w:val="FooterChar"/>
    <w:uiPriority w:val="99"/>
    <w:unhideWhenUsed/>
    <w:rsid w:val="00154AB4"/>
    <w:pPr>
      <w:tabs>
        <w:tab w:val="center" w:pos="4677"/>
        <w:tab w:val="right" w:pos="9355"/>
      </w:tabs>
    </w:pPr>
  </w:style>
  <w:style w:type="character" w:customStyle="1" w:styleId="FooterChar">
    <w:name w:val="Footer Char"/>
    <w:basedOn w:val="DefaultParagraphFont"/>
    <w:link w:val="Footer"/>
    <w:uiPriority w:val="99"/>
    <w:rsid w:val="00154AB4"/>
    <w:rPr>
      <w:rFonts w:ascii="Times New Roman" w:eastAsia="Times New Roman" w:hAnsi="Times New Roman" w:cs="Times New Roman"/>
      <w:sz w:val="24"/>
      <w:szCs w:val="24"/>
      <w:lang w:val="ro-RO" w:eastAsia="ru-RU"/>
    </w:rPr>
  </w:style>
  <w:style w:type="paragraph" w:customStyle="1" w:styleId="1">
    <w:name w:val="1 Знак"/>
    <w:basedOn w:val="Normal"/>
    <w:rsid w:val="003F4F93"/>
    <w:pPr>
      <w:spacing w:after="160" w:line="240" w:lineRule="exact"/>
    </w:pPr>
    <w:rPr>
      <w:rFonts w:ascii="Arial" w:eastAsia="Batang" w:hAnsi="Arial" w:cs="Arial"/>
      <w:sz w:val="20"/>
      <w:szCs w:val="20"/>
      <w:lang w:val="en-US" w:eastAsia="en-US"/>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Char"/>
    <w:basedOn w:val="DefaultParagraphFont"/>
    <w:link w:val="NormalWeb"/>
    <w:uiPriority w:val="99"/>
    <w:rsid w:val="00D50F55"/>
    <w:rPr>
      <w:rFonts w:ascii="Times New Roman" w:eastAsia="Times New Roman" w:hAnsi="Times New Roman" w:cs="Times New Roman"/>
      <w:sz w:val="24"/>
      <w:szCs w:val="24"/>
      <w:lang w:val="ru-RU" w:eastAsia="ru-RU"/>
    </w:rPr>
  </w:style>
  <w:style w:type="paragraph" w:customStyle="1" w:styleId="cp">
    <w:name w:val="cp"/>
    <w:basedOn w:val="Normal"/>
    <w:rsid w:val="00CB6076"/>
    <w:pPr>
      <w:jc w:val="center"/>
    </w:pPr>
    <w:rPr>
      <w:b/>
      <w:bCs/>
      <w:lang w:val="en-US" w:eastAsia="en-US"/>
    </w:rPr>
  </w:style>
  <w:style w:type="paragraph" w:customStyle="1" w:styleId="ListParagraph2">
    <w:name w:val="List Paragraph2"/>
    <w:basedOn w:val="Normal"/>
    <w:uiPriority w:val="34"/>
    <w:qFormat/>
    <w:rsid w:val="006B20AA"/>
    <w:pPr>
      <w:ind w:left="720"/>
      <w:contextualSpacing/>
    </w:pPr>
    <w:rPr>
      <w:rFonts w:eastAsia="SimSun"/>
      <w:szCs w:val="22"/>
      <w:lang w:eastAsia="en-US"/>
    </w:rPr>
  </w:style>
  <w:style w:type="paragraph" w:styleId="BalloonText">
    <w:name w:val="Balloon Text"/>
    <w:basedOn w:val="Normal"/>
    <w:link w:val="BalloonTextChar"/>
    <w:uiPriority w:val="99"/>
    <w:semiHidden/>
    <w:unhideWhenUsed/>
    <w:rsid w:val="00153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DAC"/>
    <w:rPr>
      <w:rFonts w:ascii="Segoe UI" w:eastAsia="Times New Roman" w:hAnsi="Segoe UI" w:cs="Segoe UI"/>
      <w:sz w:val="18"/>
      <w:szCs w:val="18"/>
      <w:lang w:val="ro-RO" w:eastAsia="ru-RU"/>
    </w:rPr>
  </w:style>
  <w:style w:type="paragraph" w:styleId="NoSpacing">
    <w:name w:val="No Spacing"/>
    <w:uiPriority w:val="1"/>
    <w:qFormat/>
    <w:rsid w:val="00375C39"/>
    <w:pPr>
      <w:spacing w:after="0" w:line="240" w:lineRule="auto"/>
    </w:pPr>
    <w:rPr>
      <w:rFonts w:ascii="Times New Roman" w:eastAsia="Times New Roman" w:hAnsi="Times New Roman" w:cs="Times New Roman"/>
      <w:sz w:val="24"/>
      <w:szCs w:val="24"/>
      <w:lang w:val="ro-RO" w:eastAsia="ru-RU"/>
    </w:rPr>
  </w:style>
  <w:style w:type="character" w:customStyle="1" w:styleId="CommentSubjectChar">
    <w:name w:val="Comment Subject Char"/>
    <w:link w:val="CommentSubject"/>
    <w:uiPriority w:val="99"/>
    <w:rsid w:val="0060385A"/>
    <w:rPr>
      <w:rFonts w:ascii="Times New Roman" w:hAnsi="Times New Roman"/>
      <w:b/>
      <w:bCs/>
      <w:lang w:val="ro-RO"/>
    </w:rPr>
  </w:style>
  <w:style w:type="paragraph" w:styleId="CommentText">
    <w:name w:val="annotation text"/>
    <w:basedOn w:val="Normal"/>
    <w:link w:val="CommentTextChar"/>
    <w:uiPriority w:val="99"/>
    <w:semiHidden/>
    <w:unhideWhenUsed/>
    <w:rsid w:val="0060385A"/>
    <w:rPr>
      <w:sz w:val="20"/>
      <w:szCs w:val="20"/>
    </w:rPr>
  </w:style>
  <w:style w:type="character" w:customStyle="1" w:styleId="CommentTextChar">
    <w:name w:val="Comment Text Char"/>
    <w:basedOn w:val="DefaultParagraphFont"/>
    <w:link w:val="CommentText"/>
    <w:uiPriority w:val="99"/>
    <w:semiHidden/>
    <w:rsid w:val="0060385A"/>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60385A"/>
    <w:rPr>
      <w:rFonts w:eastAsiaTheme="minorHAnsi" w:cstheme="minorBidi"/>
      <w:b/>
      <w:bCs/>
      <w:sz w:val="22"/>
      <w:szCs w:val="22"/>
      <w:lang w:eastAsia="en-US"/>
    </w:rPr>
  </w:style>
  <w:style w:type="character" w:customStyle="1" w:styleId="CommentSubjectChar1">
    <w:name w:val="Comment Subject Char1"/>
    <w:basedOn w:val="CommentTextChar"/>
    <w:uiPriority w:val="99"/>
    <w:semiHidden/>
    <w:rsid w:val="0060385A"/>
    <w:rPr>
      <w:rFonts w:ascii="Times New Roman" w:eastAsia="Times New Roman" w:hAnsi="Times New Roman" w:cs="Times New Roman"/>
      <w:b/>
      <w:bCs/>
      <w:sz w:val="20"/>
      <w:szCs w:val="20"/>
      <w:lang w:val="ro-RO" w:eastAsia="ru-RU"/>
    </w:rPr>
  </w:style>
  <w:style w:type="paragraph" w:customStyle="1" w:styleId="ydp4f6c5422msonormal">
    <w:name w:val="ydp4f6c5422msonormal"/>
    <w:basedOn w:val="Normal"/>
    <w:rsid w:val="00FC02D8"/>
    <w:pPr>
      <w:spacing w:before="100" w:beforeAutospacing="1" w:after="100" w:afterAutospacing="1"/>
    </w:pPr>
    <w:rPr>
      <w:lang w:val="ru-RU"/>
    </w:rPr>
  </w:style>
  <w:style w:type="character" w:customStyle="1" w:styleId="object">
    <w:name w:val="object"/>
    <w:basedOn w:val="DefaultParagraphFont"/>
    <w:rsid w:val="00FC02D8"/>
  </w:style>
  <w:style w:type="character" w:customStyle="1" w:styleId="docheader">
    <w:name w:val="doc_header"/>
    <w:basedOn w:val="DefaultParagraphFont"/>
    <w:rsid w:val="00DA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5192">
      <w:bodyDiv w:val="1"/>
      <w:marLeft w:val="0"/>
      <w:marRight w:val="0"/>
      <w:marTop w:val="0"/>
      <w:marBottom w:val="0"/>
      <w:divBdr>
        <w:top w:val="none" w:sz="0" w:space="0" w:color="auto"/>
        <w:left w:val="none" w:sz="0" w:space="0" w:color="auto"/>
        <w:bottom w:val="none" w:sz="0" w:space="0" w:color="auto"/>
        <w:right w:val="none" w:sz="0" w:space="0" w:color="auto"/>
      </w:divBdr>
    </w:div>
    <w:div w:id="269749651">
      <w:bodyDiv w:val="1"/>
      <w:marLeft w:val="0"/>
      <w:marRight w:val="0"/>
      <w:marTop w:val="0"/>
      <w:marBottom w:val="0"/>
      <w:divBdr>
        <w:top w:val="none" w:sz="0" w:space="0" w:color="auto"/>
        <w:left w:val="none" w:sz="0" w:space="0" w:color="auto"/>
        <w:bottom w:val="none" w:sz="0" w:space="0" w:color="auto"/>
        <w:right w:val="none" w:sz="0" w:space="0" w:color="auto"/>
      </w:divBdr>
    </w:div>
    <w:div w:id="310792409">
      <w:bodyDiv w:val="1"/>
      <w:marLeft w:val="0"/>
      <w:marRight w:val="0"/>
      <w:marTop w:val="0"/>
      <w:marBottom w:val="0"/>
      <w:divBdr>
        <w:top w:val="none" w:sz="0" w:space="0" w:color="auto"/>
        <w:left w:val="none" w:sz="0" w:space="0" w:color="auto"/>
        <w:bottom w:val="none" w:sz="0" w:space="0" w:color="auto"/>
        <w:right w:val="none" w:sz="0" w:space="0" w:color="auto"/>
      </w:divBdr>
    </w:div>
    <w:div w:id="318116945">
      <w:bodyDiv w:val="1"/>
      <w:marLeft w:val="0"/>
      <w:marRight w:val="0"/>
      <w:marTop w:val="0"/>
      <w:marBottom w:val="0"/>
      <w:divBdr>
        <w:top w:val="none" w:sz="0" w:space="0" w:color="auto"/>
        <w:left w:val="none" w:sz="0" w:space="0" w:color="auto"/>
        <w:bottom w:val="none" w:sz="0" w:space="0" w:color="auto"/>
        <w:right w:val="none" w:sz="0" w:space="0" w:color="auto"/>
      </w:divBdr>
    </w:div>
    <w:div w:id="331643785">
      <w:bodyDiv w:val="1"/>
      <w:marLeft w:val="0"/>
      <w:marRight w:val="0"/>
      <w:marTop w:val="0"/>
      <w:marBottom w:val="0"/>
      <w:divBdr>
        <w:top w:val="none" w:sz="0" w:space="0" w:color="auto"/>
        <w:left w:val="none" w:sz="0" w:space="0" w:color="auto"/>
        <w:bottom w:val="none" w:sz="0" w:space="0" w:color="auto"/>
        <w:right w:val="none" w:sz="0" w:space="0" w:color="auto"/>
      </w:divBdr>
    </w:div>
    <w:div w:id="429932726">
      <w:bodyDiv w:val="1"/>
      <w:marLeft w:val="0"/>
      <w:marRight w:val="0"/>
      <w:marTop w:val="0"/>
      <w:marBottom w:val="0"/>
      <w:divBdr>
        <w:top w:val="none" w:sz="0" w:space="0" w:color="auto"/>
        <w:left w:val="none" w:sz="0" w:space="0" w:color="auto"/>
        <w:bottom w:val="none" w:sz="0" w:space="0" w:color="auto"/>
        <w:right w:val="none" w:sz="0" w:space="0" w:color="auto"/>
      </w:divBdr>
    </w:div>
    <w:div w:id="508132723">
      <w:bodyDiv w:val="1"/>
      <w:marLeft w:val="0"/>
      <w:marRight w:val="0"/>
      <w:marTop w:val="0"/>
      <w:marBottom w:val="0"/>
      <w:divBdr>
        <w:top w:val="none" w:sz="0" w:space="0" w:color="auto"/>
        <w:left w:val="none" w:sz="0" w:space="0" w:color="auto"/>
        <w:bottom w:val="none" w:sz="0" w:space="0" w:color="auto"/>
        <w:right w:val="none" w:sz="0" w:space="0" w:color="auto"/>
      </w:divBdr>
    </w:div>
    <w:div w:id="577176023">
      <w:bodyDiv w:val="1"/>
      <w:marLeft w:val="0"/>
      <w:marRight w:val="0"/>
      <w:marTop w:val="0"/>
      <w:marBottom w:val="0"/>
      <w:divBdr>
        <w:top w:val="none" w:sz="0" w:space="0" w:color="auto"/>
        <w:left w:val="none" w:sz="0" w:space="0" w:color="auto"/>
        <w:bottom w:val="none" w:sz="0" w:space="0" w:color="auto"/>
        <w:right w:val="none" w:sz="0" w:space="0" w:color="auto"/>
      </w:divBdr>
    </w:div>
    <w:div w:id="619191425">
      <w:bodyDiv w:val="1"/>
      <w:marLeft w:val="0"/>
      <w:marRight w:val="0"/>
      <w:marTop w:val="0"/>
      <w:marBottom w:val="0"/>
      <w:divBdr>
        <w:top w:val="none" w:sz="0" w:space="0" w:color="auto"/>
        <w:left w:val="none" w:sz="0" w:space="0" w:color="auto"/>
        <w:bottom w:val="none" w:sz="0" w:space="0" w:color="auto"/>
        <w:right w:val="none" w:sz="0" w:space="0" w:color="auto"/>
      </w:divBdr>
    </w:div>
    <w:div w:id="1022433478">
      <w:bodyDiv w:val="1"/>
      <w:marLeft w:val="0"/>
      <w:marRight w:val="0"/>
      <w:marTop w:val="0"/>
      <w:marBottom w:val="0"/>
      <w:divBdr>
        <w:top w:val="none" w:sz="0" w:space="0" w:color="auto"/>
        <w:left w:val="none" w:sz="0" w:space="0" w:color="auto"/>
        <w:bottom w:val="none" w:sz="0" w:space="0" w:color="auto"/>
        <w:right w:val="none" w:sz="0" w:space="0" w:color="auto"/>
      </w:divBdr>
    </w:div>
    <w:div w:id="1342271383">
      <w:bodyDiv w:val="1"/>
      <w:marLeft w:val="0"/>
      <w:marRight w:val="0"/>
      <w:marTop w:val="0"/>
      <w:marBottom w:val="0"/>
      <w:divBdr>
        <w:top w:val="none" w:sz="0" w:space="0" w:color="auto"/>
        <w:left w:val="none" w:sz="0" w:space="0" w:color="auto"/>
        <w:bottom w:val="none" w:sz="0" w:space="0" w:color="auto"/>
        <w:right w:val="none" w:sz="0" w:space="0" w:color="auto"/>
      </w:divBdr>
    </w:div>
    <w:div w:id="1370492441">
      <w:bodyDiv w:val="1"/>
      <w:marLeft w:val="0"/>
      <w:marRight w:val="0"/>
      <w:marTop w:val="0"/>
      <w:marBottom w:val="0"/>
      <w:divBdr>
        <w:top w:val="none" w:sz="0" w:space="0" w:color="auto"/>
        <w:left w:val="none" w:sz="0" w:space="0" w:color="auto"/>
        <w:bottom w:val="none" w:sz="0" w:space="0" w:color="auto"/>
        <w:right w:val="none" w:sz="0" w:space="0" w:color="auto"/>
      </w:divBdr>
    </w:div>
    <w:div w:id="15883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2C3A-3C6C-4F6C-8816-BE925DC5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2258</Words>
  <Characters>12876</Characters>
  <Application>Microsoft Office Word</Application>
  <DocSecurity>0</DocSecurity>
  <Lines>107</Lines>
  <Paragraphs>30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jucovaurel</dc:creator>
  <cp:lastModifiedBy>Ana Litocenco</cp:lastModifiedBy>
  <cp:revision>6</cp:revision>
  <cp:lastPrinted>2018-07-16T07:31:00Z</cp:lastPrinted>
  <dcterms:created xsi:type="dcterms:W3CDTF">2018-07-17T06:44:00Z</dcterms:created>
  <dcterms:modified xsi:type="dcterms:W3CDTF">2018-07-17T06:54:00Z</dcterms:modified>
</cp:coreProperties>
</file>