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78" w:rsidRPr="00104389" w:rsidRDefault="00363A78" w:rsidP="00363A78">
      <w:pPr>
        <w:pStyle w:val="Normal1"/>
        <w:spacing w:line="360" w:lineRule="auto"/>
        <w:jc w:val="center"/>
        <w:rPr>
          <w:b/>
          <w:sz w:val="28"/>
          <w:szCs w:val="28"/>
        </w:rPr>
      </w:pPr>
      <w:r w:rsidRPr="00104389">
        <w:rPr>
          <w:b/>
          <w:sz w:val="28"/>
          <w:szCs w:val="28"/>
        </w:rPr>
        <w:t>Nota informativă</w:t>
      </w:r>
    </w:p>
    <w:p w:rsidR="00363A78" w:rsidRPr="00104389" w:rsidRDefault="00363A78" w:rsidP="00363A78">
      <w:pPr>
        <w:pStyle w:val="Normal1"/>
        <w:spacing w:line="360" w:lineRule="auto"/>
        <w:jc w:val="center"/>
        <w:rPr>
          <w:b/>
          <w:sz w:val="28"/>
          <w:szCs w:val="28"/>
        </w:rPr>
      </w:pPr>
      <w:r w:rsidRPr="00104389">
        <w:rPr>
          <w:b/>
          <w:noProof/>
          <w:sz w:val="28"/>
          <w:szCs w:val="28"/>
        </w:rPr>
        <w:t xml:space="preserve">la proiectul Hotărîrii Guvernului </w:t>
      </w:r>
      <w:r w:rsidRPr="00104389">
        <w:rPr>
          <w:b/>
          <w:sz w:val="28"/>
          <w:szCs w:val="28"/>
        </w:rPr>
        <w:t xml:space="preserve">cu privire </w:t>
      </w:r>
      <w:smartTag w:uri="urn:schemas-microsoft-com:office:smarttags" w:element="PersonName">
        <w:smartTagPr>
          <w:attr w:name="ProductID" w:val="la Strategia"/>
        </w:smartTagPr>
        <w:r w:rsidRPr="00104389">
          <w:rPr>
            <w:b/>
            <w:sz w:val="28"/>
            <w:szCs w:val="28"/>
          </w:rPr>
          <w:t>la Strategia</w:t>
        </w:r>
      </w:smartTag>
      <w:r w:rsidRPr="00104389">
        <w:rPr>
          <w:b/>
          <w:sz w:val="28"/>
          <w:szCs w:val="28"/>
        </w:rPr>
        <w:t xml:space="preserve"> energetică a </w:t>
      </w:r>
      <w:r w:rsidRPr="00104389">
        <w:rPr>
          <w:b/>
          <w:sz w:val="28"/>
          <w:szCs w:val="28"/>
        </w:rPr>
        <w:br/>
        <w:t>Republicii Moldova pînă în anul 2030</w:t>
      </w:r>
    </w:p>
    <w:p w:rsidR="00363A78" w:rsidRPr="00104389" w:rsidRDefault="00363A78" w:rsidP="00363A78">
      <w:pPr>
        <w:spacing w:after="0" w:line="360" w:lineRule="auto"/>
        <w:ind w:firstLine="540"/>
        <w:jc w:val="both"/>
        <w:rPr>
          <w:rFonts w:ascii="Times New Roman" w:hAnsi="Times New Roman"/>
          <w:sz w:val="28"/>
          <w:szCs w:val="28"/>
          <w:lang w:val="ro-RO"/>
        </w:rPr>
      </w:pPr>
      <w:r w:rsidRPr="00104389">
        <w:rPr>
          <w:rFonts w:ascii="Times New Roman" w:hAnsi="Times New Roman"/>
          <w:sz w:val="28"/>
          <w:szCs w:val="28"/>
          <w:lang w:val="ro-RO"/>
        </w:rPr>
        <w:t xml:space="preserve">Strategia energetică a Republicii Moldova până în anul 2030 </w:t>
      </w:r>
      <w:r w:rsidRPr="00104389">
        <w:rPr>
          <w:rFonts w:ascii="Times New Roman" w:hAnsi="Times New Roman"/>
          <w:bCs/>
          <w:sz w:val="28"/>
          <w:szCs w:val="28"/>
          <w:lang w:val="ro-RO"/>
        </w:rPr>
        <w:t xml:space="preserve">(în continuare „Strategia”) </w:t>
      </w:r>
      <w:r w:rsidRPr="00104389">
        <w:rPr>
          <w:rFonts w:ascii="Times New Roman" w:hAnsi="Times New Roman"/>
          <w:sz w:val="28"/>
          <w:szCs w:val="28"/>
          <w:lang w:val="ro-RO"/>
        </w:rPr>
        <w:t>articulează realităţile şi obiectivele în sectorul energetic al Republicii Moldova şi conturează acţiunile şi măsurile generale îndreptate spre implementarea acestor obiective.</w:t>
      </w:r>
    </w:p>
    <w:p w:rsidR="00363A78" w:rsidRPr="00104389" w:rsidRDefault="00363A78" w:rsidP="00363A78">
      <w:pPr>
        <w:spacing w:after="0" w:line="360" w:lineRule="auto"/>
        <w:ind w:firstLine="540"/>
        <w:jc w:val="both"/>
        <w:rPr>
          <w:rFonts w:ascii="Times New Roman" w:hAnsi="Times New Roman"/>
          <w:bCs/>
          <w:sz w:val="28"/>
          <w:szCs w:val="28"/>
          <w:lang w:val="ro-RO"/>
        </w:rPr>
      </w:pPr>
      <w:r w:rsidRPr="00104389">
        <w:rPr>
          <w:rFonts w:ascii="Times New Roman" w:hAnsi="Times New Roman"/>
          <w:bCs/>
          <w:sz w:val="28"/>
          <w:szCs w:val="28"/>
          <w:lang w:val="ro-RO"/>
        </w:rPr>
        <w:t xml:space="preserve">Obiectivul Strategiei este furnizarea unei îndrumări concrete în vederea dezvoltării sectorului energetic în Republica Moldova în scopul de a susţine creşterea economică şi bunăstarea socială. Astfel, în Strategie s-a identificat viziunea strategică şi oportunităţile strategice ale ţării în cadrul mediului energetic în rapidă schimbare din regiunea Europei Centrale, de Est şi de Sud. </w:t>
      </w:r>
    </w:p>
    <w:p w:rsidR="00363A78" w:rsidRPr="00104389" w:rsidRDefault="00363A78" w:rsidP="00363A78">
      <w:pPr>
        <w:spacing w:after="0" w:line="360" w:lineRule="auto"/>
        <w:ind w:firstLine="540"/>
        <w:jc w:val="both"/>
        <w:rPr>
          <w:rFonts w:ascii="Times New Roman" w:hAnsi="Times New Roman"/>
          <w:sz w:val="28"/>
          <w:szCs w:val="28"/>
          <w:lang w:val="ro-RO"/>
        </w:rPr>
      </w:pPr>
      <w:r w:rsidRPr="00104389">
        <w:rPr>
          <w:rFonts w:ascii="Times New Roman" w:hAnsi="Times New Roman"/>
          <w:sz w:val="28"/>
          <w:szCs w:val="28"/>
          <w:lang w:val="ro-RO"/>
        </w:rPr>
        <w:t xml:space="preserve">Strategia </w:t>
      </w:r>
      <w:r w:rsidRPr="00104389">
        <w:rPr>
          <w:rFonts w:ascii="Times New Roman" w:hAnsi="Times New Roman"/>
          <w:bCs/>
          <w:sz w:val="28"/>
          <w:szCs w:val="28"/>
          <w:lang w:val="ro-RO"/>
        </w:rPr>
        <w:t>îşi</w:t>
      </w:r>
      <w:r w:rsidRPr="00104389">
        <w:rPr>
          <w:rFonts w:ascii="Times New Roman" w:hAnsi="Times New Roman"/>
          <w:sz w:val="28"/>
          <w:szCs w:val="28"/>
          <w:lang w:val="ro-RO"/>
        </w:rPr>
        <w:t xml:space="preserve"> propune realizarea unei prioritizări a problemelor energetice ale ţării, care necesită soluţii rapide şi o reeşalonare/redimensionare a obiectivelor în conformitate cu un atent compromis de la caz la caz, între: resursele disponibile în acest moment, obiectivele UE/Comunităţii Energetice şi obiectivele naţionale, acordurile, obligaţiile internaţionale şi programe (incluz</w:t>
      </w:r>
      <w:r w:rsidRPr="00104389">
        <w:rPr>
          <w:rFonts w:ascii="Times New Roman" w:hAnsi="Times New Roman"/>
          <w:bCs/>
          <w:sz w:val="28"/>
          <w:szCs w:val="28"/>
          <w:lang w:val="ro-RO"/>
        </w:rPr>
        <w:t>â</w:t>
      </w:r>
      <w:r w:rsidRPr="00104389">
        <w:rPr>
          <w:rFonts w:ascii="Times New Roman" w:hAnsi="Times New Roman"/>
          <w:sz w:val="28"/>
          <w:szCs w:val="28"/>
          <w:lang w:val="ro-RO"/>
        </w:rPr>
        <w:t>nd aici, de asemenea, politica de vecinătate), şi necesităţile de urgenţă ale ţării.</w:t>
      </w:r>
    </w:p>
    <w:p w:rsidR="00363A78" w:rsidRPr="00104389" w:rsidRDefault="00363A78" w:rsidP="00363A78">
      <w:pPr>
        <w:spacing w:after="0" w:line="360" w:lineRule="auto"/>
        <w:ind w:firstLine="540"/>
        <w:jc w:val="both"/>
        <w:rPr>
          <w:rFonts w:ascii="Times New Roman" w:hAnsi="Times New Roman"/>
          <w:sz w:val="28"/>
          <w:szCs w:val="28"/>
          <w:lang w:val="ro-RO"/>
        </w:rPr>
      </w:pPr>
      <w:r w:rsidRPr="00104389">
        <w:rPr>
          <w:rFonts w:ascii="Times New Roman" w:hAnsi="Times New Roman"/>
          <w:sz w:val="28"/>
          <w:szCs w:val="28"/>
          <w:lang w:val="ro-RO"/>
        </w:rPr>
        <w:t xml:space="preserve">Ca fundament al Strategiei sale, Republica Moldova a stabilit o opţiune clară de integrare în Uniunea Europeană şi în piaţa sa internă a energiei. </w:t>
      </w:r>
    </w:p>
    <w:p w:rsidR="00363A78" w:rsidRPr="00104389" w:rsidRDefault="00363A78" w:rsidP="00363A78">
      <w:pPr>
        <w:spacing w:after="0" w:line="360" w:lineRule="auto"/>
        <w:ind w:firstLine="540"/>
        <w:rPr>
          <w:rFonts w:ascii="Times New Roman" w:hAnsi="Times New Roman"/>
          <w:sz w:val="28"/>
          <w:szCs w:val="28"/>
          <w:lang w:val="ro-RO"/>
        </w:rPr>
      </w:pPr>
      <w:r w:rsidRPr="00104389">
        <w:rPr>
          <w:rFonts w:ascii="Times New Roman" w:hAnsi="Times New Roman"/>
          <w:sz w:val="28"/>
          <w:szCs w:val="28"/>
          <w:lang w:val="ro-RO"/>
        </w:rPr>
        <w:t xml:space="preserve">Strategia are la bază trei </w:t>
      </w:r>
      <w:r w:rsidRPr="00104389">
        <w:rPr>
          <w:rFonts w:ascii="Times New Roman" w:hAnsi="Times New Roman"/>
          <w:i/>
          <w:sz w:val="28"/>
          <w:szCs w:val="28"/>
          <w:lang w:val="ro-RO"/>
        </w:rPr>
        <w:t>obiective generale</w:t>
      </w:r>
      <w:r w:rsidRPr="00104389">
        <w:rPr>
          <w:rFonts w:ascii="Times New Roman" w:hAnsi="Times New Roman"/>
          <w:sz w:val="28"/>
          <w:szCs w:val="28"/>
          <w:lang w:val="ro-RO"/>
        </w:rPr>
        <w:t>:</w:t>
      </w:r>
    </w:p>
    <w:p w:rsidR="00363A78" w:rsidRPr="00104389" w:rsidRDefault="00363A78" w:rsidP="00363A78">
      <w:pPr>
        <w:numPr>
          <w:ilvl w:val="0"/>
          <w:numId w:val="1"/>
        </w:numPr>
        <w:spacing w:after="0" w:line="360" w:lineRule="auto"/>
        <w:jc w:val="both"/>
        <w:rPr>
          <w:rFonts w:ascii="Times New Roman" w:hAnsi="Times New Roman"/>
          <w:sz w:val="28"/>
          <w:szCs w:val="28"/>
          <w:lang w:val="ro-RO"/>
        </w:rPr>
      </w:pPr>
      <w:r w:rsidRPr="00104389">
        <w:rPr>
          <w:rFonts w:ascii="Times New Roman" w:hAnsi="Times New Roman"/>
          <w:sz w:val="28"/>
          <w:szCs w:val="28"/>
          <w:lang w:val="ro-RO"/>
        </w:rPr>
        <w:t>Securitatea aprovizionării cu energie.</w:t>
      </w:r>
    </w:p>
    <w:p w:rsidR="00363A78" w:rsidRPr="00104389" w:rsidRDefault="00363A78" w:rsidP="00363A78">
      <w:pPr>
        <w:numPr>
          <w:ilvl w:val="0"/>
          <w:numId w:val="1"/>
        </w:numPr>
        <w:spacing w:after="0" w:line="360" w:lineRule="auto"/>
        <w:jc w:val="both"/>
        <w:rPr>
          <w:rFonts w:ascii="Times New Roman" w:hAnsi="Times New Roman"/>
          <w:sz w:val="28"/>
          <w:szCs w:val="28"/>
          <w:lang w:val="ro-RO"/>
        </w:rPr>
      </w:pPr>
      <w:r w:rsidRPr="00104389">
        <w:rPr>
          <w:rFonts w:ascii="Times New Roman" w:hAnsi="Times New Roman"/>
          <w:sz w:val="28"/>
          <w:szCs w:val="28"/>
          <w:lang w:val="ro-RO"/>
        </w:rPr>
        <w:t>Crearea pieţelor concurenţiale şi integrarea lor regională şi europeană.</w:t>
      </w:r>
    </w:p>
    <w:p w:rsidR="00363A78" w:rsidRPr="00104389" w:rsidRDefault="00363A78" w:rsidP="00363A78">
      <w:pPr>
        <w:numPr>
          <w:ilvl w:val="0"/>
          <w:numId w:val="1"/>
        </w:numPr>
        <w:spacing w:after="0" w:line="360" w:lineRule="auto"/>
        <w:jc w:val="both"/>
        <w:rPr>
          <w:rFonts w:ascii="Times New Roman" w:hAnsi="Times New Roman"/>
          <w:sz w:val="28"/>
          <w:szCs w:val="28"/>
          <w:lang w:val="ro-RO"/>
        </w:rPr>
      </w:pPr>
      <w:r w:rsidRPr="00104389">
        <w:rPr>
          <w:rFonts w:ascii="Times New Roman" w:hAnsi="Times New Roman"/>
          <w:sz w:val="28"/>
          <w:szCs w:val="28"/>
          <w:lang w:val="ro-RO"/>
        </w:rPr>
        <w:t>Durabilitatea mediului şi combaterea schimbărilor climatice.</w:t>
      </w:r>
    </w:p>
    <w:p w:rsidR="00363A78" w:rsidRPr="00104389" w:rsidRDefault="00363A78" w:rsidP="00363A78">
      <w:pPr>
        <w:pStyle w:val="cn"/>
        <w:spacing w:line="360" w:lineRule="auto"/>
        <w:ind w:firstLine="540"/>
        <w:jc w:val="both"/>
        <w:rPr>
          <w:sz w:val="28"/>
          <w:szCs w:val="28"/>
          <w:lang w:val="ro-RO"/>
        </w:rPr>
      </w:pPr>
      <w:r w:rsidRPr="00104389">
        <w:rPr>
          <w:b/>
          <w:lang w:val="ro-RO"/>
        </w:rPr>
        <w:tab/>
      </w:r>
      <w:r w:rsidRPr="00104389">
        <w:rPr>
          <w:sz w:val="28"/>
          <w:szCs w:val="28"/>
          <w:lang w:val="ro-RO"/>
        </w:rPr>
        <w:t xml:space="preserve">În proiectul Hotărârii Guvernului respectiv se propune aprobarea Strategiei </w:t>
      </w:r>
      <w:r w:rsidRPr="00104389">
        <w:rPr>
          <w:bCs/>
          <w:sz w:val="28"/>
          <w:szCs w:val="28"/>
          <w:lang w:val="ro-RO"/>
        </w:rPr>
        <w:t>Energetice a R.Moldova până în anul 2030</w:t>
      </w:r>
      <w:r w:rsidRPr="00104389">
        <w:rPr>
          <w:sz w:val="28"/>
          <w:szCs w:val="28"/>
          <w:lang w:val="ro-RO"/>
        </w:rPr>
        <w:t>, care conţine următoarele Capitole:</w:t>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t>I. Introducere.</w:t>
      </w:r>
      <w:r w:rsidRPr="00104389">
        <w:rPr>
          <w:rFonts w:ascii="Times New Roman" w:hAnsi="Times New Roman"/>
          <w:i/>
          <w:sz w:val="28"/>
          <w:szCs w:val="28"/>
          <w:lang w:val="ro-RO"/>
        </w:rPr>
        <w:tab/>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t>II. Situaţia actuală şi problemele identificate.</w:t>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t>III. Obiective strategice generale pentru 2012-2030.</w:t>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t>IV. Obiective strategice specifice pentru 2012-2020 şi măsurile aferente.</w:t>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lastRenderedPageBreak/>
        <w:t xml:space="preserve">V. Obiective strategice specifice pentru 2020-2030 şi măsurile aferente. </w:t>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t>VI. Sinteza măsurilor necesare pentru realizarea obiectivelor specifice în perioada 2012-2020.</w:t>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t>VII. Implementarea, raportarea şi monitorizarea strategiei.</w:t>
      </w:r>
    </w:p>
    <w:p w:rsidR="00363A78" w:rsidRPr="00104389" w:rsidRDefault="00363A78" w:rsidP="00363A78">
      <w:pPr>
        <w:tabs>
          <w:tab w:val="left" w:pos="3364"/>
        </w:tabs>
        <w:spacing w:after="0" w:line="360" w:lineRule="auto"/>
        <w:ind w:firstLine="540"/>
        <w:jc w:val="both"/>
        <w:rPr>
          <w:rFonts w:ascii="Times New Roman" w:hAnsi="Times New Roman"/>
          <w:i/>
          <w:sz w:val="28"/>
          <w:szCs w:val="28"/>
          <w:lang w:val="ro-RO"/>
        </w:rPr>
      </w:pPr>
      <w:r w:rsidRPr="00104389">
        <w:rPr>
          <w:rFonts w:ascii="Times New Roman" w:hAnsi="Times New Roman"/>
          <w:i/>
          <w:sz w:val="28"/>
          <w:szCs w:val="28"/>
          <w:lang w:val="ro-RO"/>
        </w:rPr>
        <w:t>VIII.Concluzii.</w:t>
      </w:r>
    </w:p>
    <w:p w:rsidR="00363A78" w:rsidRPr="00104389" w:rsidRDefault="00363A78" w:rsidP="00363A78">
      <w:pPr>
        <w:spacing w:after="0" w:line="360" w:lineRule="auto"/>
        <w:ind w:firstLine="540"/>
        <w:jc w:val="both"/>
        <w:rPr>
          <w:rFonts w:ascii="Times New Roman" w:hAnsi="Times New Roman"/>
          <w:sz w:val="28"/>
          <w:szCs w:val="28"/>
          <w:lang w:val="ro-RO"/>
        </w:rPr>
      </w:pPr>
      <w:r w:rsidRPr="00104389">
        <w:rPr>
          <w:rFonts w:ascii="Times New Roman" w:hAnsi="Times New Roman"/>
          <w:b/>
          <w:sz w:val="28"/>
          <w:szCs w:val="28"/>
          <w:lang w:val="ro-RO"/>
        </w:rPr>
        <w:t xml:space="preserve">Aspectul economic. </w:t>
      </w:r>
      <w:r w:rsidRPr="00104389">
        <w:rPr>
          <w:rFonts w:ascii="Times New Roman" w:hAnsi="Times New Roman"/>
          <w:sz w:val="28"/>
          <w:szCs w:val="28"/>
          <w:lang w:val="ro-RO"/>
        </w:rPr>
        <w:t>Implementarea Strategiei va contribui la dezvoltarea durabilă a economiei naţionale, eficientizarea sectorului energetic şi crearea unei pieţe de energie transparente şi competitive. Strategia se referă la obiectivele, măsurile şi activităţile orientate spre atingerea unui complex energetic mai eficient, competitiv şi sigur, care să asigure, totodată, securitatea energetică a ţării, modernizarea infrastructurii energetice existente, îmbunătăţirea eficienţei energetice, utilizarea surselor regenerabile de energie şi integrarea pe piaţa energetică europeană.</w:t>
      </w:r>
    </w:p>
    <w:p w:rsidR="00363A78" w:rsidRPr="00104389" w:rsidRDefault="00363A78" w:rsidP="00363A78">
      <w:pPr>
        <w:spacing w:after="0" w:line="360" w:lineRule="auto"/>
        <w:ind w:firstLine="540"/>
        <w:jc w:val="both"/>
        <w:rPr>
          <w:rFonts w:ascii="Tahoma" w:hAnsi="Tahoma" w:cs="Tahoma"/>
          <w:color w:val="000000"/>
          <w:sz w:val="28"/>
          <w:szCs w:val="28"/>
          <w:lang w:val="ro-RO"/>
        </w:rPr>
      </w:pPr>
      <w:r w:rsidRPr="00104389">
        <w:rPr>
          <w:rFonts w:ascii="Times New Roman" w:hAnsi="Times New Roman"/>
          <w:b/>
          <w:bCs/>
          <w:sz w:val="28"/>
          <w:szCs w:val="28"/>
          <w:lang w:val="ro-RO"/>
        </w:rPr>
        <w:t>Aspectul financiar.</w:t>
      </w:r>
      <w:r w:rsidRPr="00104389">
        <w:rPr>
          <w:rFonts w:ascii="Times New Roman" w:hAnsi="Times New Roman"/>
          <w:sz w:val="28"/>
          <w:szCs w:val="28"/>
          <w:lang w:val="ro-RO"/>
        </w:rPr>
        <w:t xml:space="preserve"> În Planul de acţiuni pentru implementarea Strategiei Energetice pînă în anul 2030, precum şi în textul Strategiei, sunt preconizate mijloace financiare </w:t>
      </w:r>
      <w:r w:rsidRPr="00104389">
        <w:rPr>
          <w:rFonts w:ascii="Times New Roman" w:hAnsi="Times New Roman"/>
          <w:color w:val="000000"/>
          <w:sz w:val="28"/>
          <w:szCs w:val="28"/>
          <w:lang w:val="ro-RO"/>
        </w:rPr>
        <w:t>pentru implementarea obiectivelor specifice din Strategie</w:t>
      </w:r>
      <w:r w:rsidRPr="00104389">
        <w:rPr>
          <w:rFonts w:ascii="Times New Roman" w:hAnsi="Times New Roman"/>
          <w:sz w:val="28"/>
          <w:szCs w:val="28"/>
          <w:lang w:val="ro-RO"/>
        </w:rPr>
        <w:t xml:space="preserve"> din contul bugetului de stat, asistenţei tehnice, investiţiilor private locale şi străine etc</w:t>
      </w:r>
      <w:r w:rsidRPr="00104389">
        <w:rPr>
          <w:rFonts w:ascii="Times New Roman" w:hAnsi="Times New Roman"/>
          <w:color w:val="000000"/>
          <w:sz w:val="28"/>
          <w:szCs w:val="28"/>
          <w:lang w:val="ro-RO"/>
        </w:rPr>
        <w:t>.</w:t>
      </w:r>
    </w:p>
    <w:p w:rsidR="00363A78" w:rsidRPr="00104389" w:rsidRDefault="00363A78" w:rsidP="00363A78">
      <w:pPr>
        <w:spacing w:after="0" w:line="360" w:lineRule="auto"/>
        <w:ind w:firstLine="540"/>
        <w:jc w:val="both"/>
        <w:rPr>
          <w:rFonts w:ascii="Times New Roman" w:hAnsi="Times New Roman"/>
          <w:color w:val="000000"/>
          <w:sz w:val="28"/>
          <w:szCs w:val="28"/>
          <w:lang w:val="ro-RO"/>
        </w:rPr>
      </w:pPr>
      <w:r w:rsidRPr="00104389">
        <w:rPr>
          <w:rFonts w:ascii="Times New Roman" w:hAnsi="Times New Roman"/>
          <w:b/>
          <w:color w:val="000000"/>
          <w:sz w:val="28"/>
          <w:szCs w:val="28"/>
          <w:lang w:val="ro-RO"/>
        </w:rPr>
        <w:t xml:space="preserve">Aspectul normativ. </w:t>
      </w:r>
      <w:r w:rsidRPr="00104389">
        <w:rPr>
          <w:rFonts w:ascii="Times New Roman" w:hAnsi="Times New Roman"/>
          <w:color w:val="000000"/>
          <w:sz w:val="28"/>
          <w:szCs w:val="28"/>
          <w:lang w:val="ro-RO"/>
        </w:rPr>
        <w:t>Prezenta Hotărâre a Guvernului este elaborată în conformitate cu legislaţia în vigoare şi nu necesită elaborarea sau modificarea altor acte normative sau legislative.</w:t>
      </w:r>
    </w:p>
    <w:p w:rsidR="00363A78" w:rsidRPr="00104389" w:rsidRDefault="00363A78" w:rsidP="00363A78">
      <w:pPr>
        <w:pStyle w:val="4"/>
        <w:spacing w:line="360" w:lineRule="auto"/>
        <w:ind w:firstLine="540"/>
        <w:jc w:val="both"/>
        <w:rPr>
          <w:rFonts w:ascii="Times New Roman" w:hAnsi="Times New Roman"/>
          <w:b w:val="0"/>
          <w:sz w:val="28"/>
          <w:szCs w:val="28"/>
          <w:lang w:val="ro-RO"/>
        </w:rPr>
      </w:pPr>
      <w:r w:rsidRPr="00104389">
        <w:rPr>
          <w:rFonts w:ascii="Times New Roman" w:hAnsi="Times New Roman"/>
          <w:color w:val="000000"/>
          <w:sz w:val="28"/>
          <w:szCs w:val="28"/>
          <w:lang w:val="ro-RO"/>
        </w:rPr>
        <w:t>Aspectul temporar</w:t>
      </w:r>
      <w:r w:rsidRPr="00104389">
        <w:rPr>
          <w:rFonts w:ascii="Times New Roman" w:hAnsi="Times New Roman"/>
          <w:b w:val="0"/>
          <w:color w:val="000000"/>
          <w:sz w:val="28"/>
          <w:szCs w:val="28"/>
          <w:lang w:val="ro-RO"/>
        </w:rPr>
        <w:t xml:space="preserve">. Strategia conţine obiective generale şi specifice pentru perioada 2012-2030. </w:t>
      </w:r>
    </w:p>
    <w:p w:rsidR="00363A78" w:rsidRPr="00104389" w:rsidRDefault="00363A78" w:rsidP="00363A78">
      <w:pPr>
        <w:pStyle w:val="4"/>
        <w:spacing w:line="360" w:lineRule="auto"/>
        <w:ind w:firstLine="540"/>
        <w:jc w:val="both"/>
        <w:rPr>
          <w:rFonts w:ascii="Times New Roman" w:hAnsi="Times New Roman"/>
          <w:b w:val="0"/>
          <w:sz w:val="28"/>
          <w:szCs w:val="28"/>
          <w:lang w:val="ro-RO"/>
        </w:rPr>
      </w:pPr>
      <w:r w:rsidRPr="00104389">
        <w:rPr>
          <w:rFonts w:ascii="Times New Roman" w:hAnsi="Times New Roman"/>
          <w:b w:val="0"/>
          <w:sz w:val="28"/>
          <w:szCs w:val="28"/>
          <w:lang w:val="ro-RO"/>
        </w:rPr>
        <w:t xml:space="preserve">În contextul celor enunţate, Ministerul Economiei propune spre aprobare proiectul Hotărârii Guvernului cu privire </w:t>
      </w:r>
      <w:smartTag w:uri="urn:schemas-microsoft-com:office:smarttags" w:element="PersonName">
        <w:smartTagPr>
          <w:attr w:name="ProductID" w:val="la Strategia"/>
        </w:smartTagPr>
        <w:r w:rsidRPr="00104389">
          <w:rPr>
            <w:rFonts w:ascii="Times New Roman" w:hAnsi="Times New Roman"/>
            <w:b w:val="0"/>
            <w:sz w:val="28"/>
            <w:szCs w:val="28"/>
            <w:lang w:val="ro-RO"/>
          </w:rPr>
          <w:t>la Strategia</w:t>
        </w:r>
      </w:smartTag>
      <w:r w:rsidRPr="00104389">
        <w:rPr>
          <w:rFonts w:ascii="Times New Roman" w:hAnsi="Times New Roman"/>
          <w:b w:val="0"/>
          <w:sz w:val="28"/>
          <w:szCs w:val="28"/>
          <w:lang w:val="ro-RO"/>
        </w:rPr>
        <w:t xml:space="preserve"> energetică a Republicii Moldova până în anul 2030. </w:t>
      </w:r>
    </w:p>
    <w:p w:rsidR="00363A78" w:rsidRPr="00104389" w:rsidRDefault="00363A78" w:rsidP="00363A78">
      <w:pPr>
        <w:pStyle w:val="Normal1"/>
        <w:numPr>
          <w:ilvl w:val="12"/>
          <w:numId w:val="0"/>
        </w:numPr>
        <w:spacing w:line="360" w:lineRule="auto"/>
        <w:jc w:val="both"/>
        <w:rPr>
          <w:b/>
          <w:sz w:val="28"/>
          <w:szCs w:val="28"/>
        </w:rPr>
      </w:pPr>
      <w:r w:rsidRPr="00104389">
        <w:rPr>
          <w:b/>
          <w:sz w:val="28"/>
          <w:szCs w:val="28"/>
        </w:rPr>
        <w:t xml:space="preserve">       </w:t>
      </w:r>
    </w:p>
    <w:p w:rsidR="00363A78" w:rsidRPr="00104389" w:rsidRDefault="00363A78" w:rsidP="00363A78">
      <w:pPr>
        <w:pStyle w:val="Normal1"/>
        <w:numPr>
          <w:ilvl w:val="12"/>
          <w:numId w:val="0"/>
        </w:numPr>
        <w:spacing w:line="360" w:lineRule="auto"/>
        <w:jc w:val="both"/>
        <w:rPr>
          <w:sz w:val="28"/>
          <w:szCs w:val="28"/>
        </w:rPr>
      </w:pPr>
      <w:r w:rsidRPr="00104389">
        <w:rPr>
          <w:b/>
          <w:sz w:val="28"/>
          <w:szCs w:val="28"/>
        </w:rPr>
        <w:t xml:space="preserve">       Viceprim-ministru,</w:t>
      </w:r>
      <w:r w:rsidRPr="00104389">
        <w:rPr>
          <w:b/>
          <w:sz w:val="28"/>
          <w:szCs w:val="28"/>
        </w:rPr>
        <w:tab/>
      </w:r>
      <w:r w:rsidRPr="00104389">
        <w:rPr>
          <w:b/>
          <w:sz w:val="28"/>
          <w:szCs w:val="28"/>
        </w:rPr>
        <w:tab/>
      </w:r>
      <w:r w:rsidRPr="00104389">
        <w:rPr>
          <w:b/>
          <w:sz w:val="28"/>
          <w:szCs w:val="28"/>
        </w:rPr>
        <w:tab/>
      </w:r>
      <w:r w:rsidRPr="00104389">
        <w:rPr>
          <w:b/>
          <w:sz w:val="28"/>
          <w:szCs w:val="28"/>
        </w:rPr>
        <w:tab/>
      </w:r>
      <w:r w:rsidRPr="00104389">
        <w:rPr>
          <w:b/>
          <w:sz w:val="28"/>
          <w:szCs w:val="28"/>
        </w:rPr>
        <w:tab/>
      </w:r>
      <w:r w:rsidRPr="00104389">
        <w:rPr>
          <w:b/>
          <w:sz w:val="28"/>
          <w:szCs w:val="28"/>
        </w:rPr>
        <w:tab/>
        <w:t xml:space="preserve"> Valeriu LAZĂR</w:t>
      </w:r>
    </w:p>
    <w:p w:rsidR="00363A78" w:rsidRPr="00104389" w:rsidRDefault="00363A78" w:rsidP="00363A78">
      <w:pPr>
        <w:pStyle w:val="Normal1"/>
        <w:numPr>
          <w:ilvl w:val="12"/>
          <w:numId w:val="0"/>
        </w:numPr>
        <w:spacing w:line="360" w:lineRule="auto"/>
        <w:jc w:val="both"/>
        <w:rPr>
          <w:b/>
          <w:sz w:val="28"/>
          <w:szCs w:val="28"/>
        </w:rPr>
      </w:pPr>
      <w:r w:rsidRPr="00104389">
        <w:rPr>
          <w:b/>
          <w:sz w:val="28"/>
          <w:szCs w:val="28"/>
        </w:rPr>
        <w:t xml:space="preserve">       Ministru al economiei</w:t>
      </w:r>
    </w:p>
    <w:p w:rsidR="00363A78" w:rsidRPr="00104389" w:rsidRDefault="00363A78" w:rsidP="00363A78">
      <w:pPr>
        <w:pStyle w:val="Normal1"/>
        <w:numPr>
          <w:ilvl w:val="12"/>
          <w:numId w:val="0"/>
        </w:numPr>
        <w:spacing w:line="360" w:lineRule="auto"/>
        <w:jc w:val="both"/>
        <w:rPr>
          <w:rStyle w:val="FontStyle11"/>
          <w:b w:val="0"/>
          <w:sz w:val="24"/>
          <w:szCs w:val="24"/>
          <w:u w:val="single"/>
        </w:rPr>
      </w:pPr>
    </w:p>
    <w:p w:rsidR="00363A78" w:rsidRPr="00104389" w:rsidRDefault="00363A78" w:rsidP="00363A78">
      <w:pPr>
        <w:pStyle w:val="rg"/>
        <w:rPr>
          <w:lang w:val="ro-RO"/>
        </w:rPr>
      </w:pPr>
    </w:p>
    <w:p w:rsidR="00111B92" w:rsidRPr="00363A78" w:rsidRDefault="00111B92">
      <w:pPr>
        <w:rPr>
          <w:lang w:val="ro-RO"/>
        </w:rPr>
      </w:pPr>
    </w:p>
    <w:sectPr w:rsidR="00111B92" w:rsidRPr="00363A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9734F"/>
    <w:multiLevelType w:val="hybridMultilevel"/>
    <w:tmpl w:val="4F587590"/>
    <w:lvl w:ilvl="0" w:tplc="D9065698">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63A78"/>
    <w:rsid w:val="00111B92"/>
    <w:rsid w:val="00363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363A78"/>
    <w:pPr>
      <w:spacing w:after="0" w:line="271" w:lineRule="auto"/>
      <w:outlineLvl w:val="3"/>
    </w:pPr>
    <w:rPr>
      <w:rFonts w:ascii="Cambria" w:eastAsia="Times New Roman" w:hAnsi="Cambria" w:cs="Times New Roman"/>
      <w:b/>
      <w:spacing w:val="5"/>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363A78"/>
    <w:rPr>
      <w:rFonts w:ascii="Cambria" w:eastAsia="Times New Roman" w:hAnsi="Cambria" w:cs="Times New Roman"/>
      <w:b/>
      <w:spacing w:val="5"/>
      <w:sz w:val="24"/>
      <w:szCs w:val="20"/>
    </w:rPr>
  </w:style>
  <w:style w:type="character" w:customStyle="1" w:styleId="FontStyle11">
    <w:name w:val="Font Style11"/>
    <w:uiPriority w:val="99"/>
    <w:rsid w:val="00363A78"/>
    <w:rPr>
      <w:rFonts w:ascii="Times New Roman" w:hAnsi="Times New Roman"/>
      <w:b/>
      <w:sz w:val="26"/>
    </w:rPr>
  </w:style>
  <w:style w:type="paragraph" w:customStyle="1" w:styleId="Normal1">
    <w:name w:val="Normal1"/>
    <w:uiPriority w:val="99"/>
    <w:rsid w:val="00363A78"/>
    <w:pPr>
      <w:spacing w:after="0" w:line="240" w:lineRule="auto"/>
    </w:pPr>
    <w:rPr>
      <w:rFonts w:ascii="Times New Roman" w:eastAsia="Times New Roman" w:hAnsi="Times New Roman" w:cs="Times New Roman"/>
      <w:sz w:val="20"/>
      <w:szCs w:val="20"/>
      <w:lang w:val="ro-RO"/>
    </w:rPr>
  </w:style>
  <w:style w:type="paragraph" w:customStyle="1" w:styleId="cn">
    <w:name w:val="cn"/>
    <w:basedOn w:val="a"/>
    <w:uiPriority w:val="99"/>
    <w:rsid w:val="00363A78"/>
    <w:pPr>
      <w:spacing w:after="0" w:line="240" w:lineRule="auto"/>
      <w:jc w:val="center"/>
    </w:pPr>
    <w:rPr>
      <w:rFonts w:ascii="Times New Roman" w:eastAsia="Times New Roman" w:hAnsi="Times New Roman" w:cs="Times New Roman"/>
      <w:sz w:val="24"/>
      <w:szCs w:val="24"/>
    </w:rPr>
  </w:style>
  <w:style w:type="paragraph" w:customStyle="1" w:styleId="rg">
    <w:name w:val="rg"/>
    <w:basedOn w:val="a"/>
    <w:uiPriority w:val="99"/>
    <w:rsid w:val="00363A78"/>
    <w:pPr>
      <w:spacing w:after="0" w:line="240" w:lineRule="auto"/>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3120</Characters>
  <Application>Microsoft Office Word</Application>
  <DocSecurity>0</DocSecurity>
  <Lines>26</Lines>
  <Paragraphs>7</Paragraphs>
  <ScaleCrop>false</ScaleCrop>
  <Company>Reanimator Extreme Edition</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dc:creator>
  <cp:keywords/>
  <dc:description/>
  <cp:lastModifiedBy>Oxana</cp:lastModifiedBy>
  <cp:revision>2</cp:revision>
  <dcterms:created xsi:type="dcterms:W3CDTF">2012-08-30T11:25:00Z</dcterms:created>
  <dcterms:modified xsi:type="dcterms:W3CDTF">2012-08-30T11:26:00Z</dcterms:modified>
</cp:coreProperties>
</file>