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1F" w:rsidRPr="006E41C5" w:rsidRDefault="0013711F" w:rsidP="002002FE">
      <w:pPr>
        <w:jc w:val="right"/>
        <w:rPr>
          <w:i/>
          <w:sz w:val="32"/>
          <w:szCs w:val="32"/>
          <w:lang w:val="ro-RO"/>
        </w:rPr>
      </w:pPr>
      <w:r w:rsidRPr="006E41C5">
        <w:rPr>
          <w:i/>
          <w:sz w:val="32"/>
          <w:szCs w:val="32"/>
          <w:lang w:val="ro-RO"/>
        </w:rPr>
        <w:t>Proiect</w:t>
      </w:r>
    </w:p>
    <w:p w:rsidR="0013711F" w:rsidRDefault="0013711F" w:rsidP="002002FE">
      <w:pPr>
        <w:jc w:val="right"/>
        <w:rPr>
          <w:b/>
          <w:sz w:val="32"/>
          <w:szCs w:val="32"/>
          <w:lang w:val="ro-RO"/>
        </w:rPr>
      </w:pPr>
    </w:p>
    <w:p w:rsidR="006C16AD" w:rsidRDefault="006C16AD" w:rsidP="002002FE">
      <w:pPr>
        <w:jc w:val="right"/>
        <w:rPr>
          <w:b/>
          <w:sz w:val="32"/>
          <w:szCs w:val="32"/>
          <w:lang w:val="ro-RO"/>
        </w:rPr>
      </w:pPr>
    </w:p>
    <w:p w:rsidR="006C16AD" w:rsidRPr="00303EBC" w:rsidRDefault="006C16AD" w:rsidP="002002FE">
      <w:pPr>
        <w:jc w:val="right"/>
        <w:rPr>
          <w:b/>
          <w:sz w:val="32"/>
          <w:szCs w:val="32"/>
          <w:lang w:val="ro-RO"/>
        </w:rPr>
      </w:pPr>
    </w:p>
    <w:p w:rsidR="0013711F" w:rsidRPr="00303EBC" w:rsidRDefault="0013711F" w:rsidP="002002FE">
      <w:pPr>
        <w:jc w:val="center"/>
        <w:rPr>
          <w:b/>
          <w:sz w:val="32"/>
          <w:szCs w:val="32"/>
          <w:lang w:val="ro-RO"/>
        </w:rPr>
      </w:pPr>
      <w:r w:rsidRPr="00303EBC">
        <w:rPr>
          <w:b/>
          <w:sz w:val="32"/>
          <w:szCs w:val="32"/>
          <w:lang w:val="ro-RO"/>
        </w:rPr>
        <w:t>GUVERNUL REPUBLICII MOLDOVA</w:t>
      </w:r>
    </w:p>
    <w:p w:rsidR="0013711F" w:rsidRPr="00303EBC" w:rsidRDefault="0013711F" w:rsidP="002002FE">
      <w:pPr>
        <w:jc w:val="center"/>
        <w:rPr>
          <w:b/>
          <w:sz w:val="32"/>
          <w:szCs w:val="32"/>
          <w:lang w:val="ro-RO"/>
        </w:rPr>
      </w:pPr>
    </w:p>
    <w:p w:rsidR="0013711F" w:rsidRPr="00303EBC" w:rsidRDefault="0013711F" w:rsidP="002002FE">
      <w:pPr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32"/>
          <w:szCs w:val="32"/>
          <w:lang w:val="ro-RO"/>
        </w:rPr>
        <w:t xml:space="preserve">HOTĂRÎRE </w:t>
      </w:r>
      <w:r w:rsidRPr="00303EBC">
        <w:rPr>
          <w:b/>
          <w:sz w:val="28"/>
          <w:szCs w:val="28"/>
          <w:lang w:val="ro-RO"/>
        </w:rPr>
        <w:t xml:space="preserve"> Nr. _____</w:t>
      </w:r>
    </w:p>
    <w:p w:rsidR="0013711F" w:rsidRPr="00303EBC" w:rsidRDefault="0013711F" w:rsidP="002002FE">
      <w:pPr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din ____  _________________ 201</w:t>
      </w:r>
      <w:r w:rsidR="00C41645">
        <w:rPr>
          <w:b/>
          <w:sz w:val="28"/>
          <w:szCs w:val="28"/>
          <w:lang w:val="ro-RO"/>
        </w:rPr>
        <w:t>8</w:t>
      </w:r>
    </w:p>
    <w:p w:rsidR="0013711F" w:rsidRPr="00303EBC" w:rsidRDefault="0013711F" w:rsidP="002002FE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mun. Chişinău</w:t>
      </w:r>
    </w:p>
    <w:p w:rsidR="008E334B" w:rsidRPr="00303EBC" w:rsidRDefault="008E334B" w:rsidP="002002FE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13711F" w:rsidRPr="00303EBC" w:rsidRDefault="0013711F" w:rsidP="002002FE">
      <w:pPr>
        <w:pStyle w:val="tt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cu privire la stabilirea cuantumului de alcool etilic nedenaturat</w:t>
      </w:r>
    </w:p>
    <w:p w:rsidR="0013711F" w:rsidRPr="00303EBC" w:rsidRDefault="0013711F" w:rsidP="002002FE">
      <w:pPr>
        <w:pStyle w:val="tt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>destinat producerii farmaceutice şi utilizării în medicină</w:t>
      </w:r>
    </w:p>
    <w:p w:rsidR="008E334B" w:rsidRPr="00303EBC" w:rsidRDefault="00C41645" w:rsidP="002002F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anul 2018</w:t>
      </w: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</w:p>
    <w:p w:rsidR="00C41645" w:rsidRDefault="00624D48" w:rsidP="002002FE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 xml:space="preserve">În temeiul articolului 96 litera b) liniuţa a doua şi </w:t>
      </w:r>
      <w:r w:rsidR="0013711F" w:rsidRPr="00303EBC">
        <w:rPr>
          <w:sz w:val="28"/>
          <w:szCs w:val="28"/>
          <w:lang w:val="ro-RO"/>
        </w:rPr>
        <w:t xml:space="preserve">art. 124 alin (15) din </w:t>
      </w:r>
      <w:r w:rsidRPr="00303EBC">
        <w:rPr>
          <w:sz w:val="28"/>
          <w:szCs w:val="28"/>
          <w:lang w:val="ro-RO"/>
        </w:rPr>
        <w:t>Codul fiscal nr.</w:t>
      </w:r>
      <w:r w:rsidR="00C41645">
        <w:rPr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 xml:space="preserve">1163-XIII din 24 aprilie 1997 (republicat în Monitorul Oficial al Republicii Moldova, ediţie specială din 8 februarie 2007), cu modificările şi completările ulterioare, </w:t>
      </w:r>
      <w:r w:rsidR="00DC625A">
        <w:rPr>
          <w:sz w:val="28"/>
          <w:szCs w:val="28"/>
          <w:lang w:val="ro-RO"/>
        </w:rPr>
        <w:t xml:space="preserve">precum </w:t>
      </w:r>
      <w:r w:rsidRPr="00303EBC">
        <w:rPr>
          <w:sz w:val="28"/>
          <w:szCs w:val="28"/>
          <w:lang w:val="ro-RO"/>
        </w:rPr>
        <w:t xml:space="preserve">şi </w:t>
      </w:r>
      <w:r w:rsidR="00D52F3A" w:rsidRPr="00303EBC">
        <w:rPr>
          <w:sz w:val="28"/>
          <w:szCs w:val="28"/>
          <w:lang w:val="ro-RO"/>
        </w:rPr>
        <w:t xml:space="preserve">notei la capitolul 22 </w:t>
      </w:r>
      <w:r w:rsidR="00D52F3A">
        <w:rPr>
          <w:sz w:val="28"/>
          <w:szCs w:val="28"/>
          <w:lang w:val="ro-RO"/>
        </w:rPr>
        <w:t xml:space="preserve">al </w:t>
      </w:r>
      <w:hyperlink r:id="rId7" w:history="1">
        <w:r w:rsidRPr="00303EBC">
          <w:rPr>
            <w:rStyle w:val="Hyperlink"/>
            <w:color w:val="auto"/>
            <w:sz w:val="28"/>
            <w:szCs w:val="28"/>
            <w:u w:val="none"/>
            <w:lang w:val="ro-RO"/>
          </w:rPr>
          <w:t>Legii nr.172 din 25 iulie 2014</w:t>
        </w:r>
      </w:hyperlink>
      <w:r w:rsidRPr="00303EBC">
        <w:rPr>
          <w:sz w:val="28"/>
          <w:szCs w:val="28"/>
          <w:lang w:val="ro-RO"/>
        </w:rPr>
        <w:t xml:space="preserve"> privind aprobarea Nomenclaturii combinate a mărfurilor (Monitorul Oficial al Republicii Moldova, 2014, nr.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>231-237, art.</w:t>
      </w:r>
      <w:r w:rsidRPr="00303EBC">
        <w:rPr>
          <w:i/>
          <w:iCs/>
          <w:sz w:val="28"/>
          <w:szCs w:val="28"/>
          <w:lang w:val="ro-RO"/>
        </w:rPr>
        <w:t xml:space="preserve"> </w:t>
      </w:r>
      <w:r w:rsidRPr="00303EBC">
        <w:rPr>
          <w:sz w:val="28"/>
          <w:szCs w:val="28"/>
          <w:lang w:val="ro-RO"/>
        </w:rPr>
        <w:t xml:space="preserve">529), </w:t>
      </w:r>
      <w:r w:rsidR="00B92C80" w:rsidRPr="00303EBC">
        <w:rPr>
          <w:sz w:val="28"/>
          <w:szCs w:val="28"/>
          <w:lang w:val="ro-RO"/>
        </w:rPr>
        <w:t>Guvernul</w:t>
      </w:r>
      <w:r w:rsidR="00EC1886" w:rsidRPr="00303EBC">
        <w:rPr>
          <w:rFonts w:eastAsia="Times New Roman"/>
          <w:sz w:val="28"/>
          <w:szCs w:val="28"/>
          <w:lang w:val="ro-RO"/>
        </w:rPr>
        <w:t xml:space="preserve"> </w:t>
      </w:r>
    </w:p>
    <w:p w:rsidR="00C41645" w:rsidRDefault="00C41645" w:rsidP="002002FE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</w:p>
    <w:p w:rsidR="008E334B" w:rsidRPr="00303EBC" w:rsidRDefault="00EC1886" w:rsidP="00C41645">
      <w:pPr>
        <w:widowControl/>
        <w:autoSpaceDE/>
        <w:autoSpaceDN/>
        <w:adjustRightInd/>
        <w:ind w:firstLine="540"/>
        <w:jc w:val="center"/>
        <w:rPr>
          <w:rFonts w:eastAsia="Times New Roman"/>
          <w:sz w:val="28"/>
          <w:szCs w:val="28"/>
          <w:lang w:val="ro-RO"/>
        </w:rPr>
      </w:pPr>
      <w:r w:rsidRPr="00303EBC">
        <w:rPr>
          <w:rFonts w:eastAsia="Times New Roman"/>
          <w:sz w:val="28"/>
          <w:szCs w:val="28"/>
          <w:lang w:val="ro-RO"/>
        </w:rPr>
        <w:t>HOTĂRĂŞTE</w:t>
      </w:r>
      <w:r w:rsidR="008E334B" w:rsidRPr="00303EBC">
        <w:rPr>
          <w:rFonts w:eastAsia="Times New Roman"/>
          <w:sz w:val="28"/>
          <w:szCs w:val="28"/>
          <w:lang w:val="ro-RO"/>
        </w:rPr>
        <w:t>:</w:t>
      </w:r>
    </w:p>
    <w:p w:rsidR="008E334B" w:rsidRPr="00303EBC" w:rsidRDefault="008E334B" w:rsidP="002002FE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303EBC">
        <w:rPr>
          <w:rFonts w:eastAsia="Times New Roman"/>
          <w:color w:val="000000"/>
          <w:sz w:val="28"/>
          <w:szCs w:val="28"/>
          <w:lang w:val="ro-RO"/>
        </w:rPr>
        <w:t xml:space="preserve">1. </w:t>
      </w:r>
      <w:r w:rsidR="0013711F" w:rsidRPr="00303EBC">
        <w:rPr>
          <w:sz w:val="28"/>
          <w:szCs w:val="28"/>
          <w:lang w:val="ro-RO"/>
        </w:rPr>
        <w:t>Se stabileşte cuantumul de alcool etilic nedenaturat de la poziţiile tarifare 220710000 şi 220890910, destinat producerii farmaceutice şi utilizării în medicină pentru anul 201</w:t>
      </w:r>
      <w:r w:rsidR="00C31FCE">
        <w:rPr>
          <w:sz w:val="28"/>
          <w:szCs w:val="28"/>
          <w:lang w:val="ro-RO"/>
        </w:rPr>
        <w:t>8</w:t>
      </w:r>
      <w:r w:rsidR="0013711F" w:rsidRPr="00303EBC">
        <w:rPr>
          <w:sz w:val="28"/>
          <w:szCs w:val="28"/>
          <w:lang w:val="ro-RO"/>
        </w:rPr>
        <w:t xml:space="preserve">, în volum </w:t>
      </w:r>
      <w:r w:rsidR="0013711F" w:rsidRPr="00C047E7">
        <w:rPr>
          <w:sz w:val="28"/>
          <w:szCs w:val="28"/>
          <w:lang w:val="ro-RO"/>
        </w:rPr>
        <w:t xml:space="preserve">de </w:t>
      </w:r>
      <w:r w:rsidR="00C047E7" w:rsidRPr="00C047E7">
        <w:rPr>
          <w:sz w:val="28"/>
          <w:szCs w:val="28"/>
          <w:lang w:val="ro-RO"/>
        </w:rPr>
        <w:t>40 858,573</w:t>
      </w:r>
      <w:r w:rsidR="0013711F" w:rsidRPr="00303EBC">
        <w:rPr>
          <w:sz w:val="28"/>
          <w:szCs w:val="28"/>
          <w:lang w:val="ro-RO"/>
        </w:rPr>
        <w:t xml:space="preserve"> decalitri. Volumul importat de alcool etilic nedenaturat destinat producerii farmaceutice şi utilizării în medicină pentru anul 201</w:t>
      </w:r>
      <w:r w:rsidR="00C31FCE">
        <w:rPr>
          <w:sz w:val="28"/>
          <w:szCs w:val="28"/>
          <w:lang w:val="ro-RO"/>
        </w:rPr>
        <w:t>8</w:t>
      </w:r>
      <w:r w:rsidR="0013711F" w:rsidRPr="00303EBC">
        <w:rPr>
          <w:sz w:val="28"/>
          <w:szCs w:val="28"/>
          <w:lang w:val="ro-RO"/>
        </w:rPr>
        <w:t xml:space="preserve"> nu va depăşi cuantumul aprobat de </w:t>
      </w:r>
      <w:r w:rsidR="00C047E7" w:rsidRPr="00C047E7">
        <w:rPr>
          <w:sz w:val="28"/>
          <w:szCs w:val="28"/>
          <w:lang w:val="ro-RO"/>
        </w:rPr>
        <w:t>40 858,573</w:t>
      </w:r>
      <w:r w:rsidR="00C31FCE" w:rsidRPr="00303EBC">
        <w:rPr>
          <w:sz w:val="28"/>
          <w:szCs w:val="28"/>
          <w:lang w:val="ro-RO"/>
        </w:rPr>
        <w:t xml:space="preserve"> </w:t>
      </w:r>
      <w:r w:rsidR="00A04C79" w:rsidRPr="00303EBC">
        <w:rPr>
          <w:b/>
          <w:bCs/>
          <w:sz w:val="24"/>
          <w:szCs w:val="24"/>
          <w:lang w:val="ro-RO"/>
        </w:rPr>
        <w:t xml:space="preserve"> </w:t>
      </w:r>
      <w:r w:rsidR="0013711F" w:rsidRPr="00303EBC">
        <w:rPr>
          <w:sz w:val="28"/>
          <w:szCs w:val="28"/>
          <w:lang w:val="ro-RO"/>
        </w:rPr>
        <w:t>decalitri.</w:t>
      </w:r>
    </w:p>
    <w:p w:rsidR="008E334B" w:rsidRPr="00303EBC" w:rsidRDefault="008E334B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303EBC">
        <w:rPr>
          <w:rFonts w:eastAsia="Times New Roman"/>
          <w:color w:val="000000"/>
          <w:sz w:val="28"/>
          <w:szCs w:val="28"/>
          <w:lang w:val="ro-RO"/>
        </w:rPr>
        <w:t xml:space="preserve">2. </w:t>
      </w:r>
      <w:r w:rsidR="0013711F" w:rsidRPr="00303EBC">
        <w:rPr>
          <w:sz w:val="28"/>
          <w:szCs w:val="28"/>
          <w:lang w:val="ro-RO"/>
        </w:rPr>
        <w:t>Se aprobă Lista utilizatorilor şi cuantumurile de alcool etilic nedenaturat destinat producerii farmaceutice şi utilizării în medicină pentru anul 201</w:t>
      </w:r>
      <w:r w:rsidR="00C31FCE">
        <w:rPr>
          <w:sz w:val="28"/>
          <w:szCs w:val="28"/>
          <w:lang w:val="ro-RO"/>
        </w:rPr>
        <w:t>8</w:t>
      </w:r>
      <w:r w:rsidR="0013711F" w:rsidRPr="00303EBC">
        <w:rPr>
          <w:sz w:val="28"/>
          <w:szCs w:val="28"/>
          <w:lang w:val="ro-RO"/>
        </w:rPr>
        <w:t>, repartizate acestora, conform anexei.</w:t>
      </w:r>
    </w:p>
    <w:p w:rsidR="00FF4587" w:rsidRDefault="00FF4587" w:rsidP="002002FE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</w:p>
    <w:p w:rsidR="006C16AD" w:rsidRDefault="006C16AD" w:rsidP="002002FE">
      <w:pPr>
        <w:rPr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 xml:space="preserve">PRIM-MINISTRUL </w:t>
      </w:r>
      <w:r w:rsidR="0057283D" w:rsidRPr="00303EBC">
        <w:rPr>
          <w:b/>
          <w:sz w:val="28"/>
          <w:szCs w:val="28"/>
          <w:lang w:val="ro-RO"/>
        </w:rPr>
        <w:t xml:space="preserve">     </w:t>
      </w:r>
      <w:r w:rsidRPr="00303EBC">
        <w:rPr>
          <w:b/>
          <w:sz w:val="28"/>
          <w:szCs w:val="28"/>
          <w:lang w:val="ro-RO"/>
        </w:rPr>
        <w:tab/>
      </w:r>
      <w:r w:rsidRPr="00303EBC">
        <w:rPr>
          <w:b/>
          <w:sz w:val="28"/>
          <w:szCs w:val="28"/>
          <w:lang w:val="ro-RO"/>
        </w:rPr>
        <w:tab/>
      </w:r>
      <w:r w:rsidRPr="00303EBC">
        <w:rPr>
          <w:b/>
          <w:sz w:val="28"/>
          <w:szCs w:val="28"/>
          <w:lang w:val="ro-RO"/>
        </w:rPr>
        <w:tab/>
      </w:r>
      <w:r w:rsidR="0057283D" w:rsidRPr="00303EBC">
        <w:rPr>
          <w:b/>
          <w:sz w:val="28"/>
          <w:szCs w:val="28"/>
          <w:lang w:val="ro-RO"/>
        </w:rPr>
        <w:t xml:space="preserve">              </w:t>
      </w:r>
      <w:r w:rsidR="006C16AD">
        <w:rPr>
          <w:b/>
          <w:sz w:val="28"/>
          <w:szCs w:val="28"/>
          <w:lang w:val="ro-RO"/>
        </w:rPr>
        <w:t xml:space="preserve">                        </w:t>
      </w:r>
      <w:r w:rsidR="0057283D" w:rsidRPr="00303EBC">
        <w:rPr>
          <w:b/>
          <w:sz w:val="28"/>
          <w:szCs w:val="28"/>
          <w:lang w:val="ro-RO"/>
        </w:rPr>
        <w:t xml:space="preserve">       Pavel FILIP</w:t>
      </w:r>
    </w:p>
    <w:p w:rsidR="00A215FB" w:rsidRDefault="00A215FB" w:rsidP="002002FE">
      <w:pPr>
        <w:rPr>
          <w:b/>
          <w:sz w:val="28"/>
          <w:szCs w:val="28"/>
          <w:lang w:val="ro-RO"/>
        </w:rPr>
      </w:pPr>
    </w:p>
    <w:p w:rsidR="00A215FB" w:rsidRPr="00303EBC" w:rsidRDefault="00A215FB" w:rsidP="002002FE">
      <w:pPr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Contrasemnează:</w:t>
      </w:r>
    </w:p>
    <w:p w:rsidR="00A215FB" w:rsidRDefault="00A215FB" w:rsidP="002002FE">
      <w:pPr>
        <w:rPr>
          <w:b/>
          <w:sz w:val="28"/>
          <w:szCs w:val="28"/>
          <w:lang w:val="ro-RO"/>
        </w:rPr>
      </w:pPr>
    </w:p>
    <w:p w:rsidR="006C16AD" w:rsidRDefault="00C31FCE" w:rsidP="002002F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S</w:t>
      </w:r>
      <w:r w:rsidR="00A215FB" w:rsidRPr="00303EBC">
        <w:rPr>
          <w:b/>
          <w:sz w:val="28"/>
          <w:szCs w:val="28"/>
          <w:lang w:val="ro-RO"/>
        </w:rPr>
        <w:t>ănătăţii</w:t>
      </w:r>
      <w:r>
        <w:rPr>
          <w:b/>
          <w:sz w:val="28"/>
          <w:szCs w:val="28"/>
          <w:lang w:val="ro-RO"/>
        </w:rPr>
        <w:t xml:space="preserve">, </w:t>
      </w:r>
    </w:p>
    <w:p w:rsidR="00A215FB" w:rsidRPr="00303EBC" w:rsidRDefault="006C16AD" w:rsidP="002002F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Muncii și Protecției </w:t>
      </w:r>
      <w:r w:rsidR="00C31FCE">
        <w:rPr>
          <w:b/>
          <w:sz w:val="28"/>
          <w:szCs w:val="28"/>
          <w:lang w:val="ro-RO"/>
        </w:rPr>
        <w:t xml:space="preserve">Sociale                       </w:t>
      </w:r>
      <w:r w:rsidR="00A215FB" w:rsidRPr="00303EBC">
        <w:rPr>
          <w:b/>
          <w:sz w:val="28"/>
          <w:szCs w:val="28"/>
          <w:lang w:val="ro-RO"/>
        </w:rPr>
        <w:t xml:space="preserve">              </w:t>
      </w:r>
      <w:r>
        <w:rPr>
          <w:b/>
          <w:sz w:val="28"/>
          <w:szCs w:val="28"/>
          <w:lang w:val="ro-RO"/>
        </w:rPr>
        <w:t xml:space="preserve"> </w:t>
      </w:r>
      <w:r w:rsidR="00A215FB" w:rsidRPr="00303EBC">
        <w:rPr>
          <w:b/>
          <w:sz w:val="28"/>
          <w:szCs w:val="28"/>
          <w:lang w:val="ro-RO"/>
        </w:rPr>
        <w:t>             </w:t>
      </w:r>
      <w:r w:rsidR="00C31FCE">
        <w:rPr>
          <w:b/>
          <w:sz w:val="28"/>
          <w:szCs w:val="28"/>
          <w:lang w:val="ro-RO"/>
        </w:rPr>
        <w:t xml:space="preserve">   </w:t>
      </w:r>
      <w:r w:rsidR="00C41645">
        <w:rPr>
          <w:b/>
          <w:sz w:val="28"/>
          <w:szCs w:val="28"/>
          <w:lang w:val="ro-RO"/>
        </w:rPr>
        <w:t>Svetlana CEBOTARI</w:t>
      </w:r>
    </w:p>
    <w:p w:rsidR="00C41645" w:rsidRDefault="00C41645" w:rsidP="002002FE">
      <w:pPr>
        <w:rPr>
          <w:b/>
          <w:sz w:val="28"/>
          <w:szCs w:val="28"/>
          <w:lang w:val="ro-RO"/>
        </w:rPr>
      </w:pPr>
    </w:p>
    <w:p w:rsidR="00C31FCE" w:rsidRDefault="00C31FCE" w:rsidP="002002F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A</w:t>
      </w:r>
      <w:r w:rsidR="00A215FB" w:rsidRPr="00303EBC">
        <w:rPr>
          <w:b/>
          <w:sz w:val="28"/>
          <w:szCs w:val="28"/>
          <w:lang w:val="ro-RO"/>
        </w:rPr>
        <w:t>griculturii</w:t>
      </w:r>
      <w:r>
        <w:rPr>
          <w:b/>
          <w:sz w:val="28"/>
          <w:szCs w:val="28"/>
          <w:lang w:val="ro-RO"/>
        </w:rPr>
        <w:t xml:space="preserve">, </w:t>
      </w:r>
    </w:p>
    <w:p w:rsidR="00A215FB" w:rsidRPr="00C31FCE" w:rsidRDefault="00C31FCE" w:rsidP="002002F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Dezvoltării Regionale și Mediului</w:t>
      </w:r>
      <w:r w:rsidR="00A215FB" w:rsidRPr="00303EB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           </w:t>
      </w:r>
      <w:r w:rsidR="006C16AD"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 xml:space="preserve">   </w:t>
      </w:r>
      <w:r w:rsidR="00151B5F">
        <w:rPr>
          <w:b/>
          <w:sz w:val="28"/>
          <w:szCs w:val="28"/>
          <w:shd w:val="clear" w:color="auto" w:fill="FFFFFF"/>
          <w:lang w:val="ro-RO"/>
        </w:rPr>
        <w:t>Liviu VOLCONOVICI</w:t>
      </w:r>
    </w:p>
    <w:p w:rsidR="00C41645" w:rsidRPr="00303EBC" w:rsidRDefault="00C41645" w:rsidP="002002FE">
      <w:pPr>
        <w:rPr>
          <w:b/>
          <w:sz w:val="28"/>
          <w:szCs w:val="28"/>
          <w:shd w:val="clear" w:color="auto" w:fill="FFFFFF"/>
          <w:lang w:val="ro-RO"/>
        </w:rPr>
      </w:pPr>
    </w:p>
    <w:p w:rsidR="00FF4587" w:rsidRPr="00303EBC" w:rsidRDefault="00C31FCE" w:rsidP="002002FE">
      <w:pPr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Ministrul F</w:t>
      </w:r>
      <w:r w:rsidR="00FF4587" w:rsidRPr="00303EBC">
        <w:rPr>
          <w:rFonts w:eastAsia="Times New Roman"/>
          <w:b/>
          <w:bCs/>
          <w:sz w:val="28"/>
          <w:szCs w:val="28"/>
          <w:lang w:val="ro-RO"/>
        </w:rPr>
        <w:t xml:space="preserve">inanţelor                                               </w:t>
      </w:r>
      <w:r w:rsidR="00AE4415">
        <w:rPr>
          <w:rFonts w:eastAsia="Times New Roman"/>
          <w:b/>
          <w:bCs/>
          <w:sz w:val="28"/>
          <w:szCs w:val="28"/>
          <w:lang w:val="ro-RO"/>
        </w:rPr>
        <w:t xml:space="preserve">  </w:t>
      </w:r>
      <w:r w:rsidR="00FF4587" w:rsidRPr="00303EBC">
        <w:rPr>
          <w:rFonts w:eastAsia="Times New Roman"/>
          <w:b/>
          <w:bCs/>
          <w:sz w:val="28"/>
          <w:szCs w:val="28"/>
          <w:lang w:val="ro-RO"/>
        </w:rPr>
        <w:t xml:space="preserve">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</w:t>
      </w:r>
      <w:r w:rsidR="006C16AD">
        <w:rPr>
          <w:rFonts w:eastAsia="Times New Roman"/>
          <w:b/>
          <w:bCs/>
          <w:sz w:val="28"/>
          <w:szCs w:val="28"/>
          <w:lang w:val="ro-RO"/>
        </w:rPr>
        <w:t xml:space="preserve">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</w:t>
      </w:r>
      <w:r w:rsidR="00FF4587" w:rsidRPr="00303EBC">
        <w:rPr>
          <w:rFonts w:eastAsia="Times New Roman"/>
          <w:b/>
          <w:bCs/>
          <w:sz w:val="28"/>
          <w:szCs w:val="28"/>
          <w:lang w:val="ro-RO"/>
        </w:rPr>
        <w:t xml:space="preserve">Octavian </w:t>
      </w:r>
      <w:r w:rsidR="00AE4415" w:rsidRPr="00303EBC">
        <w:rPr>
          <w:rFonts w:eastAsia="Times New Roman"/>
          <w:b/>
          <w:bCs/>
          <w:sz w:val="28"/>
          <w:szCs w:val="28"/>
          <w:lang w:val="ro-RO"/>
        </w:rPr>
        <w:t>ARMAŞU</w:t>
      </w:r>
    </w:p>
    <w:p w:rsidR="008E334B" w:rsidRPr="00303EBC" w:rsidRDefault="00FF4587" w:rsidP="00C41645">
      <w:pPr>
        <w:jc w:val="right"/>
        <w:rPr>
          <w:rFonts w:eastAsia="Times New Roman"/>
          <w:i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lastRenderedPageBreak/>
        <w:t xml:space="preserve"> </w:t>
      </w:r>
      <w:r w:rsidR="008E334B" w:rsidRPr="00303EBC">
        <w:rPr>
          <w:rFonts w:eastAsia="Times New Roman"/>
          <w:i/>
          <w:sz w:val="28"/>
          <w:szCs w:val="28"/>
          <w:lang w:val="ro-RO"/>
        </w:rPr>
        <w:t>Anexă</w:t>
      </w:r>
    </w:p>
    <w:p w:rsidR="008E334B" w:rsidRPr="00303EBC" w:rsidRDefault="00EC1886" w:rsidP="002002FE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val="ro-RO"/>
        </w:rPr>
      </w:pPr>
      <w:r w:rsidRPr="00303EBC">
        <w:rPr>
          <w:rFonts w:eastAsia="Times New Roman"/>
          <w:sz w:val="28"/>
          <w:szCs w:val="28"/>
          <w:lang w:val="ro-RO"/>
        </w:rPr>
        <w:t>l</w:t>
      </w:r>
      <w:r w:rsidR="00AB3470" w:rsidRPr="00303EBC">
        <w:rPr>
          <w:rFonts w:eastAsia="Times New Roman"/>
          <w:sz w:val="28"/>
          <w:szCs w:val="28"/>
          <w:lang w:val="ro-RO"/>
        </w:rPr>
        <w:t xml:space="preserve">a </w:t>
      </w:r>
      <w:r w:rsidR="008E334B" w:rsidRPr="00303EBC">
        <w:rPr>
          <w:rFonts w:eastAsia="Times New Roman"/>
          <w:sz w:val="28"/>
          <w:szCs w:val="28"/>
          <w:lang w:val="ro-RO"/>
        </w:rPr>
        <w:t>Hotărîrea Guvernului</w:t>
      </w:r>
    </w:p>
    <w:p w:rsidR="008E334B" w:rsidRPr="00303EBC" w:rsidRDefault="008E334B" w:rsidP="002002FE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val="ro-RO"/>
        </w:rPr>
      </w:pPr>
      <w:r w:rsidRPr="00303EBC">
        <w:rPr>
          <w:rFonts w:eastAsia="Times New Roman"/>
          <w:sz w:val="28"/>
          <w:szCs w:val="28"/>
          <w:lang w:val="ro-RO"/>
        </w:rPr>
        <w:t xml:space="preserve">nr. </w:t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lang w:val="ro-RO"/>
        </w:rPr>
        <w:t xml:space="preserve"> din </w:t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Pr="00303EBC">
        <w:rPr>
          <w:rFonts w:eastAsia="Times New Roman"/>
          <w:sz w:val="28"/>
          <w:szCs w:val="28"/>
          <w:u w:val="single"/>
          <w:lang w:val="ro-RO"/>
        </w:rPr>
        <w:tab/>
      </w:r>
      <w:r w:rsidR="00C676AF" w:rsidRPr="00621BF7">
        <w:rPr>
          <w:rFonts w:eastAsia="Times New Roman"/>
          <w:sz w:val="28"/>
          <w:szCs w:val="28"/>
          <w:lang w:val="ro-RO"/>
        </w:rPr>
        <w:t>201</w:t>
      </w:r>
      <w:r w:rsidR="00C41645" w:rsidRPr="00621BF7">
        <w:rPr>
          <w:rFonts w:eastAsia="Times New Roman"/>
          <w:sz w:val="28"/>
          <w:szCs w:val="28"/>
          <w:lang w:val="ro-RO"/>
        </w:rPr>
        <w:t>8</w:t>
      </w:r>
    </w:p>
    <w:p w:rsidR="008E334B" w:rsidRPr="00303EBC" w:rsidRDefault="008E334B" w:rsidP="002002FE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:rsidR="008E334B" w:rsidRPr="00303EBC" w:rsidRDefault="008E334B" w:rsidP="002002FE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303EBC">
        <w:rPr>
          <w:rFonts w:eastAsia="Times New Roman"/>
          <w:b/>
          <w:bCs/>
          <w:sz w:val="28"/>
          <w:szCs w:val="28"/>
          <w:lang w:val="ro-RO"/>
        </w:rPr>
        <w:t>LISTA</w:t>
      </w:r>
    </w:p>
    <w:p w:rsidR="00FF4587" w:rsidRPr="00303EBC" w:rsidRDefault="00A215FB" w:rsidP="002002FE">
      <w:pPr>
        <w:pStyle w:val="cn"/>
        <w:rPr>
          <w:b/>
          <w:sz w:val="28"/>
          <w:szCs w:val="28"/>
          <w:lang w:val="ro-RO"/>
        </w:rPr>
      </w:pPr>
      <w:r w:rsidRPr="00303EBC">
        <w:rPr>
          <w:b/>
          <w:sz w:val="28"/>
          <w:szCs w:val="28"/>
          <w:lang w:val="ro-RO"/>
        </w:rPr>
        <w:t> </w:t>
      </w:r>
      <w:r w:rsidR="00FF4587" w:rsidRPr="00303EBC">
        <w:rPr>
          <w:b/>
          <w:bCs/>
          <w:sz w:val="28"/>
          <w:szCs w:val="28"/>
          <w:lang w:val="ro-RO"/>
        </w:rPr>
        <w:t>utilizatorilor şi cuantumurile de alcool etilic nedenaturat destinat producerii</w:t>
      </w:r>
    </w:p>
    <w:p w:rsidR="008E334B" w:rsidRPr="00303EBC" w:rsidRDefault="00FF4587" w:rsidP="002002FE">
      <w:pPr>
        <w:pStyle w:val="cb"/>
        <w:rPr>
          <w:sz w:val="28"/>
          <w:szCs w:val="28"/>
          <w:lang w:val="ro-RO"/>
        </w:rPr>
      </w:pPr>
      <w:r w:rsidRPr="00303EBC">
        <w:rPr>
          <w:bCs w:val="0"/>
          <w:sz w:val="28"/>
          <w:szCs w:val="28"/>
          <w:lang w:val="ro-RO"/>
        </w:rPr>
        <w:t>farmaceutice şi utilizării în medicină pentru anul 201</w:t>
      </w:r>
      <w:r w:rsidR="00C41645">
        <w:rPr>
          <w:bCs w:val="0"/>
          <w:sz w:val="28"/>
          <w:szCs w:val="28"/>
          <w:lang w:val="ro-RO"/>
        </w:rPr>
        <w:t>8</w:t>
      </w:r>
      <w:r w:rsidRPr="00303EBC">
        <w:rPr>
          <w:bCs w:val="0"/>
          <w:sz w:val="28"/>
          <w:szCs w:val="28"/>
          <w:lang w:val="ro-RO"/>
        </w:rPr>
        <w:t>, repartizate acestora</w:t>
      </w:r>
    </w:p>
    <w:p w:rsidR="00A215FB" w:rsidRPr="00303EBC" w:rsidRDefault="00A215FB" w:rsidP="002002FE">
      <w:pPr>
        <w:widowControl/>
        <w:autoSpaceDE/>
        <w:autoSpaceDN/>
        <w:adjustRightInd/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613"/>
        <w:gridCol w:w="2284"/>
      </w:tblGrid>
      <w:tr w:rsidR="00A04C79" w:rsidRPr="00C047E7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6613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Utilizator (subiectul economic)</w:t>
            </w:r>
          </w:p>
        </w:tc>
        <w:tc>
          <w:tcPr>
            <w:tcW w:w="2284" w:type="dxa"/>
            <w:shd w:val="clear" w:color="auto" w:fill="auto"/>
          </w:tcPr>
          <w:p w:rsidR="00A04C79" w:rsidRPr="00303EBC" w:rsidRDefault="00A04C79" w:rsidP="002002FE">
            <w:pPr>
              <w:jc w:val="center"/>
              <w:rPr>
                <w:sz w:val="28"/>
                <w:szCs w:val="28"/>
                <w:lang w:val="ro-RO"/>
              </w:rPr>
            </w:pPr>
            <w:r w:rsidRPr="00303EBC">
              <w:rPr>
                <w:b/>
                <w:bCs/>
                <w:sz w:val="28"/>
                <w:szCs w:val="28"/>
                <w:lang w:val="ro-RO"/>
              </w:rPr>
              <w:t>Cuantumul de alcool etilic (în decalitri)</w:t>
            </w: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/>
              <w:ind w:left="113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C41645" w:rsidP="00361AC2">
            <w:pPr>
              <w:ind w:left="113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Centrul Naţional de Transfuzie a Sîngelui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636,100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C41645" w:rsidP="00C047E7">
            <w:pPr>
              <w:ind w:left="113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Societatea cu Răspundere Limitată „</w:t>
            </w:r>
            <w:proofErr w:type="spellStart"/>
            <w:r w:rsidRPr="00C41645">
              <w:rPr>
                <w:sz w:val="28"/>
                <w:szCs w:val="28"/>
                <w:lang w:val="ro-RO"/>
              </w:rPr>
              <w:t>Ela</w:t>
            </w:r>
            <w:r w:rsidR="00C047E7">
              <w:rPr>
                <w:sz w:val="28"/>
                <w:szCs w:val="28"/>
                <w:lang w:val="ro-RO"/>
              </w:rPr>
              <w:t>D</w:t>
            </w:r>
            <w:r w:rsidRPr="00C41645">
              <w:rPr>
                <w:sz w:val="28"/>
                <w:szCs w:val="28"/>
                <w:lang w:val="ro-RO"/>
              </w:rPr>
              <w:t>umP</w:t>
            </w:r>
            <w:bookmarkStart w:id="0" w:name="_GoBack"/>
            <w:bookmarkEnd w:id="0"/>
            <w:r w:rsidRPr="00C41645">
              <w:rPr>
                <w:sz w:val="28"/>
                <w:szCs w:val="28"/>
                <w:lang w:val="ro-RO"/>
              </w:rPr>
              <w:t>harma</w:t>
            </w:r>
            <w:proofErr w:type="spellEnd"/>
            <w:r w:rsidRPr="00C41645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8</w:t>
            </w:r>
            <w:r w:rsidR="00A026DE">
              <w:rPr>
                <w:sz w:val="28"/>
                <w:szCs w:val="28"/>
                <w:lang w:val="ro-RO"/>
              </w:rPr>
              <w:t xml:space="preserve"> </w:t>
            </w:r>
            <w:r w:rsidRPr="00C41645">
              <w:rPr>
                <w:sz w:val="28"/>
                <w:szCs w:val="28"/>
                <w:lang w:val="ro-RO"/>
              </w:rPr>
              <w:t>849,595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A026DE" w:rsidP="00361AC2">
            <w:pPr>
              <w:ind w:lef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Societatea pe A</w:t>
            </w:r>
            <w:r w:rsidR="00C41645" w:rsidRPr="00C41645">
              <w:rPr>
                <w:sz w:val="28"/>
                <w:szCs w:val="28"/>
                <w:lang w:val="ro-RO"/>
              </w:rPr>
              <w:t>cţiuni „</w:t>
            </w:r>
            <w:proofErr w:type="spellStart"/>
            <w:r w:rsidR="00C41645" w:rsidRPr="00C41645">
              <w:rPr>
                <w:sz w:val="28"/>
                <w:szCs w:val="28"/>
                <w:lang w:val="ro-RO"/>
              </w:rPr>
              <w:t>Eurofarmaco</w:t>
            </w:r>
            <w:proofErr w:type="spellEnd"/>
            <w:r w:rsidR="00C41645" w:rsidRPr="00C41645">
              <w:rPr>
                <w:sz w:val="28"/>
                <w:szCs w:val="28"/>
                <w:lang w:val="ro-RO"/>
              </w:rPr>
              <w:t>”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4</w:t>
            </w:r>
            <w:r w:rsidR="00A026DE">
              <w:rPr>
                <w:sz w:val="28"/>
                <w:szCs w:val="28"/>
                <w:lang w:val="ro-RO"/>
              </w:rPr>
              <w:t xml:space="preserve"> </w:t>
            </w:r>
            <w:r w:rsidRPr="00C41645">
              <w:rPr>
                <w:sz w:val="28"/>
                <w:szCs w:val="28"/>
                <w:lang w:val="ro-RO"/>
              </w:rPr>
              <w:t>368,270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A026DE" w:rsidP="00361AC2">
            <w:pPr>
              <w:ind w:lef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Societatea pe A</w:t>
            </w:r>
            <w:r w:rsidR="00C41645" w:rsidRPr="00C41645">
              <w:rPr>
                <w:sz w:val="28"/>
                <w:szCs w:val="28"/>
                <w:lang w:val="ro-RO"/>
              </w:rPr>
              <w:t>cţiuni „</w:t>
            </w:r>
            <w:proofErr w:type="spellStart"/>
            <w:r w:rsidR="00C41645" w:rsidRPr="00C41645">
              <w:rPr>
                <w:sz w:val="28"/>
                <w:szCs w:val="28"/>
                <w:lang w:val="ro-RO"/>
              </w:rPr>
              <w:t>Farmaco</w:t>
            </w:r>
            <w:proofErr w:type="spellEnd"/>
            <w:r w:rsidR="00C41645" w:rsidRPr="00C41645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6</w:t>
            </w:r>
            <w:r w:rsidR="00A026DE">
              <w:rPr>
                <w:sz w:val="28"/>
                <w:szCs w:val="28"/>
                <w:lang w:val="ro-RO"/>
              </w:rPr>
              <w:t xml:space="preserve"> </w:t>
            </w:r>
            <w:r w:rsidRPr="00C41645">
              <w:rPr>
                <w:sz w:val="28"/>
                <w:szCs w:val="28"/>
                <w:lang w:val="ro-RO"/>
              </w:rPr>
              <w:t>157,070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C41645" w:rsidP="00361AC2">
            <w:pPr>
              <w:ind w:left="113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Societatea cu Răspundere Limitată „</w:t>
            </w:r>
            <w:proofErr w:type="spellStart"/>
            <w:r w:rsidRPr="00C41645">
              <w:rPr>
                <w:sz w:val="28"/>
                <w:szCs w:val="28"/>
                <w:lang w:val="ro-RO"/>
              </w:rPr>
              <w:t>Farmaprim</w:t>
            </w:r>
            <w:proofErr w:type="spellEnd"/>
            <w:r w:rsidRPr="00C41645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257,528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C41645" w:rsidP="00361AC2">
            <w:pPr>
              <w:ind w:left="113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Societatea cu Răspundere Limitată „</w:t>
            </w:r>
            <w:proofErr w:type="spellStart"/>
            <w:r w:rsidRPr="00C41645">
              <w:rPr>
                <w:sz w:val="28"/>
                <w:szCs w:val="28"/>
                <w:lang w:val="ro-RO"/>
              </w:rPr>
              <w:t>FluMed-Farm</w:t>
            </w:r>
            <w:proofErr w:type="spellEnd"/>
            <w:r w:rsidRPr="00C41645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785,570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A026DE" w:rsidP="00361AC2">
            <w:pPr>
              <w:ind w:lef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Societatea pe A</w:t>
            </w:r>
            <w:r w:rsidR="00C41645" w:rsidRPr="00C41645">
              <w:rPr>
                <w:sz w:val="28"/>
                <w:szCs w:val="28"/>
                <w:lang w:val="ro-RO"/>
              </w:rPr>
              <w:t>cţiuni „</w:t>
            </w:r>
            <w:proofErr w:type="spellStart"/>
            <w:r w:rsidR="00C41645" w:rsidRPr="00C41645">
              <w:rPr>
                <w:sz w:val="28"/>
                <w:szCs w:val="28"/>
                <w:lang w:val="ro-RO"/>
              </w:rPr>
              <w:t>Medicamentum</w:t>
            </w:r>
            <w:proofErr w:type="spellEnd"/>
            <w:r w:rsidR="00C41645" w:rsidRPr="00C41645">
              <w:rPr>
                <w:sz w:val="28"/>
                <w:szCs w:val="28"/>
                <w:lang w:val="ro-RO"/>
              </w:rPr>
              <w:t xml:space="preserve">”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39,800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41645" w:rsidRPr="00303EBC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C41645" w:rsidRPr="00C41645" w:rsidRDefault="00C41645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C4164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613" w:type="dxa"/>
            <w:shd w:val="clear" w:color="auto" w:fill="auto"/>
          </w:tcPr>
          <w:p w:rsidR="00C41645" w:rsidRPr="00C41645" w:rsidRDefault="00C41645" w:rsidP="00361AC2">
            <w:pPr>
              <w:ind w:left="113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 xml:space="preserve">Societatea cu Răspundere Limitată „RNP </w:t>
            </w:r>
            <w:proofErr w:type="spellStart"/>
            <w:r w:rsidRPr="00C41645">
              <w:rPr>
                <w:sz w:val="28"/>
                <w:szCs w:val="28"/>
                <w:lang w:val="ro-RO"/>
              </w:rPr>
              <w:t>Pharmaceuticals</w:t>
            </w:r>
            <w:proofErr w:type="spellEnd"/>
            <w:r w:rsidRPr="00C41645">
              <w:rPr>
                <w:sz w:val="28"/>
                <w:szCs w:val="28"/>
                <w:lang w:val="ro-RO"/>
              </w:rPr>
              <w:t>”</w:t>
            </w:r>
            <w:r w:rsidR="00C047E7">
              <w:rPr>
                <w:sz w:val="28"/>
                <w:szCs w:val="28"/>
                <w:lang w:val="ro-RO"/>
              </w:rPr>
              <w:t xml:space="preserve"> Întreprindere Mixtă</w:t>
            </w:r>
            <w:r w:rsidRPr="00C41645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284" w:type="dxa"/>
            <w:shd w:val="clear" w:color="auto" w:fill="auto"/>
          </w:tcPr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C41645">
              <w:rPr>
                <w:sz w:val="28"/>
                <w:szCs w:val="28"/>
                <w:lang w:val="ro-RO"/>
              </w:rPr>
              <w:t>6</w:t>
            </w:r>
            <w:r w:rsidR="00A026DE">
              <w:rPr>
                <w:sz w:val="28"/>
                <w:szCs w:val="28"/>
                <w:lang w:val="ro-RO"/>
              </w:rPr>
              <w:t xml:space="preserve"> </w:t>
            </w:r>
            <w:r w:rsidRPr="00C41645">
              <w:rPr>
                <w:sz w:val="28"/>
                <w:szCs w:val="28"/>
                <w:lang w:val="ro-RO"/>
              </w:rPr>
              <w:t>293,730</w:t>
            </w:r>
          </w:p>
          <w:p w:rsidR="00C41645" w:rsidRPr="00C41645" w:rsidRDefault="00C41645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A026DE" w:rsidRPr="00303EBC" w:rsidTr="009F7076">
        <w:trPr>
          <w:trHeight w:val="284"/>
        </w:trPr>
        <w:tc>
          <w:tcPr>
            <w:tcW w:w="7569" w:type="dxa"/>
            <w:gridSpan w:val="2"/>
            <w:shd w:val="clear" w:color="auto" w:fill="auto"/>
          </w:tcPr>
          <w:p w:rsidR="00A026DE" w:rsidRPr="00C41645" w:rsidRDefault="00A026DE" w:rsidP="00A026DE">
            <w:pPr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2284" w:type="dxa"/>
            <w:shd w:val="clear" w:color="auto" w:fill="auto"/>
          </w:tcPr>
          <w:p w:rsidR="00A026DE" w:rsidRPr="00C41645" w:rsidRDefault="00A026DE" w:rsidP="00A026DE">
            <w:pPr>
              <w:ind w:left="113" w:right="424"/>
              <w:jc w:val="center"/>
              <w:rPr>
                <w:b/>
                <w:sz w:val="28"/>
                <w:szCs w:val="28"/>
                <w:lang w:val="ro-RO"/>
              </w:rPr>
            </w:pPr>
            <w:r w:rsidRPr="00C41645">
              <w:rPr>
                <w:b/>
                <w:bCs/>
                <w:sz w:val="28"/>
                <w:szCs w:val="28"/>
                <w:lang w:val="ro-RO"/>
              </w:rPr>
              <w:t>27 377,663</w:t>
            </w:r>
          </w:p>
        </w:tc>
      </w:tr>
      <w:tr w:rsidR="00A026DE" w:rsidRPr="00A026DE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A026DE" w:rsidRPr="00A026DE" w:rsidRDefault="00A026DE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613" w:type="dxa"/>
            <w:shd w:val="clear" w:color="auto" w:fill="auto"/>
          </w:tcPr>
          <w:p w:rsidR="00A026DE" w:rsidRPr="00C41645" w:rsidRDefault="00A026DE" w:rsidP="00A026D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*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C41645">
              <w:rPr>
                <w:sz w:val="28"/>
                <w:szCs w:val="28"/>
                <w:lang w:val="ro-RO"/>
              </w:rPr>
              <w:t>Societatea cu Răspundere Limitată „</w:t>
            </w:r>
            <w:proofErr w:type="spellStart"/>
            <w:r>
              <w:rPr>
                <w:sz w:val="28"/>
                <w:szCs w:val="28"/>
                <w:lang w:val="ro-RO"/>
              </w:rPr>
              <w:t>Distrimed</w:t>
            </w:r>
            <w:proofErr w:type="spellEnd"/>
            <w:r w:rsidRPr="00C41645">
              <w:rPr>
                <w:sz w:val="28"/>
                <w:szCs w:val="28"/>
                <w:lang w:val="ro-RO"/>
              </w:rPr>
              <w:t>”</w:t>
            </w:r>
          </w:p>
        </w:tc>
        <w:tc>
          <w:tcPr>
            <w:tcW w:w="2284" w:type="dxa"/>
            <w:shd w:val="clear" w:color="auto" w:fill="auto"/>
          </w:tcPr>
          <w:p w:rsidR="00A026DE" w:rsidRPr="00A026DE" w:rsidRDefault="00A026DE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A026DE">
              <w:rPr>
                <w:sz w:val="28"/>
                <w:szCs w:val="28"/>
                <w:lang w:val="ro-RO"/>
              </w:rPr>
              <w:t>13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A026DE">
              <w:rPr>
                <w:sz w:val="28"/>
                <w:szCs w:val="28"/>
                <w:lang w:val="ro-RO"/>
              </w:rPr>
              <w:t>421,91</w:t>
            </w:r>
          </w:p>
        </w:tc>
      </w:tr>
      <w:tr w:rsidR="00A026DE" w:rsidRPr="00A026DE" w:rsidTr="00C41645">
        <w:trPr>
          <w:trHeight w:val="284"/>
        </w:trPr>
        <w:tc>
          <w:tcPr>
            <w:tcW w:w="956" w:type="dxa"/>
            <w:shd w:val="clear" w:color="auto" w:fill="auto"/>
          </w:tcPr>
          <w:p w:rsidR="00A026DE" w:rsidRDefault="00A026DE" w:rsidP="00361AC2">
            <w:pPr>
              <w:spacing w:before="120"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613" w:type="dxa"/>
            <w:shd w:val="clear" w:color="auto" w:fill="auto"/>
          </w:tcPr>
          <w:p w:rsidR="00A026DE" w:rsidRPr="00A026DE" w:rsidRDefault="00A026DE" w:rsidP="00A026DE">
            <w:pPr>
              <w:rPr>
                <w:sz w:val="28"/>
                <w:szCs w:val="28"/>
                <w:lang w:val="ro-RO"/>
              </w:rPr>
            </w:pPr>
            <w:r w:rsidRPr="00303EBC">
              <w:rPr>
                <w:sz w:val="28"/>
                <w:szCs w:val="28"/>
                <w:lang w:val="ro-RO"/>
              </w:rPr>
              <w:t>*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A026DE">
              <w:rPr>
                <w:sz w:val="28"/>
                <w:szCs w:val="28"/>
                <w:lang w:val="ro-RO"/>
              </w:rPr>
              <w:t>Societatea pe Acţiuni „Vinăria din Vale”</w:t>
            </w:r>
          </w:p>
        </w:tc>
        <w:tc>
          <w:tcPr>
            <w:tcW w:w="2284" w:type="dxa"/>
            <w:shd w:val="clear" w:color="auto" w:fill="auto"/>
          </w:tcPr>
          <w:p w:rsidR="00A026DE" w:rsidRPr="00A026DE" w:rsidRDefault="00A026DE" w:rsidP="00A026DE">
            <w:pPr>
              <w:ind w:left="113" w:right="424"/>
              <w:jc w:val="center"/>
              <w:rPr>
                <w:sz w:val="28"/>
                <w:szCs w:val="28"/>
                <w:lang w:val="ro-RO"/>
              </w:rPr>
            </w:pPr>
            <w:r w:rsidRPr="00A026DE">
              <w:rPr>
                <w:sz w:val="28"/>
                <w:szCs w:val="28"/>
                <w:lang w:val="ro-RO"/>
              </w:rPr>
              <w:t>450,00</w:t>
            </w:r>
          </w:p>
        </w:tc>
      </w:tr>
      <w:tr w:rsidR="00731FCB" w:rsidRPr="00A026DE" w:rsidTr="00FE23AC">
        <w:trPr>
          <w:trHeight w:val="284"/>
        </w:trPr>
        <w:tc>
          <w:tcPr>
            <w:tcW w:w="7569" w:type="dxa"/>
            <w:gridSpan w:val="2"/>
            <w:shd w:val="clear" w:color="auto" w:fill="auto"/>
          </w:tcPr>
          <w:p w:rsidR="00731FCB" w:rsidRPr="00303EBC" w:rsidRDefault="00731FCB" w:rsidP="00A026DE">
            <w:pPr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2284" w:type="dxa"/>
            <w:shd w:val="clear" w:color="auto" w:fill="auto"/>
          </w:tcPr>
          <w:p w:rsidR="00731FCB" w:rsidRPr="00C41645" w:rsidRDefault="00731FCB" w:rsidP="00A026DE">
            <w:pPr>
              <w:ind w:left="113" w:right="424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13 471,91</w:t>
            </w:r>
          </w:p>
        </w:tc>
      </w:tr>
      <w:tr w:rsidR="00731FCB" w:rsidRPr="00A026DE" w:rsidTr="00CB489B">
        <w:trPr>
          <w:trHeight w:val="284"/>
        </w:trPr>
        <w:tc>
          <w:tcPr>
            <w:tcW w:w="7569" w:type="dxa"/>
            <w:gridSpan w:val="2"/>
            <w:shd w:val="clear" w:color="auto" w:fill="auto"/>
          </w:tcPr>
          <w:p w:rsidR="00731FCB" w:rsidRPr="00C41645" w:rsidRDefault="00731FCB" w:rsidP="00A026DE">
            <w:pPr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C41645">
              <w:rPr>
                <w:b/>
                <w:bCs/>
                <w:sz w:val="28"/>
                <w:szCs w:val="28"/>
                <w:lang w:val="ro-RO"/>
              </w:rPr>
              <w:t xml:space="preserve">Cuantumul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total </w:t>
            </w:r>
            <w:r w:rsidRPr="00C41645">
              <w:rPr>
                <w:b/>
                <w:bCs/>
                <w:sz w:val="28"/>
                <w:szCs w:val="28"/>
                <w:lang w:val="ro-RO"/>
              </w:rPr>
              <w:t>pentru 2018</w:t>
            </w:r>
          </w:p>
        </w:tc>
        <w:tc>
          <w:tcPr>
            <w:tcW w:w="2284" w:type="dxa"/>
            <w:shd w:val="clear" w:color="auto" w:fill="auto"/>
          </w:tcPr>
          <w:p w:rsidR="00731FCB" w:rsidRDefault="00731FCB" w:rsidP="00A026DE">
            <w:pPr>
              <w:ind w:left="113" w:right="424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40 858,573</w:t>
            </w:r>
          </w:p>
        </w:tc>
      </w:tr>
    </w:tbl>
    <w:p w:rsidR="00C047E7" w:rsidRDefault="00C047E7" w:rsidP="00C047E7">
      <w:pPr>
        <w:jc w:val="both"/>
        <w:rPr>
          <w:sz w:val="28"/>
          <w:szCs w:val="28"/>
          <w:lang w:val="ro-RO"/>
        </w:rPr>
      </w:pPr>
    </w:p>
    <w:p w:rsidR="008E334B" w:rsidRPr="00303EBC" w:rsidRDefault="00A215FB" w:rsidP="00C047E7">
      <w:pPr>
        <w:ind w:firstLine="708"/>
        <w:jc w:val="both"/>
        <w:rPr>
          <w:sz w:val="28"/>
          <w:szCs w:val="28"/>
          <w:lang w:val="ro-RO"/>
        </w:rPr>
      </w:pPr>
      <w:r w:rsidRPr="00303EBC">
        <w:rPr>
          <w:sz w:val="28"/>
          <w:szCs w:val="28"/>
          <w:lang w:val="ro-RO"/>
        </w:rPr>
        <w:t xml:space="preserve">* Inclusiv cuantumul de </w:t>
      </w:r>
      <w:r w:rsidR="00A026DE" w:rsidRPr="00A026DE">
        <w:rPr>
          <w:sz w:val="28"/>
          <w:szCs w:val="28"/>
          <w:lang w:val="ro-RO"/>
        </w:rPr>
        <w:t>13471,91</w:t>
      </w:r>
      <w:r w:rsidRPr="00303EBC">
        <w:rPr>
          <w:sz w:val="28"/>
          <w:szCs w:val="28"/>
          <w:lang w:val="ro-RO"/>
        </w:rPr>
        <w:t xml:space="preserve"> decalitri de alcool etilic nedenaturat de la poziţiile tarifare 220710000 şi </w:t>
      </w:r>
      <w:r w:rsidR="00FF4587" w:rsidRPr="00303EBC">
        <w:rPr>
          <w:sz w:val="28"/>
          <w:szCs w:val="28"/>
          <w:lang w:val="ro-RO"/>
        </w:rPr>
        <w:t>220890910</w:t>
      </w:r>
      <w:r w:rsidRPr="00303EBC">
        <w:rPr>
          <w:sz w:val="28"/>
          <w:szCs w:val="28"/>
          <w:lang w:val="ro-RO"/>
        </w:rPr>
        <w:t xml:space="preserve">, destinat </w:t>
      </w:r>
      <w:r w:rsidR="00F77DF8" w:rsidRPr="00303EBC">
        <w:rPr>
          <w:sz w:val="28"/>
          <w:szCs w:val="28"/>
          <w:lang w:val="ro-RO"/>
        </w:rPr>
        <w:t>câștigătorilor</w:t>
      </w:r>
      <w:r w:rsidRPr="00303EBC">
        <w:rPr>
          <w:sz w:val="28"/>
          <w:szCs w:val="28"/>
          <w:lang w:val="ro-RO"/>
        </w:rPr>
        <w:t xml:space="preserve"> licitaţiilor publice centralizate conform necesităţilor instituţiilor medico-sanitare, confirmate de </w:t>
      </w:r>
      <w:r w:rsidR="00DC625A">
        <w:rPr>
          <w:sz w:val="28"/>
          <w:szCs w:val="28"/>
          <w:lang w:val="ro-RO"/>
        </w:rPr>
        <w:t xml:space="preserve">către </w:t>
      </w:r>
      <w:r w:rsidR="00FF4587" w:rsidRPr="00303EBC">
        <w:rPr>
          <w:sz w:val="28"/>
          <w:szCs w:val="28"/>
          <w:lang w:val="ro-RO"/>
        </w:rPr>
        <w:t>Centrul pentru achiziţii publice centralizate în sănătate</w:t>
      </w:r>
      <w:r w:rsidRPr="00303EBC">
        <w:rPr>
          <w:sz w:val="28"/>
          <w:szCs w:val="28"/>
          <w:lang w:val="ro-RO"/>
        </w:rPr>
        <w:t>.</w:t>
      </w:r>
    </w:p>
    <w:p w:rsidR="008E334B" w:rsidRDefault="008E334B" w:rsidP="002002FE">
      <w:pPr>
        <w:rPr>
          <w:sz w:val="28"/>
          <w:szCs w:val="28"/>
          <w:lang w:val="ro-RO"/>
        </w:rPr>
      </w:pPr>
    </w:p>
    <w:sectPr w:rsidR="008E334B" w:rsidSect="00283371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9BC"/>
    <w:multiLevelType w:val="hybridMultilevel"/>
    <w:tmpl w:val="E4F4E144"/>
    <w:lvl w:ilvl="0" w:tplc="A7D65C7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C41C2"/>
    <w:multiLevelType w:val="hybridMultilevel"/>
    <w:tmpl w:val="5CC0BDA4"/>
    <w:lvl w:ilvl="0" w:tplc="0534DF18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03095"/>
    <w:multiLevelType w:val="hybridMultilevel"/>
    <w:tmpl w:val="6DAE3B2C"/>
    <w:lvl w:ilvl="0" w:tplc="20D88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6345DD"/>
    <w:multiLevelType w:val="hybridMultilevel"/>
    <w:tmpl w:val="AF968FC2"/>
    <w:lvl w:ilvl="0" w:tplc="C050368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B"/>
    <w:rsid w:val="000329A8"/>
    <w:rsid w:val="00041B49"/>
    <w:rsid w:val="000474F0"/>
    <w:rsid w:val="00087837"/>
    <w:rsid w:val="0013711F"/>
    <w:rsid w:val="001502A0"/>
    <w:rsid w:val="00151B5F"/>
    <w:rsid w:val="001644C9"/>
    <w:rsid w:val="00166D71"/>
    <w:rsid w:val="00173289"/>
    <w:rsid w:val="001A1EA6"/>
    <w:rsid w:val="001F2AB8"/>
    <w:rsid w:val="002002FE"/>
    <w:rsid w:val="00253757"/>
    <w:rsid w:val="00257F1F"/>
    <w:rsid w:val="00267F04"/>
    <w:rsid w:val="00283371"/>
    <w:rsid w:val="002D611B"/>
    <w:rsid w:val="00303EBC"/>
    <w:rsid w:val="00387CBC"/>
    <w:rsid w:val="003C19F7"/>
    <w:rsid w:val="003D7BB6"/>
    <w:rsid w:val="003E1A8D"/>
    <w:rsid w:val="003F6708"/>
    <w:rsid w:val="004022EC"/>
    <w:rsid w:val="00417889"/>
    <w:rsid w:val="00440B8E"/>
    <w:rsid w:val="00461CBD"/>
    <w:rsid w:val="00473FA4"/>
    <w:rsid w:val="004D5BED"/>
    <w:rsid w:val="004E160D"/>
    <w:rsid w:val="004F03BB"/>
    <w:rsid w:val="0057283D"/>
    <w:rsid w:val="005C58FE"/>
    <w:rsid w:val="005F3D66"/>
    <w:rsid w:val="00621BF7"/>
    <w:rsid w:val="00624D48"/>
    <w:rsid w:val="006B5570"/>
    <w:rsid w:val="006B5748"/>
    <w:rsid w:val="006C16AD"/>
    <w:rsid w:val="006E3507"/>
    <w:rsid w:val="006E41C5"/>
    <w:rsid w:val="00731FCB"/>
    <w:rsid w:val="00743EF9"/>
    <w:rsid w:val="0074699F"/>
    <w:rsid w:val="00767CF3"/>
    <w:rsid w:val="00783A66"/>
    <w:rsid w:val="008E334B"/>
    <w:rsid w:val="0090008A"/>
    <w:rsid w:val="00963440"/>
    <w:rsid w:val="009926C7"/>
    <w:rsid w:val="009A6D92"/>
    <w:rsid w:val="00A026DE"/>
    <w:rsid w:val="00A04C79"/>
    <w:rsid w:val="00A215FB"/>
    <w:rsid w:val="00A352FF"/>
    <w:rsid w:val="00AB3470"/>
    <w:rsid w:val="00AB36EE"/>
    <w:rsid w:val="00AD5E0D"/>
    <w:rsid w:val="00AE4415"/>
    <w:rsid w:val="00B06812"/>
    <w:rsid w:val="00B33833"/>
    <w:rsid w:val="00B36481"/>
    <w:rsid w:val="00B52742"/>
    <w:rsid w:val="00B92C80"/>
    <w:rsid w:val="00B93827"/>
    <w:rsid w:val="00BF5C8A"/>
    <w:rsid w:val="00C047E7"/>
    <w:rsid w:val="00C31FCE"/>
    <w:rsid w:val="00C41645"/>
    <w:rsid w:val="00C45607"/>
    <w:rsid w:val="00C676AF"/>
    <w:rsid w:val="00C83614"/>
    <w:rsid w:val="00CA0E48"/>
    <w:rsid w:val="00CE50DB"/>
    <w:rsid w:val="00D52F3A"/>
    <w:rsid w:val="00D81F5F"/>
    <w:rsid w:val="00DC3D51"/>
    <w:rsid w:val="00DC625A"/>
    <w:rsid w:val="00E45FF5"/>
    <w:rsid w:val="00E530BE"/>
    <w:rsid w:val="00EC1886"/>
    <w:rsid w:val="00F42F8D"/>
    <w:rsid w:val="00F74205"/>
    <w:rsid w:val="00F77DF8"/>
    <w:rsid w:val="00F845E4"/>
    <w:rsid w:val="00F92969"/>
    <w:rsid w:val="00FA715A"/>
    <w:rsid w:val="00FA778F"/>
    <w:rsid w:val="00FC22FF"/>
    <w:rsid w:val="00FC59A7"/>
    <w:rsid w:val="00FF4587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417889"/>
  </w:style>
  <w:style w:type="paragraph" w:styleId="NoSpacing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24D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Normal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Footer">
    <w:name w:val="footer"/>
    <w:basedOn w:val="Normal"/>
    <w:link w:val="FooterChar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13711F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F4587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md">
    <w:name w:val="md"/>
    <w:basedOn w:val="Normal"/>
    <w:rsid w:val="00FF4587"/>
    <w:pPr>
      <w:widowControl/>
      <w:autoSpaceDE/>
      <w:autoSpaceDN/>
      <w:adjustRightInd/>
      <w:ind w:firstLine="567"/>
      <w:jc w:val="both"/>
    </w:pPr>
    <w:rPr>
      <w:i/>
      <w:iCs/>
      <w:color w:val="663300"/>
    </w:rPr>
  </w:style>
  <w:style w:type="paragraph" w:customStyle="1" w:styleId="cn">
    <w:name w:val="cn"/>
    <w:basedOn w:val="Normal"/>
    <w:rsid w:val="00FF4587"/>
    <w:pPr>
      <w:widowControl/>
      <w:autoSpaceDE/>
      <w:autoSpaceDN/>
      <w:adjustRightInd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417889"/>
  </w:style>
  <w:style w:type="paragraph" w:styleId="NoSpacing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24D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Normal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Footer">
    <w:name w:val="footer"/>
    <w:basedOn w:val="Normal"/>
    <w:link w:val="FooterChar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13711F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F4587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md">
    <w:name w:val="md"/>
    <w:basedOn w:val="Normal"/>
    <w:rsid w:val="00FF4587"/>
    <w:pPr>
      <w:widowControl/>
      <w:autoSpaceDE/>
      <w:autoSpaceDN/>
      <w:adjustRightInd/>
      <w:ind w:firstLine="567"/>
      <w:jc w:val="both"/>
    </w:pPr>
    <w:rPr>
      <w:i/>
      <w:iCs/>
      <w:color w:val="663300"/>
    </w:rPr>
  </w:style>
  <w:style w:type="paragraph" w:customStyle="1" w:styleId="cn">
    <w:name w:val="cn"/>
    <w:basedOn w:val="Normal"/>
    <w:rsid w:val="00FF4587"/>
    <w:pPr>
      <w:widowControl/>
      <w:autoSpaceDE/>
      <w:autoSpaceDN/>
      <w:adjustRightInd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mihalachi\AppData\Local\Microsoft\Windows\INetCache\Content.Outlook\M4YJFZWJ\TEXT=LPLP20140725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4315-6F61-47C7-B713-D535DC3A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Gheorghe Gorceag</cp:lastModifiedBy>
  <cp:revision>15</cp:revision>
  <cp:lastPrinted>2018-06-07T10:21:00Z</cp:lastPrinted>
  <dcterms:created xsi:type="dcterms:W3CDTF">2017-02-15T12:43:00Z</dcterms:created>
  <dcterms:modified xsi:type="dcterms:W3CDTF">2018-06-07T10:21:00Z</dcterms:modified>
</cp:coreProperties>
</file>