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8D" w:rsidRPr="00521246" w:rsidRDefault="0013708D" w:rsidP="0013708D">
      <w:pPr>
        <w:spacing w:before="100" w:beforeAutospacing="1"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21246">
        <w:rPr>
          <w:rFonts w:ascii="Times New Roman" w:eastAsia="Calibri" w:hAnsi="Times New Roman"/>
          <w:b/>
          <w:sz w:val="28"/>
          <w:szCs w:val="28"/>
        </w:rPr>
        <w:t>Notă informativă</w:t>
      </w:r>
    </w:p>
    <w:p w:rsidR="00365C6B" w:rsidRPr="00365C6B" w:rsidRDefault="0013708D" w:rsidP="00365C6B">
      <w:pPr>
        <w:tabs>
          <w:tab w:val="left" w:pos="709"/>
        </w:tabs>
        <w:spacing w:after="0" w:line="240" w:lineRule="auto"/>
        <w:ind w:left="-567" w:right="-5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21246">
        <w:rPr>
          <w:rFonts w:ascii="Times New Roman" w:eastAsia="Calibri" w:hAnsi="Times New Roman"/>
          <w:b/>
          <w:sz w:val="28"/>
          <w:szCs w:val="28"/>
        </w:rPr>
        <w:t xml:space="preserve">la proiectul hotărârii Guvernului </w:t>
      </w:r>
      <w:r w:rsidR="00365C6B" w:rsidRPr="00365C6B">
        <w:rPr>
          <w:rFonts w:ascii="Times New Roman" w:eastAsia="Calibri" w:hAnsi="Times New Roman"/>
          <w:b/>
          <w:sz w:val="28"/>
          <w:szCs w:val="28"/>
        </w:rPr>
        <w:t>nr. 520/2010 cu privire la aprobarea Regulamentului sanitar privind contaminanţii din produsele alimentare</w:t>
      </w:r>
    </w:p>
    <w:p w:rsidR="00365C6B" w:rsidRPr="00365C6B" w:rsidRDefault="00365C6B" w:rsidP="00365C6B">
      <w:pPr>
        <w:tabs>
          <w:tab w:val="left" w:pos="709"/>
        </w:tabs>
        <w:spacing w:after="0" w:line="240" w:lineRule="auto"/>
        <w:ind w:left="-567" w:right="-5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709"/>
        </w:tabs>
        <w:spacing w:after="0" w:line="240" w:lineRule="auto"/>
        <w:ind w:left="-56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246">
        <w:rPr>
          <w:rFonts w:ascii="Times New Roman" w:hAnsi="Times New Roman" w:cs="Times New Roman"/>
          <w:sz w:val="28"/>
          <w:szCs w:val="28"/>
        </w:rPr>
        <w:t>Proiectul propus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246">
        <w:rPr>
          <w:rFonts w:ascii="Times New Roman" w:hAnsi="Times New Roman" w:cs="Times New Roman"/>
          <w:sz w:val="28"/>
          <w:szCs w:val="28"/>
        </w:rPr>
        <w:t xml:space="preserve"> este elaborat de către Ministerul Agriculturii, Dezvoltării Regionale și Mediului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246">
        <w:rPr>
          <w:rFonts w:ascii="Times New Roman" w:hAnsi="Times New Roman" w:cs="Times New Roman"/>
          <w:sz w:val="28"/>
          <w:szCs w:val="28"/>
        </w:rPr>
        <w:t xml:space="preserve"> în conformitate cu prevederile Titlului V, Capitolul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246">
        <w:rPr>
          <w:rFonts w:ascii="Times New Roman" w:hAnsi="Times New Roman" w:cs="Times New Roman"/>
          <w:sz w:val="28"/>
          <w:szCs w:val="28"/>
        </w:rPr>
        <w:t xml:space="preserve"> Măsuri sanitare și fitosanitare, Secțiunea 4 – Norme de siguranță alimentară din Anexa Planului național de acțiuni pentru implementarea Acordului de Asociere Republica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Moldova-Uniunea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 Europeană în perioada 2017-2019, aprobat prin Hotărârea Guvernului nr. 1472 din 30.12.2016.</w:t>
      </w:r>
    </w:p>
    <w:p w:rsidR="0013708D" w:rsidRDefault="0013708D" w:rsidP="0013708D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Pr="00521246">
        <w:rPr>
          <w:rFonts w:ascii="Times New Roman" w:hAnsi="Times New Roman"/>
          <w:sz w:val="28"/>
          <w:szCs w:val="28"/>
        </w:rPr>
        <w:t xml:space="preserve">odificarea Hotărârii Guvernului nr. 520 din </w:t>
      </w:r>
      <w:r w:rsidRPr="00521246">
        <w:rPr>
          <w:rStyle w:val="apple-style-span"/>
          <w:rFonts w:ascii="Times New Roman" w:hAnsi="Times New Roman"/>
          <w:sz w:val="28"/>
          <w:szCs w:val="28"/>
        </w:rPr>
        <w:t>22 iunie 2010 cu privire la aprobarea Regulamentului sanitar privind contaminanții din produsele alimentare,</w:t>
      </w:r>
      <w:r w:rsidRPr="00521246">
        <w:rPr>
          <w:rFonts w:ascii="Times New Roman" w:hAnsi="Times New Roman"/>
          <w:sz w:val="28"/>
          <w:szCs w:val="28"/>
        </w:rPr>
        <w:t xml:space="preserve"> are drept scop armonizarea cadrului normativ național la acquis-ului comunitar, prin reglementarea nivelului de toxine T-2 și HT-2 în cereale și în produsele pe bază de cereale, și a nivelului </w:t>
      </w:r>
      <w:proofErr w:type="spellStart"/>
      <w:r w:rsidRPr="00521246">
        <w:rPr>
          <w:rFonts w:ascii="Times New Roman" w:hAnsi="Times New Roman"/>
          <w:sz w:val="28"/>
          <w:szCs w:val="28"/>
        </w:rPr>
        <w:t>dioxinelor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1246">
        <w:rPr>
          <w:rFonts w:ascii="Times New Roman" w:hAnsi="Times New Roman"/>
          <w:sz w:val="28"/>
          <w:szCs w:val="28"/>
        </w:rPr>
        <w:t>furanilor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și a PCB de tipul </w:t>
      </w:r>
      <w:proofErr w:type="spellStart"/>
      <w:r w:rsidRPr="00521246">
        <w:rPr>
          <w:rFonts w:ascii="Times New Roman" w:hAnsi="Times New Roman"/>
          <w:sz w:val="28"/>
          <w:szCs w:val="28"/>
        </w:rPr>
        <w:t>dioxinelor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în produsele din carne.</w:t>
      </w: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Actualmente, r</w:t>
      </w:r>
      <w:r w:rsidRPr="00521246">
        <w:rPr>
          <w:rFonts w:ascii="Times New Roman" w:hAnsi="Times New Roman" w:cs="Times New Roman"/>
          <w:sz w:val="28"/>
          <w:szCs w:val="28"/>
        </w:rPr>
        <w:t>ezul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521246">
        <w:rPr>
          <w:rFonts w:ascii="Times New Roman" w:hAnsi="Times New Roman" w:cs="Times New Roman"/>
          <w:sz w:val="28"/>
          <w:szCs w:val="28"/>
        </w:rPr>
        <w:t xml:space="preserve">atele progresului științific oferă noi tehnologii, modalități, metode de analiză și de monitorizare a nivelului de toxine T-2 și HT-2 în cereale și în produsele pe bază de cereale, și nivelului de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dioxine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furani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>, PCB în produsele din carne de bovine, ovine, pasăre de curte, porcine, pește, precum și în lapte crud, ouă de găină, fructe, legume, cereale, altele.</w:t>
      </w: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Prin urmare, Comisia Europeană a aprobat </w:t>
      </w:r>
      <w:r w:rsidRPr="00521246">
        <w:rPr>
          <w:rFonts w:ascii="Times New Roman" w:hAnsi="Times New Roman"/>
          <w:sz w:val="28"/>
          <w:szCs w:val="28"/>
        </w:rPr>
        <w:t xml:space="preserve">Recomandarea 2013/711/UE a Comisiei din 3 decembrie 2013 privind reducerea prezenței </w:t>
      </w:r>
      <w:proofErr w:type="spellStart"/>
      <w:r w:rsidRPr="00521246">
        <w:rPr>
          <w:rFonts w:ascii="Times New Roman" w:hAnsi="Times New Roman"/>
          <w:sz w:val="28"/>
          <w:szCs w:val="28"/>
        </w:rPr>
        <w:t>dioxinelor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521246">
        <w:rPr>
          <w:rFonts w:ascii="Times New Roman" w:hAnsi="Times New Roman"/>
          <w:sz w:val="28"/>
          <w:szCs w:val="28"/>
        </w:rPr>
        <w:t>furanilor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și a </w:t>
      </w:r>
      <w:proofErr w:type="spellStart"/>
      <w:r w:rsidRPr="00521246">
        <w:rPr>
          <w:rFonts w:ascii="Times New Roman" w:hAnsi="Times New Roman"/>
          <w:sz w:val="28"/>
          <w:szCs w:val="28"/>
        </w:rPr>
        <w:t>bifenililor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246">
        <w:rPr>
          <w:rFonts w:ascii="Times New Roman" w:hAnsi="Times New Roman"/>
          <w:sz w:val="28"/>
          <w:szCs w:val="28"/>
        </w:rPr>
        <w:t>policlorurați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(PCB) în produsele alimentare și în hrana pentru animale, care înlocuiește Recomandarea 2011/516/UE a Comisiei din 23 august 2011 privind reducerea prezenței </w:t>
      </w:r>
      <w:proofErr w:type="spellStart"/>
      <w:r w:rsidRPr="00521246">
        <w:rPr>
          <w:rFonts w:ascii="Times New Roman" w:hAnsi="Times New Roman"/>
          <w:sz w:val="28"/>
          <w:szCs w:val="28"/>
        </w:rPr>
        <w:t>dioxinelor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521246">
        <w:rPr>
          <w:rFonts w:ascii="Times New Roman" w:hAnsi="Times New Roman"/>
          <w:sz w:val="28"/>
          <w:szCs w:val="28"/>
        </w:rPr>
        <w:t>furanilor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și a </w:t>
      </w:r>
      <w:proofErr w:type="spellStart"/>
      <w:r w:rsidRPr="00521246">
        <w:rPr>
          <w:rFonts w:ascii="Times New Roman" w:hAnsi="Times New Roman"/>
          <w:sz w:val="28"/>
          <w:szCs w:val="28"/>
        </w:rPr>
        <w:t>bifenililor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246">
        <w:rPr>
          <w:rFonts w:ascii="Times New Roman" w:hAnsi="Times New Roman"/>
          <w:sz w:val="28"/>
          <w:szCs w:val="28"/>
        </w:rPr>
        <w:t>policlorurați</w:t>
      </w:r>
      <w:proofErr w:type="spellEnd"/>
      <w:r w:rsidRPr="00521246">
        <w:rPr>
          <w:rFonts w:ascii="Times New Roman" w:hAnsi="Times New Roman"/>
          <w:sz w:val="28"/>
          <w:szCs w:val="28"/>
        </w:rPr>
        <w:t xml:space="preserve"> din alimentația umană și animală </w:t>
      </w:r>
      <w:r w:rsidRPr="00960217">
        <w:rPr>
          <w:rFonts w:ascii="Times New Roman" w:hAnsi="Times New Roman"/>
          <w:sz w:val="28"/>
          <w:szCs w:val="28"/>
        </w:rPr>
        <w:t xml:space="preserve">și a </w:t>
      </w:r>
      <w:r w:rsidRPr="00960217">
        <w:rPr>
          <w:rFonts w:ascii="Times New Roman" w:hAnsi="Times New Roman" w:cs="Times New Roman"/>
          <w:sz w:val="28"/>
          <w:szCs w:val="28"/>
        </w:rPr>
        <w:t xml:space="preserve">Recomandării nr. 2013/165 a Comisiei din 27 martie 2013 </w:t>
      </w:r>
      <w:r w:rsidRPr="00960217">
        <w:rPr>
          <w:rFonts w:ascii="Times New Roman" w:hAnsi="Times New Roman"/>
          <w:sz w:val="28"/>
          <w:szCs w:val="28"/>
        </w:rPr>
        <w:t>privind prezența toxinelor T-2 și HT-2 în cereale și în produsele pe bază de cereale</w:t>
      </w:r>
      <w:r>
        <w:rPr>
          <w:rFonts w:ascii="Times New Roman" w:hAnsi="Times New Roman"/>
          <w:sz w:val="28"/>
          <w:szCs w:val="28"/>
        </w:rPr>
        <w:t xml:space="preserve"> pentru armonizarea cadrului normativ național pe domeniul respectiv.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Reglemandările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menționate stabilesc nivelurile orientative</w:t>
      </w:r>
      <w:r w:rsidRPr="00521246">
        <w:rPr>
          <w:rFonts w:ascii="Times New Roman" w:hAnsi="Times New Roman" w:cs="Times New Roman"/>
          <w:sz w:val="28"/>
          <w:szCs w:val="28"/>
        </w:rPr>
        <w:t xml:space="preserve"> de toxine T-2 și HT-2,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dioxine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furanilor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 și a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bifenililor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246">
        <w:rPr>
          <w:rFonts w:ascii="Times New Roman" w:hAnsi="Times New Roman" w:cs="Times New Roman"/>
          <w:sz w:val="28"/>
          <w:szCs w:val="28"/>
        </w:rPr>
        <w:t>policlorurați</w:t>
      </w:r>
      <w:proofErr w:type="spellEnd"/>
      <w:r w:rsidRPr="00521246">
        <w:rPr>
          <w:rFonts w:ascii="Times New Roman" w:hAnsi="Times New Roman" w:cs="Times New Roman"/>
          <w:sz w:val="28"/>
          <w:szCs w:val="28"/>
        </w:rPr>
        <w:t xml:space="preserve"> (PCB) în produsele alimentare de origine animală și vegetală</w:t>
      </w:r>
      <w:r>
        <w:rPr>
          <w:rFonts w:ascii="Times New Roman" w:hAnsi="Times New Roman" w:cs="Times New Roman"/>
          <w:sz w:val="28"/>
          <w:szCs w:val="28"/>
        </w:rPr>
        <w:t xml:space="preserve"> și în hrana pentru animale. Respectarea de către operatori a nivelurilor stabilite</w:t>
      </w:r>
      <w:r w:rsidRPr="00521246">
        <w:rPr>
          <w:rFonts w:ascii="Times New Roman" w:hAnsi="Times New Roman" w:cs="Times New Roman"/>
          <w:sz w:val="28"/>
          <w:szCs w:val="28"/>
        </w:rPr>
        <w:t xml:space="preserve"> va minimiza impactul acestora asupra sănătății umane și animale</w:t>
      </w:r>
      <w:r>
        <w:rPr>
          <w:rFonts w:ascii="Times New Roman" w:hAnsi="Times New Roman" w:cs="Times New Roman"/>
          <w:sz w:val="28"/>
          <w:szCs w:val="28"/>
        </w:rPr>
        <w:t xml:space="preserve">, contribuind la plasarea pe piață a produselor alimentare și a hranei pentru animale sigure. </w:t>
      </w: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1246">
        <w:rPr>
          <w:rFonts w:ascii="Times New Roman" w:hAnsi="Times New Roman" w:cs="Times New Roman"/>
          <w:sz w:val="28"/>
          <w:szCs w:val="28"/>
        </w:rPr>
        <w:t>Implementarea proiectului dat va fi atribuită conform competențelor Agenției Naționale pentru Siguranța Alimentelor, autoritate responsabilă de controlul respectării nivelului de conta</w:t>
      </w:r>
      <w:r>
        <w:rPr>
          <w:rFonts w:ascii="Times New Roman" w:hAnsi="Times New Roman" w:cs="Times New Roman"/>
          <w:sz w:val="28"/>
          <w:szCs w:val="28"/>
        </w:rPr>
        <w:t>minanți în produsele alimentare și în hrana pentru animale.</w:t>
      </w:r>
      <w:r w:rsidRPr="00521246">
        <w:rPr>
          <w:rFonts w:ascii="Times New Roman" w:hAnsi="Times New Roman" w:cs="Times New Roman"/>
          <w:sz w:val="28"/>
          <w:szCs w:val="28"/>
        </w:rPr>
        <w:t xml:space="preserve"> La întocmirea planurilor anuale de control, Agenția va planifica </w:t>
      </w:r>
      <w:r w:rsidRPr="00521246">
        <w:rPr>
          <w:rFonts w:ascii="Times New Roman" w:hAnsi="Times New Roman" w:cs="Times New Roman"/>
          <w:sz w:val="28"/>
          <w:szCs w:val="28"/>
        </w:rPr>
        <w:lastRenderedPageBreak/>
        <w:t>mijloace financiare în funcție de numărul de probe planificate, sortimentul produselor alimentare</w:t>
      </w:r>
      <w:r>
        <w:rPr>
          <w:rFonts w:ascii="Times New Roman" w:hAnsi="Times New Roman" w:cs="Times New Roman"/>
          <w:sz w:val="28"/>
          <w:szCs w:val="28"/>
        </w:rPr>
        <w:t xml:space="preserve"> și hrană pentru animale</w:t>
      </w:r>
      <w:r w:rsidRPr="00521246">
        <w:rPr>
          <w:rFonts w:ascii="Times New Roman" w:hAnsi="Times New Roman" w:cs="Times New Roman"/>
          <w:sz w:val="28"/>
          <w:szCs w:val="28"/>
        </w:rPr>
        <w:t>, spectrul de contaminanți preconizați pentru identificare în laborator, etc.</w:t>
      </w: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Pentru </w:t>
      </w:r>
      <w:r w:rsidRPr="00521246">
        <w:rPr>
          <w:rFonts w:ascii="Times New Roman" w:hAnsi="Times New Roman" w:cs="Times New Roman"/>
          <w:sz w:val="28"/>
          <w:szCs w:val="28"/>
        </w:rPr>
        <w:t>consulta</w:t>
      </w:r>
      <w:r>
        <w:rPr>
          <w:rFonts w:ascii="Times New Roman" w:hAnsi="Times New Roman" w:cs="Times New Roman"/>
          <w:sz w:val="28"/>
          <w:szCs w:val="28"/>
        </w:rPr>
        <w:t>re</w:t>
      </w:r>
      <w:r w:rsidRPr="00521246">
        <w:rPr>
          <w:rFonts w:ascii="Times New Roman" w:hAnsi="Times New Roman" w:cs="Times New Roman"/>
          <w:sz w:val="28"/>
          <w:szCs w:val="28"/>
        </w:rPr>
        <w:t xml:space="preserve"> public</w:t>
      </w:r>
      <w:r>
        <w:rPr>
          <w:rFonts w:ascii="Times New Roman" w:hAnsi="Times New Roman" w:cs="Times New Roman"/>
          <w:sz w:val="28"/>
          <w:szCs w:val="28"/>
        </w:rPr>
        <w:t>ă p</w:t>
      </w:r>
      <w:r w:rsidRPr="00521246">
        <w:rPr>
          <w:rFonts w:ascii="Times New Roman" w:hAnsi="Times New Roman" w:cs="Times New Roman"/>
          <w:sz w:val="28"/>
          <w:szCs w:val="28"/>
        </w:rPr>
        <w:t>ro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521246">
        <w:rPr>
          <w:rFonts w:ascii="Times New Roman" w:hAnsi="Times New Roman" w:cs="Times New Roman"/>
          <w:sz w:val="28"/>
          <w:szCs w:val="28"/>
        </w:rPr>
        <w:t xml:space="preserve">ectul în cauză </w:t>
      </w:r>
      <w:r>
        <w:rPr>
          <w:rFonts w:ascii="Times New Roman" w:hAnsi="Times New Roman" w:cs="Times New Roman"/>
          <w:sz w:val="28"/>
          <w:szCs w:val="28"/>
        </w:rPr>
        <w:t>este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plasat 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 xml:space="preserve">pe paginile web. </w:t>
      </w:r>
      <w:r w:rsidRPr="00521246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hyperlink r:id="rId5" w:history="1">
        <w:r w:rsidRPr="0052124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www.madrm.gov.md</w:t>
        </w:r>
      </w:hyperlink>
      <w:r w:rsidRPr="00521246">
        <w:rPr>
          <w:rFonts w:ascii="Times New Roman" w:eastAsia="Times New Roman" w:hAnsi="Times New Roman" w:cs="Times New Roman"/>
          <w:sz w:val="28"/>
          <w:szCs w:val="28"/>
          <w:u w:val="single"/>
        </w:rPr>
        <w:t>) la compartimentul ”Transparența decizională”, rubrica ”Proiecte de documente”</w:t>
      </w:r>
      <w:r w:rsidRPr="00521246">
        <w:rPr>
          <w:rFonts w:ascii="Times New Roman" w:hAnsi="Times New Roman" w:cs="Times New Roman"/>
          <w:sz w:val="28"/>
          <w:szCs w:val="28"/>
        </w:rPr>
        <w:t xml:space="preserve"> și pe (</w:t>
      </w:r>
      <w:hyperlink r:id="rId6" w:history="1">
        <w:r w:rsidRPr="0052124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www.particip.gov.md</w:t>
        </w:r>
      </w:hyperlink>
      <w:r w:rsidRPr="00521246">
        <w:rPr>
          <w:rFonts w:ascii="Times New Roman" w:eastAsia="Times New Roman" w:hAnsi="Times New Roman" w:cs="Times New Roman"/>
          <w:sz w:val="28"/>
          <w:szCs w:val="28"/>
          <w:u w:val="single"/>
        </w:rPr>
        <w:t>).</w:t>
      </w:r>
    </w:p>
    <w:p w:rsidR="00670102" w:rsidRDefault="0013708D" w:rsidP="0013708D">
      <w:pPr>
        <w:spacing w:after="0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E17">
        <w:rPr>
          <w:rFonts w:ascii="Times New Roman" w:eastAsia="Times New Roman" w:hAnsi="Times New Roman" w:cs="Times New Roman"/>
          <w:sz w:val="28"/>
          <w:szCs w:val="28"/>
        </w:rPr>
        <w:t>Totodată,</w:t>
      </w:r>
      <w:r w:rsidR="00670102">
        <w:rPr>
          <w:rFonts w:ascii="Times New Roman" w:eastAsia="Times New Roman" w:hAnsi="Times New Roman" w:cs="Times New Roman"/>
          <w:sz w:val="28"/>
          <w:szCs w:val="28"/>
        </w:rPr>
        <w:t xml:space="preserve"> proiectul este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examinat și avizat de 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>următoarele autorități publice – Ministerul Economiei și Infrastructurii, Ministerul Finanțelor, Ministerul Sănătății, Muncii și Protecției Sociale, Agenția Naționa</w:t>
      </w:r>
      <w:r w:rsidR="00670102">
        <w:rPr>
          <w:rFonts w:ascii="Times New Roman" w:eastAsia="Times New Roman" w:hAnsi="Times New Roman" w:cs="Times New Roman"/>
          <w:sz w:val="28"/>
          <w:szCs w:val="28"/>
        </w:rPr>
        <w:t xml:space="preserve">lă pentru Siguranța Alimentelor,, </w:t>
      </w:r>
      <w:r w:rsidR="00670102" w:rsidRPr="00521246">
        <w:rPr>
          <w:rFonts w:ascii="Times New Roman" w:eastAsia="Times New Roman" w:hAnsi="Times New Roman" w:cs="Times New Roman"/>
          <w:sz w:val="28"/>
          <w:szCs w:val="28"/>
        </w:rPr>
        <w:t>Ministerul Afacerilor E</w:t>
      </w:r>
      <w:r w:rsidR="00670102">
        <w:rPr>
          <w:rFonts w:ascii="Times New Roman" w:eastAsia="Times New Roman" w:hAnsi="Times New Roman" w:cs="Times New Roman"/>
          <w:sz w:val="28"/>
          <w:szCs w:val="28"/>
        </w:rPr>
        <w:t>xterne și Integrării Europene.</w:t>
      </w:r>
      <w:r w:rsidR="00670102" w:rsidRPr="0067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08D" w:rsidRDefault="00670102" w:rsidP="0013708D">
      <w:pPr>
        <w:spacing w:after="0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Tabelul de concordanță a proiectului propus cu actul UE, este examinat prin prisma expertizei de compatibilitate de către Centrul de Armonizare a L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>egislației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 lângă Ministerul Justiției.</w:t>
      </w:r>
    </w:p>
    <w:p w:rsidR="0013708D" w:rsidRPr="00521246" w:rsidRDefault="00670102" w:rsidP="0013708D">
      <w:pPr>
        <w:spacing w:after="0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Pentru expertiza anticorupție și juridică proiectul</w:t>
      </w:r>
      <w:r w:rsidR="0013708D">
        <w:rPr>
          <w:rFonts w:ascii="Times New Roman" w:eastAsia="Times New Roman" w:hAnsi="Times New Roman" w:cs="Times New Roman"/>
          <w:sz w:val="28"/>
          <w:szCs w:val="28"/>
        </w:rPr>
        <w:t xml:space="preserve"> urmează a fi remis </w:t>
      </w:r>
      <w:r w:rsidR="0013708D" w:rsidRPr="00521246">
        <w:rPr>
          <w:rFonts w:ascii="Times New Roman" w:eastAsia="Times New Roman" w:hAnsi="Times New Roman" w:cs="Times New Roman"/>
          <w:sz w:val="28"/>
          <w:szCs w:val="28"/>
        </w:rPr>
        <w:t>Centr</w:t>
      </w:r>
      <w:r w:rsidR="0013708D">
        <w:rPr>
          <w:rFonts w:ascii="Times New Roman" w:eastAsia="Times New Roman" w:hAnsi="Times New Roman" w:cs="Times New Roman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ui Național Anticorupție și respectiv, 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>Ministerul</w:t>
      </w:r>
      <w:r>
        <w:rPr>
          <w:rFonts w:ascii="Times New Roman" w:eastAsia="Times New Roman" w:hAnsi="Times New Roman" w:cs="Times New Roman"/>
          <w:sz w:val="28"/>
          <w:szCs w:val="28"/>
        </w:rPr>
        <w:t>ui</w:t>
      </w:r>
      <w:r w:rsidRPr="00521246">
        <w:rPr>
          <w:rFonts w:ascii="Times New Roman" w:eastAsia="Times New Roman" w:hAnsi="Times New Roman" w:cs="Times New Roman"/>
          <w:sz w:val="28"/>
          <w:szCs w:val="28"/>
        </w:rPr>
        <w:t xml:space="preserve"> Justiției.</w:t>
      </w:r>
    </w:p>
    <w:p w:rsidR="0013708D" w:rsidRPr="00521246" w:rsidRDefault="0013708D" w:rsidP="0013708D">
      <w:pPr>
        <w:pStyle w:val="Standard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1246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expuse, întru realizarea obligațiunilor asumate în cadrul Acordului de Asociere RM-UE și </w:t>
      </w:r>
      <w:r>
        <w:rPr>
          <w:rFonts w:ascii="Times New Roman" w:hAnsi="Times New Roman" w:cs="Times New Roman"/>
          <w:sz w:val="28"/>
          <w:szCs w:val="28"/>
          <w:lang w:val="ro-RO"/>
        </w:rPr>
        <w:t>întru crearea cadrului normativ</w:t>
      </w:r>
      <w:r w:rsidRPr="00521246">
        <w:rPr>
          <w:rFonts w:ascii="Times New Roman" w:hAnsi="Times New Roman" w:cs="Times New Roman"/>
          <w:sz w:val="28"/>
          <w:szCs w:val="28"/>
          <w:lang w:val="ro-RO"/>
        </w:rPr>
        <w:t xml:space="preserve"> ajustat la cerințele actelor UE ce reglementează contaminanții în produsele alimentare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21246">
        <w:rPr>
          <w:rFonts w:ascii="Times New Roman" w:hAnsi="Times New Roman" w:cs="Times New Roman"/>
          <w:sz w:val="28"/>
          <w:szCs w:val="28"/>
          <w:lang w:val="ro-RO"/>
        </w:rPr>
        <w:t xml:space="preserve"> considerăm necesară examinarea şi aprobarea proiectului propus. </w:t>
      </w:r>
    </w:p>
    <w:p w:rsidR="0013708D" w:rsidRPr="00521246" w:rsidRDefault="0013708D" w:rsidP="0013708D">
      <w:pPr>
        <w:pStyle w:val="Standard"/>
        <w:spacing w:after="0"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708D" w:rsidRPr="00521246" w:rsidRDefault="0013708D" w:rsidP="0013708D">
      <w:pPr>
        <w:spacing w:after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13708D" w:rsidRPr="00521246" w:rsidRDefault="0013708D" w:rsidP="0013708D">
      <w:pPr>
        <w:spacing w:after="0"/>
        <w:ind w:left="142" w:firstLine="851"/>
        <w:jc w:val="both"/>
        <w:rPr>
          <w:rFonts w:ascii="Times New Roman" w:hAnsi="Times New Roman"/>
          <w:sz w:val="28"/>
          <w:szCs w:val="28"/>
        </w:rPr>
      </w:pPr>
    </w:p>
    <w:p w:rsidR="0013708D" w:rsidRPr="00521246" w:rsidRDefault="0013708D" w:rsidP="0013708D">
      <w:pPr>
        <w:ind w:firstLine="708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Secretar de Stat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Vasile LUCA</w:t>
      </w:r>
    </w:p>
    <w:p w:rsidR="0013708D" w:rsidRPr="00521246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3119"/>
        </w:tabs>
        <w:spacing w:after="0"/>
        <w:ind w:right="-5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Pr="00521246" w:rsidRDefault="0013708D" w:rsidP="0013708D">
      <w:pPr>
        <w:tabs>
          <w:tab w:val="left" w:pos="3119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3708D" w:rsidRDefault="0013708D" w:rsidP="0013708D">
      <w:pPr>
        <w:tabs>
          <w:tab w:val="left" w:pos="3119"/>
        </w:tabs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 w:rsidRPr="00521246">
        <w:rPr>
          <w:rFonts w:ascii="Times New Roman" w:eastAsia="Calibri" w:hAnsi="Times New Roman"/>
          <w:i/>
          <w:sz w:val="16"/>
          <w:szCs w:val="16"/>
        </w:rPr>
        <w:t xml:space="preserve">Ex.:  </w:t>
      </w:r>
      <w:r>
        <w:rPr>
          <w:rFonts w:ascii="Times New Roman" w:eastAsia="Calibri" w:hAnsi="Times New Roman"/>
          <w:i/>
          <w:sz w:val="16"/>
          <w:szCs w:val="16"/>
        </w:rPr>
        <w:t xml:space="preserve">Olga </w:t>
      </w:r>
      <w:proofErr w:type="spellStart"/>
      <w:r>
        <w:rPr>
          <w:rFonts w:ascii="Times New Roman" w:eastAsia="Calibri" w:hAnsi="Times New Roman"/>
          <w:i/>
          <w:sz w:val="16"/>
          <w:szCs w:val="16"/>
        </w:rPr>
        <w:t>Savencov</w:t>
      </w:r>
      <w:proofErr w:type="spellEnd"/>
    </w:p>
    <w:p w:rsidR="0013708D" w:rsidRPr="00521246" w:rsidRDefault="0013708D" w:rsidP="0013708D">
      <w:pPr>
        <w:tabs>
          <w:tab w:val="left" w:pos="3119"/>
        </w:tabs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 xml:space="preserve">       Victoria </w:t>
      </w:r>
      <w:proofErr w:type="spellStart"/>
      <w:r>
        <w:rPr>
          <w:rFonts w:ascii="Times New Roman" w:eastAsia="Calibri" w:hAnsi="Times New Roman"/>
          <w:i/>
          <w:sz w:val="16"/>
          <w:szCs w:val="16"/>
        </w:rPr>
        <w:t>Mardari</w:t>
      </w:r>
      <w:proofErr w:type="spellEnd"/>
    </w:p>
    <w:p w:rsidR="0013708D" w:rsidRPr="00521246" w:rsidRDefault="0013708D" w:rsidP="0013708D">
      <w:pPr>
        <w:tabs>
          <w:tab w:val="left" w:pos="3119"/>
        </w:tabs>
        <w:spacing w:after="0"/>
        <w:jc w:val="both"/>
        <w:rPr>
          <w:rFonts w:ascii="Times New Roman" w:eastAsia="Calibri" w:hAnsi="Times New Roman"/>
          <w:i/>
          <w:sz w:val="16"/>
          <w:szCs w:val="16"/>
        </w:rPr>
      </w:pPr>
      <w:r>
        <w:rPr>
          <w:rFonts w:ascii="Times New Roman" w:eastAsia="Calibri" w:hAnsi="Times New Roman"/>
          <w:i/>
          <w:sz w:val="16"/>
          <w:szCs w:val="16"/>
        </w:rPr>
        <w:t>Tel.: 022</w:t>
      </w:r>
      <w:r w:rsidRPr="00521246">
        <w:rPr>
          <w:rFonts w:ascii="Times New Roman" w:eastAsia="Calibri" w:hAnsi="Times New Roman"/>
          <w:i/>
          <w:sz w:val="16"/>
          <w:szCs w:val="16"/>
        </w:rPr>
        <w:t xml:space="preserve"> 20 45 </w:t>
      </w:r>
      <w:proofErr w:type="spellStart"/>
      <w:r w:rsidRPr="00521246">
        <w:rPr>
          <w:rFonts w:ascii="Times New Roman" w:eastAsia="Calibri" w:hAnsi="Times New Roman"/>
          <w:i/>
          <w:sz w:val="16"/>
          <w:szCs w:val="16"/>
        </w:rPr>
        <w:t>45</w:t>
      </w:r>
      <w:proofErr w:type="spellEnd"/>
    </w:p>
    <w:p w:rsidR="00B60587" w:rsidRPr="0013708D" w:rsidRDefault="00B60587">
      <w:pPr>
        <w:rPr>
          <w:rFonts w:ascii="Times New Roman" w:hAnsi="Times New Roman" w:cs="Times New Roman"/>
          <w:sz w:val="28"/>
          <w:szCs w:val="28"/>
        </w:rPr>
      </w:pPr>
    </w:p>
    <w:sectPr w:rsidR="00B60587" w:rsidRPr="0013708D" w:rsidSect="00955BB1">
      <w:pgSz w:w="11906" w:h="16838"/>
      <w:pgMar w:top="1134" w:right="99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4F"/>
    <w:rsid w:val="00002B71"/>
    <w:rsid w:val="00006E16"/>
    <w:rsid w:val="00006E6C"/>
    <w:rsid w:val="00007521"/>
    <w:rsid w:val="000105D7"/>
    <w:rsid w:val="000123C7"/>
    <w:rsid w:val="000140BF"/>
    <w:rsid w:val="00015281"/>
    <w:rsid w:val="00021E45"/>
    <w:rsid w:val="0003031E"/>
    <w:rsid w:val="00030961"/>
    <w:rsid w:val="0003399B"/>
    <w:rsid w:val="000358E4"/>
    <w:rsid w:val="00036E1B"/>
    <w:rsid w:val="00041167"/>
    <w:rsid w:val="00043C0C"/>
    <w:rsid w:val="00050E6D"/>
    <w:rsid w:val="00052BFE"/>
    <w:rsid w:val="0005660D"/>
    <w:rsid w:val="000577AD"/>
    <w:rsid w:val="00062379"/>
    <w:rsid w:val="00062A4C"/>
    <w:rsid w:val="000640B7"/>
    <w:rsid w:val="000641D6"/>
    <w:rsid w:val="00067F18"/>
    <w:rsid w:val="0007586A"/>
    <w:rsid w:val="00076180"/>
    <w:rsid w:val="00077CAD"/>
    <w:rsid w:val="00080399"/>
    <w:rsid w:val="00082B09"/>
    <w:rsid w:val="000936B7"/>
    <w:rsid w:val="000A0612"/>
    <w:rsid w:val="000A6DEA"/>
    <w:rsid w:val="000B0C0C"/>
    <w:rsid w:val="000B0D4F"/>
    <w:rsid w:val="000B26D8"/>
    <w:rsid w:val="000B5418"/>
    <w:rsid w:val="000B5F3D"/>
    <w:rsid w:val="000B608B"/>
    <w:rsid w:val="000C0FED"/>
    <w:rsid w:val="000C17F4"/>
    <w:rsid w:val="000C3293"/>
    <w:rsid w:val="000C7EF1"/>
    <w:rsid w:val="000D50F0"/>
    <w:rsid w:val="000D7A35"/>
    <w:rsid w:val="000D7A97"/>
    <w:rsid w:val="000E01D2"/>
    <w:rsid w:val="000E686F"/>
    <w:rsid w:val="000E6E55"/>
    <w:rsid w:val="000F0CC5"/>
    <w:rsid w:val="000F45F4"/>
    <w:rsid w:val="00100E8A"/>
    <w:rsid w:val="001038FC"/>
    <w:rsid w:val="00105220"/>
    <w:rsid w:val="001110D9"/>
    <w:rsid w:val="00113F1F"/>
    <w:rsid w:val="0011619E"/>
    <w:rsid w:val="00116806"/>
    <w:rsid w:val="00116C10"/>
    <w:rsid w:val="001170CD"/>
    <w:rsid w:val="00117CD1"/>
    <w:rsid w:val="00121F6D"/>
    <w:rsid w:val="001237F2"/>
    <w:rsid w:val="001252BB"/>
    <w:rsid w:val="0012627B"/>
    <w:rsid w:val="00130979"/>
    <w:rsid w:val="001361EE"/>
    <w:rsid w:val="0013708D"/>
    <w:rsid w:val="00143B5E"/>
    <w:rsid w:val="00144050"/>
    <w:rsid w:val="001477C3"/>
    <w:rsid w:val="0015786C"/>
    <w:rsid w:val="001608E1"/>
    <w:rsid w:val="00160CC7"/>
    <w:rsid w:val="00162677"/>
    <w:rsid w:val="001663F4"/>
    <w:rsid w:val="00171B79"/>
    <w:rsid w:val="00180116"/>
    <w:rsid w:val="00180723"/>
    <w:rsid w:val="0018142E"/>
    <w:rsid w:val="001833A7"/>
    <w:rsid w:val="001838ED"/>
    <w:rsid w:val="001840BC"/>
    <w:rsid w:val="001916B7"/>
    <w:rsid w:val="001933AD"/>
    <w:rsid w:val="00196837"/>
    <w:rsid w:val="00197DC9"/>
    <w:rsid w:val="001A116A"/>
    <w:rsid w:val="001A525B"/>
    <w:rsid w:val="001A6308"/>
    <w:rsid w:val="001A6BC9"/>
    <w:rsid w:val="001A74F7"/>
    <w:rsid w:val="001C16D7"/>
    <w:rsid w:val="001C22AE"/>
    <w:rsid w:val="001C44C1"/>
    <w:rsid w:val="001C5F4F"/>
    <w:rsid w:val="001C6937"/>
    <w:rsid w:val="001C6A11"/>
    <w:rsid w:val="001C7BE5"/>
    <w:rsid w:val="001D6AA4"/>
    <w:rsid w:val="001E1564"/>
    <w:rsid w:val="001E2E47"/>
    <w:rsid w:val="001E47E8"/>
    <w:rsid w:val="001F0CD5"/>
    <w:rsid w:val="00200262"/>
    <w:rsid w:val="002028D1"/>
    <w:rsid w:val="002113C4"/>
    <w:rsid w:val="0021288D"/>
    <w:rsid w:val="0021393B"/>
    <w:rsid w:val="002153AD"/>
    <w:rsid w:val="00215CE6"/>
    <w:rsid w:val="00220D89"/>
    <w:rsid w:val="00223C78"/>
    <w:rsid w:val="002308AA"/>
    <w:rsid w:val="00235B9B"/>
    <w:rsid w:val="002411DD"/>
    <w:rsid w:val="00245163"/>
    <w:rsid w:val="00250FA8"/>
    <w:rsid w:val="00255035"/>
    <w:rsid w:val="00263B9A"/>
    <w:rsid w:val="00271831"/>
    <w:rsid w:val="00273DEC"/>
    <w:rsid w:val="0028327E"/>
    <w:rsid w:val="00286ACF"/>
    <w:rsid w:val="00286B1A"/>
    <w:rsid w:val="002918C9"/>
    <w:rsid w:val="00293C4B"/>
    <w:rsid w:val="0029492C"/>
    <w:rsid w:val="00295AA2"/>
    <w:rsid w:val="002A0888"/>
    <w:rsid w:val="002A2957"/>
    <w:rsid w:val="002A444C"/>
    <w:rsid w:val="002B0473"/>
    <w:rsid w:val="002B183D"/>
    <w:rsid w:val="002B3CDA"/>
    <w:rsid w:val="002C019E"/>
    <w:rsid w:val="002C222B"/>
    <w:rsid w:val="002C6493"/>
    <w:rsid w:val="002D19B9"/>
    <w:rsid w:val="002E271D"/>
    <w:rsid w:val="002E4E79"/>
    <w:rsid w:val="002F06C0"/>
    <w:rsid w:val="002F09AD"/>
    <w:rsid w:val="002F34AA"/>
    <w:rsid w:val="002F3AB7"/>
    <w:rsid w:val="002F644F"/>
    <w:rsid w:val="00300B3F"/>
    <w:rsid w:val="00300F86"/>
    <w:rsid w:val="003019B6"/>
    <w:rsid w:val="00303324"/>
    <w:rsid w:val="003171A7"/>
    <w:rsid w:val="00324DD2"/>
    <w:rsid w:val="00326BEB"/>
    <w:rsid w:val="003270C3"/>
    <w:rsid w:val="00331584"/>
    <w:rsid w:val="00334011"/>
    <w:rsid w:val="00334A7E"/>
    <w:rsid w:val="003456AE"/>
    <w:rsid w:val="00356D19"/>
    <w:rsid w:val="003609BA"/>
    <w:rsid w:val="00360FB0"/>
    <w:rsid w:val="0036194F"/>
    <w:rsid w:val="00362625"/>
    <w:rsid w:val="0036300D"/>
    <w:rsid w:val="00364309"/>
    <w:rsid w:val="00365C6B"/>
    <w:rsid w:val="00366B03"/>
    <w:rsid w:val="00373960"/>
    <w:rsid w:val="00385E5A"/>
    <w:rsid w:val="00391D79"/>
    <w:rsid w:val="003940E2"/>
    <w:rsid w:val="00394177"/>
    <w:rsid w:val="003A5025"/>
    <w:rsid w:val="003A5D07"/>
    <w:rsid w:val="003A604A"/>
    <w:rsid w:val="003C2D06"/>
    <w:rsid w:val="003C3398"/>
    <w:rsid w:val="003D0C9D"/>
    <w:rsid w:val="003D6B4A"/>
    <w:rsid w:val="003E5027"/>
    <w:rsid w:val="003E6446"/>
    <w:rsid w:val="003F40C3"/>
    <w:rsid w:val="00400DB0"/>
    <w:rsid w:val="004015D2"/>
    <w:rsid w:val="00402AC6"/>
    <w:rsid w:val="004047FD"/>
    <w:rsid w:val="00405D70"/>
    <w:rsid w:val="00405DF6"/>
    <w:rsid w:val="0041593C"/>
    <w:rsid w:val="00420150"/>
    <w:rsid w:val="00422DE7"/>
    <w:rsid w:val="00431732"/>
    <w:rsid w:val="004326FC"/>
    <w:rsid w:val="00451D75"/>
    <w:rsid w:val="00463C6B"/>
    <w:rsid w:val="00474D61"/>
    <w:rsid w:val="00475A12"/>
    <w:rsid w:val="0047602E"/>
    <w:rsid w:val="00476842"/>
    <w:rsid w:val="004779F1"/>
    <w:rsid w:val="004800D7"/>
    <w:rsid w:val="00481E83"/>
    <w:rsid w:val="0049183B"/>
    <w:rsid w:val="00493DFF"/>
    <w:rsid w:val="004A01E6"/>
    <w:rsid w:val="004A1BE4"/>
    <w:rsid w:val="004A3654"/>
    <w:rsid w:val="004B13E6"/>
    <w:rsid w:val="004B44FD"/>
    <w:rsid w:val="004B7A88"/>
    <w:rsid w:val="004C0E49"/>
    <w:rsid w:val="004C37ED"/>
    <w:rsid w:val="004D16A9"/>
    <w:rsid w:val="004D2A91"/>
    <w:rsid w:val="004D30F7"/>
    <w:rsid w:val="004E1EA2"/>
    <w:rsid w:val="004E7200"/>
    <w:rsid w:val="004F2EF3"/>
    <w:rsid w:val="004F5C3F"/>
    <w:rsid w:val="004F6AAC"/>
    <w:rsid w:val="004F7DC9"/>
    <w:rsid w:val="005023B6"/>
    <w:rsid w:val="00510DD3"/>
    <w:rsid w:val="005136B2"/>
    <w:rsid w:val="00521BD1"/>
    <w:rsid w:val="00522606"/>
    <w:rsid w:val="00533C4C"/>
    <w:rsid w:val="00540F23"/>
    <w:rsid w:val="0054233D"/>
    <w:rsid w:val="00543F44"/>
    <w:rsid w:val="00545A91"/>
    <w:rsid w:val="00550D1B"/>
    <w:rsid w:val="0055106F"/>
    <w:rsid w:val="00553F5F"/>
    <w:rsid w:val="00557FF4"/>
    <w:rsid w:val="00570232"/>
    <w:rsid w:val="00572751"/>
    <w:rsid w:val="00585EA4"/>
    <w:rsid w:val="00590525"/>
    <w:rsid w:val="00594430"/>
    <w:rsid w:val="00594EF5"/>
    <w:rsid w:val="005965C3"/>
    <w:rsid w:val="005A391B"/>
    <w:rsid w:val="005B1D0A"/>
    <w:rsid w:val="005B5DC6"/>
    <w:rsid w:val="005C1D7C"/>
    <w:rsid w:val="005C3847"/>
    <w:rsid w:val="005C4BCC"/>
    <w:rsid w:val="005D4340"/>
    <w:rsid w:val="005D7D14"/>
    <w:rsid w:val="005E0B9F"/>
    <w:rsid w:val="005E2F9F"/>
    <w:rsid w:val="005F269A"/>
    <w:rsid w:val="005F581B"/>
    <w:rsid w:val="005F7B50"/>
    <w:rsid w:val="00600A22"/>
    <w:rsid w:val="006054EE"/>
    <w:rsid w:val="00607A4C"/>
    <w:rsid w:val="006220E0"/>
    <w:rsid w:val="006305B3"/>
    <w:rsid w:val="006372EE"/>
    <w:rsid w:val="00637756"/>
    <w:rsid w:val="00655685"/>
    <w:rsid w:val="00664C7B"/>
    <w:rsid w:val="00664DC3"/>
    <w:rsid w:val="00665F99"/>
    <w:rsid w:val="00670102"/>
    <w:rsid w:val="006703FB"/>
    <w:rsid w:val="00672B1B"/>
    <w:rsid w:val="006746CD"/>
    <w:rsid w:val="006769A5"/>
    <w:rsid w:val="00680DF6"/>
    <w:rsid w:val="006A3D55"/>
    <w:rsid w:val="006A5A6F"/>
    <w:rsid w:val="006A6E59"/>
    <w:rsid w:val="006B0A6F"/>
    <w:rsid w:val="006B6167"/>
    <w:rsid w:val="006B7CB6"/>
    <w:rsid w:val="006B7D0D"/>
    <w:rsid w:val="006C62F3"/>
    <w:rsid w:val="006D09D4"/>
    <w:rsid w:val="006D2338"/>
    <w:rsid w:val="006D360D"/>
    <w:rsid w:val="006D44B3"/>
    <w:rsid w:val="006D5820"/>
    <w:rsid w:val="006D6217"/>
    <w:rsid w:val="006D6C34"/>
    <w:rsid w:val="006E309A"/>
    <w:rsid w:val="006E3881"/>
    <w:rsid w:val="006E3A0A"/>
    <w:rsid w:val="006E3D72"/>
    <w:rsid w:val="006E40FB"/>
    <w:rsid w:val="006F014F"/>
    <w:rsid w:val="006F351C"/>
    <w:rsid w:val="006F7D75"/>
    <w:rsid w:val="00700235"/>
    <w:rsid w:val="007074B9"/>
    <w:rsid w:val="00710485"/>
    <w:rsid w:val="00711DA9"/>
    <w:rsid w:val="00713486"/>
    <w:rsid w:val="007136A7"/>
    <w:rsid w:val="00715B11"/>
    <w:rsid w:val="00716153"/>
    <w:rsid w:val="00716D0D"/>
    <w:rsid w:val="00717922"/>
    <w:rsid w:val="007237B1"/>
    <w:rsid w:val="007241F0"/>
    <w:rsid w:val="00731873"/>
    <w:rsid w:val="007353D6"/>
    <w:rsid w:val="00736B8F"/>
    <w:rsid w:val="0075392C"/>
    <w:rsid w:val="00755017"/>
    <w:rsid w:val="00756744"/>
    <w:rsid w:val="007612E8"/>
    <w:rsid w:val="00762514"/>
    <w:rsid w:val="007659B3"/>
    <w:rsid w:val="00766ACE"/>
    <w:rsid w:val="00767634"/>
    <w:rsid w:val="00773CBE"/>
    <w:rsid w:val="007759BC"/>
    <w:rsid w:val="00776913"/>
    <w:rsid w:val="00776CD2"/>
    <w:rsid w:val="00777DE9"/>
    <w:rsid w:val="0078084A"/>
    <w:rsid w:val="00783E15"/>
    <w:rsid w:val="007951E0"/>
    <w:rsid w:val="007A042A"/>
    <w:rsid w:val="007A16B8"/>
    <w:rsid w:val="007C318F"/>
    <w:rsid w:val="007C52CA"/>
    <w:rsid w:val="007C53F4"/>
    <w:rsid w:val="007D15CC"/>
    <w:rsid w:val="007D208C"/>
    <w:rsid w:val="007D4F6E"/>
    <w:rsid w:val="007D6ABE"/>
    <w:rsid w:val="007D6E5C"/>
    <w:rsid w:val="007D70DF"/>
    <w:rsid w:val="007D7AB4"/>
    <w:rsid w:val="007E1798"/>
    <w:rsid w:val="007E43C3"/>
    <w:rsid w:val="007E622B"/>
    <w:rsid w:val="007E7939"/>
    <w:rsid w:val="007F3B8D"/>
    <w:rsid w:val="007F4E20"/>
    <w:rsid w:val="007F7099"/>
    <w:rsid w:val="00800442"/>
    <w:rsid w:val="00801D42"/>
    <w:rsid w:val="00805CC3"/>
    <w:rsid w:val="00807F22"/>
    <w:rsid w:val="00810F1B"/>
    <w:rsid w:val="00814F77"/>
    <w:rsid w:val="00816A46"/>
    <w:rsid w:val="0082061C"/>
    <w:rsid w:val="00821E47"/>
    <w:rsid w:val="00822570"/>
    <w:rsid w:val="008239E8"/>
    <w:rsid w:val="00825EA3"/>
    <w:rsid w:val="00826312"/>
    <w:rsid w:val="0083123F"/>
    <w:rsid w:val="00834AD5"/>
    <w:rsid w:val="00834E11"/>
    <w:rsid w:val="00834FE8"/>
    <w:rsid w:val="00835508"/>
    <w:rsid w:val="00840E03"/>
    <w:rsid w:val="0084126E"/>
    <w:rsid w:val="008441F2"/>
    <w:rsid w:val="008500C7"/>
    <w:rsid w:val="00851E13"/>
    <w:rsid w:val="008534B3"/>
    <w:rsid w:val="00867577"/>
    <w:rsid w:val="00871958"/>
    <w:rsid w:val="00873C45"/>
    <w:rsid w:val="00874CDD"/>
    <w:rsid w:val="00875D3C"/>
    <w:rsid w:val="00877EFC"/>
    <w:rsid w:val="00882C6E"/>
    <w:rsid w:val="0088661F"/>
    <w:rsid w:val="0089225B"/>
    <w:rsid w:val="008971E7"/>
    <w:rsid w:val="0089767B"/>
    <w:rsid w:val="008A4121"/>
    <w:rsid w:val="008B03D4"/>
    <w:rsid w:val="008B0AE5"/>
    <w:rsid w:val="008B323E"/>
    <w:rsid w:val="008B3871"/>
    <w:rsid w:val="008B3B04"/>
    <w:rsid w:val="008B4047"/>
    <w:rsid w:val="008B6102"/>
    <w:rsid w:val="008B788C"/>
    <w:rsid w:val="008D1628"/>
    <w:rsid w:val="008D2191"/>
    <w:rsid w:val="008D6A44"/>
    <w:rsid w:val="008D6A4C"/>
    <w:rsid w:val="008D6F1B"/>
    <w:rsid w:val="008E203B"/>
    <w:rsid w:val="008E20AF"/>
    <w:rsid w:val="008E2616"/>
    <w:rsid w:val="008E2E24"/>
    <w:rsid w:val="008E6100"/>
    <w:rsid w:val="008F336B"/>
    <w:rsid w:val="008F6944"/>
    <w:rsid w:val="008F7944"/>
    <w:rsid w:val="00907CE4"/>
    <w:rsid w:val="00911214"/>
    <w:rsid w:val="00912848"/>
    <w:rsid w:val="00913E06"/>
    <w:rsid w:val="0092219C"/>
    <w:rsid w:val="00926D6D"/>
    <w:rsid w:val="00926E07"/>
    <w:rsid w:val="0092708E"/>
    <w:rsid w:val="00927741"/>
    <w:rsid w:val="0093313D"/>
    <w:rsid w:val="00936126"/>
    <w:rsid w:val="00936703"/>
    <w:rsid w:val="00944013"/>
    <w:rsid w:val="00945226"/>
    <w:rsid w:val="00945D2F"/>
    <w:rsid w:val="00946238"/>
    <w:rsid w:val="00946825"/>
    <w:rsid w:val="00953B1D"/>
    <w:rsid w:val="00953DB9"/>
    <w:rsid w:val="00954756"/>
    <w:rsid w:val="00960DFF"/>
    <w:rsid w:val="00960F51"/>
    <w:rsid w:val="00961030"/>
    <w:rsid w:val="0096784C"/>
    <w:rsid w:val="00970309"/>
    <w:rsid w:val="00970DBA"/>
    <w:rsid w:val="00971537"/>
    <w:rsid w:val="00974993"/>
    <w:rsid w:val="00987028"/>
    <w:rsid w:val="009907E2"/>
    <w:rsid w:val="009A54E5"/>
    <w:rsid w:val="009A582A"/>
    <w:rsid w:val="009B20C8"/>
    <w:rsid w:val="009C2A1F"/>
    <w:rsid w:val="009D0DAC"/>
    <w:rsid w:val="009D36C4"/>
    <w:rsid w:val="009D3C59"/>
    <w:rsid w:val="009F1796"/>
    <w:rsid w:val="009F376C"/>
    <w:rsid w:val="009F551C"/>
    <w:rsid w:val="00A017B8"/>
    <w:rsid w:val="00A14034"/>
    <w:rsid w:val="00A17BCD"/>
    <w:rsid w:val="00A30CD8"/>
    <w:rsid w:val="00A337E3"/>
    <w:rsid w:val="00A35442"/>
    <w:rsid w:val="00A367DC"/>
    <w:rsid w:val="00A37A22"/>
    <w:rsid w:val="00A4314D"/>
    <w:rsid w:val="00A438DB"/>
    <w:rsid w:val="00A46120"/>
    <w:rsid w:val="00A511AD"/>
    <w:rsid w:val="00A5273D"/>
    <w:rsid w:val="00A5633F"/>
    <w:rsid w:val="00A57CDF"/>
    <w:rsid w:val="00A60A3A"/>
    <w:rsid w:val="00A6188A"/>
    <w:rsid w:val="00A62351"/>
    <w:rsid w:val="00A64D66"/>
    <w:rsid w:val="00A6633C"/>
    <w:rsid w:val="00A700F8"/>
    <w:rsid w:val="00A77F0D"/>
    <w:rsid w:val="00A84369"/>
    <w:rsid w:val="00A8571A"/>
    <w:rsid w:val="00A871AB"/>
    <w:rsid w:val="00A93ECD"/>
    <w:rsid w:val="00A979DD"/>
    <w:rsid w:val="00AA3F5F"/>
    <w:rsid w:val="00AB00F4"/>
    <w:rsid w:val="00AB689D"/>
    <w:rsid w:val="00AE0CB6"/>
    <w:rsid w:val="00AF4221"/>
    <w:rsid w:val="00AF487E"/>
    <w:rsid w:val="00AF5DA3"/>
    <w:rsid w:val="00AF61B1"/>
    <w:rsid w:val="00B030A1"/>
    <w:rsid w:val="00B07623"/>
    <w:rsid w:val="00B10CD2"/>
    <w:rsid w:val="00B111E5"/>
    <w:rsid w:val="00B136E5"/>
    <w:rsid w:val="00B13B76"/>
    <w:rsid w:val="00B15935"/>
    <w:rsid w:val="00B2443A"/>
    <w:rsid w:val="00B24886"/>
    <w:rsid w:val="00B305DE"/>
    <w:rsid w:val="00B3214E"/>
    <w:rsid w:val="00B343E4"/>
    <w:rsid w:val="00B36499"/>
    <w:rsid w:val="00B41FA7"/>
    <w:rsid w:val="00B56AB9"/>
    <w:rsid w:val="00B6006B"/>
    <w:rsid w:val="00B60587"/>
    <w:rsid w:val="00B64ABB"/>
    <w:rsid w:val="00B6735B"/>
    <w:rsid w:val="00B673D6"/>
    <w:rsid w:val="00B70BA6"/>
    <w:rsid w:val="00B74135"/>
    <w:rsid w:val="00B80369"/>
    <w:rsid w:val="00B82B29"/>
    <w:rsid w:val="00B90791"/>
    <w:rsid w:val="00B9583A"/>
    <w:rsid w:val="00B965F8"/>
    <w:rsid w:val="00BA29E3"/>
    <w:rsid w:val="00BA43F1"/>
    <w:rsid w:val="00BA6B83"/>
    <w:rsid w:val="00BB6E65"/>
    <w:rsid w:val="00BC354A"/>
    <w:rsid w:val="00BC5504"/>
    <w:rsid w:val="00BD4405"/>
    <w:rsid w:val="00BD4FB0"/>
    <w:rsid w:val="00BD6257"/>
    <w:rsid w:val="00BE0094"/>
    <w:rsid w:val="00BE3301"/>
    <w:rsid w:val="00BF44E5"/>
    <w:rsid w:val="00BF564E"/>
    <w:rsid w:val="00C16774"/>
    <w:rsid w:val="00C16F74"/>
    <w:rsid w:val="00C171C6"/>
    <w:rsid w:val="00C20737"/>
    <w:rsid w:val="00C212F4"/>
    <w:rsid w:val="00C3187F"/>
    <w:rsid w:val="00C345AE"/>
    <w:rsid w:val="00C34F8A"/>
    <w:rsid w:val="00C3667A"/>
    <w:rsid w:val="00C40848"/>
    <w:rsid w:val="00C43C5A"/>
    <w:rsid w:val="00C4496B"/>
    <w:rsid w:val="00C44BDF"/>
    <w:rsid w:val="00C47C05"/>
    <w:rsid w:val="00C5119A"/>
    <w:rsid w:val="00C5136C"/>
    <w:rsid w:val="00C63382"/>
    <w:rsid w:val="00C65274"/>
    <w:rsid w:val="00C66032"/>
    <w:rsid w:val="00C67BB8"/>
    <w:rsid w:val="00C7230D"/>
    <w:rsid w:val="00C748FD"/>
    <w:rsid w:val="00C759FA"/>
    <w:rsid w:val="00C76D67"/>
    <w:rsid w:val="00C833B9"/>
    <w:rsid w:val="00C84FF6"/>
    <w:rsid w:val="00C859A4"/>
    <w:rsid w:val="00CA4339"/>
    <w:rsid w:val="00CB54D4"/>
    <w:rsid w:val="00CC0433"/>
    <w:rsid w:val="00CC5224"/>
    <w:rsid w:val="00CC6C07"/>
    <w:rsid w:val="00CC768C"/>
    <w:rsid w:val="00CD0503"/>
    <w:rsid w:val="00CE3BE0"/>
    <w:rsid w:val="00CE5632"/>
    <w:rsid w:val="00CE63F4"/>
    <w:rsid w:val="00CF1578"/>
    <w:rsid w:val="00D028CB"/>
    <w:rsid w:val="00D042F2"/>
    <w:rsid w:val="00D10D1D"/>
    <w:rsid w:val="00D10F92"/>
    <w:rsid w:val="00D13105"/>
    <w:rsid w:val="00D15CED"/>
    <w:rsid w:val="00D17771"/>
    <w:rsid w:val="00D23B31"/>
    <w:rsid w:val="00D24312"/>
    <w:rsid w:val="00D24CCA"/>
    <w:rsid w:val="00D25E19"/>
    <w:rsid w:val="00D33C8C"/>
    <w:rsid w:val="00D35203"/>
    <w:rsid w:val="00D35A4F"/>
    <w:rsid w:val="00D411FE"/>
    <w:rsid w:val="00D45F8A"/>
    <w:rsid w:val="00D50B95"/>
    <w:rsid w:val="00D51698"/>
    <w:rsid w:val="00D51E1D"/>
    <w:rsid w:val="00D53BE4"/>
    <w:rsid w:val="00D6637C"/>
    <w:rsid w:val="00D7204F"/>
    <w:rsid w:val="00D72D26"/>
    <w:rsid w:val="00D74CDA"/>
    <w:rsid w:val="00D76470"/>
    <w:rsid w:val="00D8138A"/>
    <w:rsid w:val="00D81F3E"/>
    <w:rsid w:val="00D84B81"/>
    <w:rsid w:val="00D9066A"/>
    <w:rsid w:val="00D939AD"/>
    <w:rsid w:val="00DB27EE"/>
    <w:rsid w:val="00DB4CA7"/>
    <w:rsid w:val="00DB6092"/>
    <w:rsid w:val="00DC301E"/>
    <w:rsid w:val="00DD0CC8"/>
    <w:rsid w:val="00DD3216"/>
    <w:rsid w:val="00DD4A48"/>
    <w:rsid w:val="00DD7F47"/>
    <w:rsid w:val="00DE2A77"/>
    <w:rsid w:val="00DF15CE"/>
    <w:rsid w:val="00DF1ACA"/>
    <w:rsid w:val="00DF2AC3"/>
    <w:rsid w:val="00DF7762"/>
    <w:rsid w:val="00DF7AFE"/>
    <w:rsid w:val="00DF7F5D"/>
    <w:rsid w:val="00E1090D"/>
    <w:rsid w:val="00E12561"/>
    <w:rsid w:val="00E13DA0"/>
    <w:rsid w:val="00E1452A"/>
    <w:rsid w:val="00E14B8F"/>
    <w:rsid w:val="00E15B9B"/>
    <w:rsid w:val="00E21D9F"/>
    <w:rsid w:val="00E23A81"/>
    <w:rsid w:val="00E25D77"/>
    <w:rsid w:val="00E27741"/>
    <w:rsid w:val="00E27FC4"/>
    <w:rsid w:val="00E30D65"/>
    <w:rsid w:val="00E36147"/>
    <w:rsid w:val="00E43AA7"/>
    <w:rsid w:val="00E47A67"/>
    <w:rsid w:val="00E47E3F"/>
    <w:rsid w:val="00E52436"/>
    <w:rsid w:val="00E561AD"/>
    <w:rsid w:val="00E57C1E"/>
    <w:rsid w:val="00E67A0D"/>
    <w:rsid w:val="00E734BC"/>
    <w:rsid w:val="00E74059"/>
    <w:rsid w:val="00E769DF"/>
    <w:rsid w:val="00E8342F"/>
    <w:rsid w:val="00E846BC"/>
    <w:rsid w:val="00E85A4B"/>
    <w:rsid w:val="00E97E48"/>
    <w:rsid w:val="00EA1FBA"/>
    <w:rsid w:val="00EA4013"/>
    <w:rsid w:val="00EA60D9"/>
    <w:rsid w:val="00EB1CD0"/>
    <w:rsid w:val="00EC4609"/>
    <w:rsid w:val="00EC5AE1"/>
    <w:rsid w:val="00EC7164"/>
    <w:rsid w:val="00ED132B"/>
    <w:rsid w:val="00EE2F0C"/>
    <w:rsid w:val="00EE3285"/>
    <w:rsid w:val="00EE72D0"/>
    <w:rsid w:val="00EF3791"/>
    <w:rsid w:val="00EF477E"/>
    <w:rsid w:val="00EF4A0B"/>
    <w:rsid w:val="00F00A72"/>
    <w:rsid w:val="00F06072"/>
    <w:rsid w:val="00F06BF8"/>
    <w:rsid w:val="00F10CD5"/>
    <w:rsid w:val="00F14D16"/>
    <w:rsid w:val="00F1526E"/>
    <w:rsid w:val="00F24486"/>
    <w:rsid w:val="00F25B98"/>
    <w:rsid w:val="00F3327B"/>
    <w:rsid w:val="00F353FB"/>
    <w:rsid w:val="00F35BF9"/>
    <w:rsid w:val="00F375BC"/>
    <w:rsid w:val="00F413B8"/>
    <w:rsid w:val="00F42063"/>
    <w:rsid w:val="00F42D41"/>
    <w:rsid w:val="00F4339A"/>
    <w:rsid w:val="00F53A05"/>
    <w:rsid w:val="00F553CD"/>
    <w:rsid w:val="00F56487"/>
    <w:rsid w:val="00F6192C"/>
    <w:rsid w:val="00F62168"/>
    <w:rsid w:val="00F64684"/>
    <w:rsid w:val="00F65228"/>
    <w:rsid w:val="00F66C82"/>
    <w:rsid w:val="00F74DA1"/>
    <w:rsid w:val="00F843AA"/>
    <w:rsid w:val="00F877F9"/>
    <w:rsid w:val="00F87815"/>
    <w:rsid w:val="00F92FD1"/>
    <w:rsid w:val="00F96BBF"/>
    <w:rsid w:val="00FA684E"/>
    <w:rsid w:val="00FB2A9C"/>
    <w:rsid w:val="00FB2B42"/>
    <w:rsid w:val="00FC0760"/>
    <w:rsid w:val="00FC330B"/>
    <w:rsid w:val="00FC341C"/>
    <w:rsid w:val="00FC7D54"/>
    <w:rsid w:val="00FD053B"/>
    <w:rsid w:val="00FD4959"/>
    <w:rsid w:val="00FD6438"/>
    <w:rsid w:val="00FD65E5"/>
    <w:rsid w:val="00FE73CC"/>
    <w:rsid w:val="00FE74F7"/>
    <w:rsid w:val="00FF174C"/>
    <w:rsid w:val="00FF5366"/>
    <w:rsid w:val="00FF5C60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8D"/>
    <w:pPr>
      <w:spacing w:after="20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08D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13708D"/>
  </w:style>
  <w:style w:type="paragraph" w:customStyle="1" w:styleId="Standard">
    <w:name w:val="Standard"/>
    <w:rsid w:val="0013708D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8D"/>
    <w:pPr>
      <w:spacing w:after="20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08D"/>
    <w:rPr>
      <w:color w:val="0000FF" w:themeColor="hyperlink"/>
      <w:u w:val="single"/>
    </w:rPr>
  </w:style>
  <w:style w:type="character" w:customStyle="1" w:styleId="apple-style-span">
    <w:name w:val="apple-style-span"/>
    <w:basedOn w:val="a0"/>
    <w:rsid w:val="0013708D"/>
  </w:style>
  <w:style w:type="paragraph" w:customStyle="1" w:styleId="Standard">
    <w:name w:val="Standard"/>
    <w:rsid w:val="0013708D"/>
    <w:pPr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3659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Sevancov</dc:creator>
  <cp:keywords/>
  <dc:description/>
  <cp:lastModifiedBy>Veronica Tertea</cp:lastModifiedBy>
  <cp:revision>4</cp:revision>
  <dcterms:created xsi:type="dcterms:W3CDTF">2018-10-16T11:56:00Z</dcterms:created>
  <dcterms:modified xsi:type="dcterms:W3CDTF">2018-11-02T09:05:00Z</dcterms:modified>
</cp:coreProperties>
</file>