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206" w:rsidRDefault="00215206" w:rsidP="00215206">
      <w:pPr>
        <w:jc w:val="right"/>
        <w:rPr>
          <w:rFonts w:ascii="Times New Roman" w:hAnsi="Times New Roman"/>
          <w:b/>
          <w:i/>
          <w:sz w:val="20"/>
          <w:szCs w:val="20"/>
          <w:lang w:val="en-US"/>
        </w:rPr>
      </w:pPr>
      <w:proofErr w:type="spellStart"/>
      <w:proofErr w:type="gramStart"/>
      <w:r>
        <w:rPr>
          <w:rFonts w:ascii="Times New Roman" w:hAnsi="Times New Roman"/>
          <w:b/>
          <w:i/>
          <w:sz w:val="20"/>
          <w:szCs w:val="20"/>
          <w:lang w:val="en-US"/>
        </w:rPr>
        <w:t>proiect</w:t>
      </w:r>
      <w:proofErr w:type="spellEnd"/>
      <w:proofErr w:type="gramEnd"/>
    </w:p>
    <w:p w:rsidR="00215206" w:rsidRDefault="00215206" w:rsidP="00215206">
      <w:pPr>
        <w:jc w:val="center"/>
        <w:rPr>
          <w:rFonts w:ascii="Times New Roman" w:hAnsi="Times New Roman"/>
          <w:b/>
          <w:sz w:val="28"/>
          <w:szCs w:val="28"/>
          <w:lang w:val="en-US"/>
        </w:rPr>
      </w:pPr>
      <w:r>
        <w:rPr>
          <w:rFonts w:ascii="Times New Roman" w:hAnsi="Times New Roman"/>
          <w:b/>
          <w:sz w:val="28"/>
          <w:szCs w:val="28"/>
          <w:lang w:val="en-US"/>
        </w:rPr>
        <w:t>GUVERNUL REPUBLICII MOLDOVA</w:t>
      </w:r>
    </w:p>
    <w:p w:rsidR="00215206" w:rsidRDefault="00215206" w:rsidP="00215206">
      <w:pPr>
        <w:jc w:val="center"/>
        <w:rPr>
          <w:rFonts w:ascii="Times New Roman" w:hAnsi="Times New Roman"/>
          <w:b/>
          <w:sz w:val="28"/>
          <w:szCs w:val="28"/>
          <w:lang w:val="ro-RO"/>
        </w:rPr>
      </w:pPr>
      <w:r>
        <w:rPr>
          <w:rFonts w:ascii="Times New Roman" w:hAnsi="Times New Roman"/>
          <w:sz w:val="28"/>
          <w:szCs w:val="28"/>
          <w:lang w:val="en-US"/>
        </w:rPr>
        <w:t>HOT</w:t>
      </w:r>
      <w:r>
        <w:rPr>
          <w:rFonts w:ascii="Times New Roman" w:hAnsi="Times New Roman"/>
          <w:sz w:val="28"/>
          <w:szCs w:val="28"/>
          <w:lang w:val="ro-RO"/>
        </w:rPr>
        <w:t>ĂRÎRE</w:t>
      </w:r>
      <w:r>
        <w:rPr>
          <w:rFonts w:ascii="Times New Roman" w:hAnsi="Times New Roman"/>
          <w:b/>
          <w:sz w:val="28"/>
          <w:szCs w:val="28"/>
          <w:lang w:val="ro-RO"/>
        </w:rPr>
        <w:t xml:space="preserve"> </w:t>
      </w:r>
      <w:r>
        <w:rPr>
          <w:rFonts w:ascii="Times New Roman" w:hAnsi="Times New Roman"/>
          <w:sz w:val="28"/>
          <w:szCs w:val="28"/>
          <w:lang w:val="ro-RO"/>
        </w:rPr>
        <w:t>nr._____</w:t>
      </w:r>
    </w:p>
    <w:p w:rsidR="00215206" w:rsidRDefault="00215206" w:rsidP="00215206">
      <w:pPr>
        <w:jc w:val="center"/>
        <w:rPr>
          <w:rFonts w:ascii="Times New Roman" w:hAnsi="Times New Roman"/>
          <w:sz w:val="28"/>
          <w:szCs w:val="28"/>
          <w:lang w:val="en-US"/>
        </w:rPr>
      </w:pPr>
      <w:r>
        <w:rPr>
          <w:rFonts w:ascii="Times New Roman" w:hAnsi="Times New Roman"/>
          <w:sz w:val="28"/>
          <w:szCs w:val="28"/>
          <w:lang w:val="ro-RO"/>
        </w:rPr>
        <w:t>din ______________________201</w:t>
      </w:r>
      <w:r>
        <w:rPr>
          <w:rFonts w:ascii="Times New Roman" w:hAnsi="Times New Roman"/>
          <w:sz w:val="28"/>
          <w:szCs w:val="28"/>
          <w:lang w:val="en-US"/>
        </w:rPr>
        <w:t>8</w:t>
      </w:r>
    </w:p>
    <w:p w:rsidR="00215206" w:rsidRDefault="00215206" w:rsidP="00215206">
      <w:pPr>
        <w:jc w:val="center"/>
        <w:rPr>
          <w:rFonts w:ascii="Times New Roman" w:hAnsi="Times New Roman"/>
          <w:sz w:val="28"/>
          <w:szCs w:val="28"/>
          <w:lang w:val="ro-RO"/>
        </w:rPr>
      </w:pPr>
      <w:r>
        <w:rPr>
          <w:rFonts w:ascii="Times New Roman" w:hAnsi="Times New Roman"/>
          <w:sz w:val="28"/>
          <w:szCs w:val="28"/>
          <w:lang w:val="ro-RO"/>
        </w:rPr>
        <w:t>Chişinău</w:t>
      </w:r>
    </w:p>
    <w:p w:rsidR="00215206" w:rsidRDefault="00215206" w:rsidP="00215206">
      <w:pPr>
        <w:jc w:val="center"/>
        <w:rPr>
          <w:rFonts w:ascii="Times New Roman" w:hAnsi="Times New Roman"/>
          <w:b/>
          <w:sz w:val="28"/>
          <w:szCs w:val="28"/>
          <w:lang w:val="ro-RO"/>
        </w:rPr>
      </w:pPr>
      <w:r>
        <w:rPr>
          <w:rFonts w:ascii="Times New Roman" w:hAnsi="Times New Roman"/>
          <w:b/>
          <w:sz w:val="28"/>
          <w:szCs w:val="28"/>
          <w:lang w:val="ro-RO"/>
        </w:rPr>
        <w:t>Cu privire la reorganizarea</w:t>
      </w:r>
    </w:p>
    <w:p w:rsidR="00215206" w:rsidRDefault="00215206" w:rsidP="00215206">
      <w:pPr>
        <w:jc w:val="center"/>
        <w:rPr>
          <w:rFonts w:ascii="Times New Roman" w:hAnsi="Times New Roman"/>
          <w:b/>
          <w:sz w:val="28"/>
          <w:szCs w:val="28"/>
          <w:lang w:val="ro-RO"/>
        </w:rPr>
      </w:pPr>
      <w:r>
        <w:rPr>
          <w:rFonts w:ascii="Times New Roman" w:hAnsi="Times New Roman"/>
          <w:b/>
          <w:sz w:val="28"/>
          <w:szCs w:val="28"/>
          <w:lang w:val="ro-RO"/>
        </w:rPr>
        <w:t xml:space="preserve">Universității de Stat de Medicină şi Farmacie „Nicolae </w:t>
      </w:r>
      <w:proofErr w:type="spellStart"/>
      <w:r>
        <w:rPr>
          <w:rFonts w:ascii="Times New Roman" w:hAnsi="Times New Roman"/>
          <w:b/>
          <w:sz w:val="28"/>
          <w:szCs w:val="28"/>
          <w:lang w:val="ro-RO"/>
        </w:rPr>
        <w:t>Testemiţanu</w:t>
      </w:r>
      <w:proofErr w:type="spellEnd"/>
      <w:r>
        <w:rPr>
          <w:rFonts w:ascii="Times New Roman" w:hAnsi="Times New Roman"/>
          <w:b/>
          <w:sz w:val="28"/>
          <w:szCs w:val="28"/>
          <w:lang w:val="ro-RO"/>
        </w:rPr>
        <w:t xml:space="preserve">” </w:t>
      </w:r>
    </w:p>
    <w:p w:rsidR="00215206" w:rsidRDefault="00215206" w:rsidP="00215206">
      <w:pPr>
        <w:jc w:val="center"/>
        <w:rPr>
          <w:rFonts w:ascii="Times New Roman" w:hAnsi="Times New Roman"/>
          <w:b/>
          <w:sz w:val="28"/>
          <w:szCs w:val="28"/>
          <w:lang w:val="ro-RO"/>
        </w:rPr>
      </w:pPr>
      <w:r>
        <w:rPr>
          <w:rFonts w:ascii="Times New Roman" w:hAnsi="Times New Roman"/>
          <w:b/>
          <w:sz w:val="28"/>
          <w:szCs w:val="28"/>
          <w:lang w:val="ro-RO"/>
        </w:rPr>
        <w:t>_______________________________________________</w:t>
      </w:r>
    </w:p>
    <w:p w:rsidR="00215206" w:rsidRDefault="00215206" w:rsidP="00215206">
      <w:pPr>
        <w:rPr>
          <w:rFonts w:ascii="Times New Roman" w:hAnsi="Times New Roman"/>
          <w:b/>
          <w:sz w:val="28"/>
          <w:szCs w:val="28"/>
          <w:lang w:val="ro-RO"/>
        </w:rPr>
      </w:pPr>
    </w:p>
    <w:p w:rsidR="00215206" w:rsidRDefault="00215206" w:rsidP="00215206">
      <w:pPr>
        <w:spacing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În temeiul art. 7 lit. e) din Legea nr. 136 cu privire la Guvern (Monitorul Oficial al Republicii Moldova, 2002, nr. 82–86, art. 661), art. 32 alin. (2) din Legea privind administraţia publică centrală de specialitate nr. 98 din 4 mai 2012 (Monitorul Oficial al Republicii Moldova, 2012, nr. </w:t>
      </w:r>
      <w:r w:rsidRPr="00215206">
        <w:rPr>
          <w:rFonts w:ascii="Times New Roman" w:hAnsi="Times New Roman"/>
          <w:sz w:val="28"/>
          <w:szCs w:val="28"/>
          <w:lang w:val="ro-RO"/>
        </w:rPr>
        <w:t>160</w:t>
      </w:r>
      <w:r>
        <w:rPr>
          <w:rFonts w:ascii="Times New Roman" w:hAnsi="Times New Roman"/>
          <w:sz w:val="28"/>
          <w:szCs w:val="28"/>
          <w:lang w:val="ro-RO"/>
        </w:rPr>
        <w:t>–</w:t>
      </w:r>
      <w:r w:rsidRPr="00215206">
        <w:rPr>
          <w:rFonts w:ascii="Times New Roman" w:hAnsi="Times New Roman"/>
          <w:sz w:val="28"/>
          <w:szCs w:val="28"/>
          <w:lang w:val="ro-RO"/>
        </w:rPr>
        <w:t>164</w:t>
      </w:r>
      <w:r>
        <w:rPr>
          <w:rFonts w:ascii="Times New Roman" w:hAnsi="Times New Roman"/>
          <w:sz w:val="28"/>
          <w:szCs w:val="28"/>
          <w:lang w:val="ro-RO"/>
        </w:rPr>
        <w:t xml:space="preserve">, art. 537), cu modificările și completările ulterioare, pentru eficientizarea activităţii Instituției Publice de Învățământ Superior Universitatea de Stat de Medicină şi Farmacie „Nicolae </w:t>
      </w:r>
      <w:proofErr w:type="spellStart"/>
      <w:r>
        <w:rPr>
          <w:rFonts w:ascii="Times New Roman" w:hAnsi="Times New Roman"/>
          <w:sz w:val="28"/>
          <w:szCs w:val="28"/>
          <w:lang w:val="ro-RO"/>
        </w:rPr>
        <w:t>Testemiţanu</w:t>
      </w:r>
      <w:proofErr w:type="spellEnd"/>
      <w:r>
        <w:rPr>
          <w:rFonts w:ascii="Times New Roman" w:hAnsi="Times New Roman"/>
          <w:sz w:val="28"/>
          <w:szCs w:val="28"/>
          <w:lang w:val="ro-RO"/>
        </w:rPr>
        <w:t xml:space="preserve">”, Guvernul </w:t>
      </w:r>
      <w:r>
        <w:rPr>
          <w:rFonts w:ascii="Times New Roman" w:hAnsi="Times New Roman"/>
          <w:b/>
          <w:sz w:val="28"/>
          <w:szCs w:val="28"/>
          <w:lang w:val="ro-RO"/>
        </w:rPr>
        <w:t>HOTĂRĂŞTE:</w:t>
      </w:r>
    </w:p>
    <w:p w:rsidR="00215206" w:rsidRDefault="00215206" w:rsidP="00215206">
      <w:pPr>
        <w:pStyle w:val="1"/>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 Se acceptă propunerea Ministerului Sănătăţii, Muncii și Protecției Sociale privind reorganizarea Instituției Publice de Învățământ Superior Universitatea de Stat de Medicină şi Farmacie „Nicolae </w:t>
      </w:r>
      <w:proofErr w:type="spellStart"/>
      <w:r>
        <w:rPr>
          <w:rFonts w:ascii="Times New Roman" w:hAnsi="Times New Roman"/>
          <w:sz w:val="28"/>
          <w:szCs w:val="28"/>
          <w:lang w:val="ro-RO"/>
        </w:rPr>
        <w:t>Testemiţanu</w:t>
      </w:r>
      <w:proofErr w:type="spellEnd"/>
      <w:r>
        <w:rPr>
          <w:rFonts w:ascii="Times New Roman" w:hAnsi="Times New Roman"/>
          <w:sz w:val="28"/>
          <w:szCs w:val="28"/>
          <w:lang w:val="ro-RO"/>
        </w:rPr>
        <w:t>” prin fuziune (absorbţie) a Întreprinderii de Stat „Curierul medical”, devenind succesoare de drepturi şi obligaţii a întreprinderii absorbite.</w:t>
      </w:r>
    </w:p>
    <w:p w:rsidR="00215206" w:rsidRDefault="00215206" w:rsidP="00215206">
      <w:pPr>
        <w:pStyle w:val="1"/>
        <w:spacing w:line="240" w:lineRule="auto"/>
        <w:ind w:left="0"/>
        <w:jc w:val="both"/>
        <w:rPr>
          <w:rFonts w:ascii="Times New Roman" w:hAnsi="Times New Roman"/>
          <w:sz w:val="14"/>
          <w:szCs w:val="14"/>
          <w:lang w:val="ro-RO"/>
        </w:rPr>
      </w:pPr>
    </w:p>
    <w:p w:rsidR="00215206" w:rsidRDefault="00215206" w:rsidP="00215206">
      <w:pPr>
        <w:pStyle w:val="1"/>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2. Ministerul Sănătăţii, Muncii și Protecției Sociale:</w:t>
      </w:r>
    </w:p>
    <w:p w:rsidR="00215206" w:rsidRDefault="00215206" w:rsidP="00215206">
      <w:pPr>
        <w:pStyle w:val="1"/>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1) va crea, în termen de o lună, comisia de reorganizare a instituției nominalizate;</w:t>
      </w:r>
    </w:p>
    <w:p w:rsidR="00215206" w:rsidRDefault="00215206" w:rsidP="00215206">
      <w:pPr>
        <w:pStyle w:val="1"/>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2) va asigura, prin intermediul comisiei de reorganizare, efectuarea procedurii de absorbţie şi transmiterea patrimoniului de la Întreprinderea de Stat „Curierul medical” către Instituția Publică de Învățământ Superior Universitatea de Stat de Medicină şi Farmacie „Nicolae </w:t>
      </w:r>
      <w:proofErr w:type="spellStart"/>
      <w:r>
        <w:rPr>
          <w:rFonts w:ascii="Times New Roman" w:hAnsi="Times New Roman"/>
          <w:sz w:val="28"/>
          <w:szCs w:val="28"/>
          <w:lang w:val="ro-RO"/>
        </w:rPr>
        <w:t>Testemiţanu</w:t>
      </w:r>
      <w:proofErr w:type="spellEnd"/>
      <w:r>
        <w:rPr>
          <w:rFonts w:ascii="Times New Roman" w:hAnsi="Times New Roman"/>
          <w:sz w:val="28"/>
          <w:szCs w:val="28"/>
          <w:lang w:val="ro-RO"/>
        </w:rPr>
        <w:t xml:space="preserve">”, potrivit prevederilor Regulamentului cu privire la modul de transmitere a bunurilor proprietate publică, aprobat prin </w:t>
      </w:r>
      <w:proofErr w:type="spellStart"/>
      <w:r>
        <w:rPr>
          <w:rFonts w:ascii="Times New Roman" w:hAnsi="Times New Roman"/>
          <w:sz w:val="28"/>
          <w:szCs w:val="28"/>
          <w:lang w:val="ro-RO"/>
        </w:rPr>
        <w:t>Hotărîrea</w:t>
      </w:r>
      <w:proofErr w:type="spellEnd"/>
      <w:r>
        <w:rPr>
          <w:rFonts w:ascii="Times New Roman" w:hAnsi="Times New Roman"/>
          <w:sz w:val="28"/>
          <w:szCs w:val="28"/>
          <w:lang w:val="ro-RO"/>
        </w:rPr>
        <w:t xml:space="preserve"> Guvernului nr. 901 din 31 decembrie 2015 (Monitorul Oficial al Republicii Moldova, 2016, nr. 1, art. 2), cu modificările şi completările ulterioare;</w:t>
      </w:r>
    </w:p>
    <w:p w:rsidR="00215206" w:rsidRDefault="00215206" w:rsidP="00215206">
      <w:pPr>
        <w:pStyle w:val="1"/>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3)  va prezenta Guvernului spre aprobare actele normative care reglementează activitatea Instituției Publice de Învățământ Superior Universitatea de Stat de Medicină şi Farmacie „Nicolae </w:t>
      </w:r>
      <w:proofErr w:type="spellStart"/>
      <w:r>
        <w:rPr>
          <w:rFonts w:ascii="Times New Roman" w:hAnsi="Times New Roman"/>
          <w:sz w:val="28"/>
          <w:szCs w:val="28"/>
          <w:lang w:val="ro-RO"/>
        </w:rPr>
        <w:t>Testemiţanu</w:t>
      </w:r>
      <w:proofErr w:type="spellEnd"/>
      <w:r>
        <w:rPr>
          <w:rFonts w:ascii="Times New Roman" w:hAnsi="Times New Roman"/>
          <w:sz w:val="28"/>
          <w:szCs w:val="28"/>
          <w:lang w:val="ro-RO"/>
        </w:rPr>
        <w:t>”, care necesită să fie modificate ori completate urmare a procedurii de reorganizare propusă de prezenta hotărâre.</w:t>
      </w:r>
    </w:p>
    <w:p w:rsidR="00215206" w:rsidRPr="00215206" w:rsidRDefault="00215206" w:rsidP="00215206">
      <w:pPr>
        <w:pStyle w:val="1"/>
        <w:spacing w:line="240" w:lineRule="auto"/>
        <w:ind w:left="0"/>
        <w:jc w:val="both"/>
        <w:rPr>
          <w:rFonts w:ascii="Times New Roman" w:hAnsi="Times New Roman"/>
          <w:sz w:val="14"/>
          <w:szCs w:val="14"/>
          <w:lang w:val="ro-RO"/>
        </w:rPr>
      </w:pPr>
    </w:p>
    <w:p w:rsidR="00215206" w:rsidRDefault="00215206" w:rsidP="00215206">
      <w:pPr>
        <w:pStyle w:val="1"/>
        <w:spacing w:line="240" w:lineRule="auto"/>
        <w:ind w:left="0" w:firstLine="709"/>
        <w:jc w:val="both"/>
        <w:rPr>
          <w:rFonts w:ascii="Times New Roman" w:hAnsi="Times New Roman"/>
          <w:sz w:val="28"/>
          <w:szCs w:val="28"/>
          <w:lang w:val="ro-RO"/>
        </w:rPr>
      </w:pPr>
      <w:r w:rsidRPr="00215206">
        <w:rPr>
          <w:rFonts w:ascii="Times New Roman" w:hAnsi="Times New Roman"/>
          <w:sz w:val="28"/>
          <w:szCs w:val="28"/>
          <w:lang w:val="fr-FR"/>
        </w:rPr>
        <w:lastRenderedPageBreak/>
        <w:t xml:space="preserve">3. </w:t>
      </w:r>
      <w:r>
        <w:rPr>
          <w:rFonts w:ascii="Times New Roman" w:hAnsi="Times New Roman"/>
          <w:sz w:val="28"/>
          <w:szCs w:val="28"/>
          <w:lang w:val="ro-RO"/>
        </w:rPr>
        <w:t xml:space="preserve">Agenţia Servicii Publice va asigura modificările corespunzătoare în registrele de stat, în conformitate cu prevederile prezentei </w:t>
      </w:r>
      <w:proofErr w:type="spellStart"/>
      <w:r>
        <w:rPr>
          <w:rFonts w:ascii="Times New Roman" w:hAnsi="Times New Roman"/>
          <w:sz w:val="28"/>
          <w:szCs w:val="28"/>
          <w:lang w:val="ro-RO"/>
        </w:rPr>
        <w:t>hotărîri</w:t>
      </w:r>
      <w:proofErr w:type="spellEnd"/>
      <w:r>
        <w:rPr>
          <w:rFonts w:ascii="Times New Roman" w:hAnsi="Times New Roman"/>
          <w:sz w:val="28"/>
          <w:szCs w:val="28"/>
          <w:lang w:val="ro-RO"/>
        </w:rPr>
        <w:t xml:space="preserve">. </w:t>
      </w:r>
    </w:p>
    <w:p w:rsidR="00215206" w:rsidRDefault="00215206" w:rsidP="00215206">
      <w:pPr>
        <w:pStyle w:val="1"/>
        <w:spacing w:line="240" w:lineRule="auto"/>
        <w:jc w:val="both"/>
        <w:rPr>
          <w:rFonts w:ascii="Times New Roman" w:hAnsi="Times New Roman"/>
          <w:sz w:val="14"/>
          <w:szCs w:val="14"/>
          <w:lang w:val="ro-RO"/>
        </w:rPr>
      </w:pPr>
    </w:p>
    <w:p w:rsidR="00215206" w:rsidRDefault="00215206" w:rsidP="00215206">
      <w:pPr>
        <w:pStyle w:val="1"/>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4. Poziția a  doua din anexa nr. 5 la </w:t>
      </w:r>
      <w:proofErr w:type="spellStart"/>
      <w:r>
        <w:rPr>
          <w:rFonts w:ascii="Times New Roman" w:hAnsi="Times New Roman"/>
          <w:sz w:val="28"/>
          <w:szCs w:val="28"/>
          <w:lang w:val="ro-RO"/>
        </w:rPr>
        <w:t>Hotărîrea</w:t>
      </w:r>
      <w:proofErr w:type="spellEnd"/>
      <w:r>
        <w:rPr>
          <w:rFonts w:ascii="Times New Roman" w:hAnsi="Times New Roman"/>
          <w:sz w:val="28"/>
          <w:szCs w:val="28"/>
          <w:lang w:val="ro-RO"/>
        </w:rPr>
        <w:t xml:space="preserve"> Guvernului nr. 397 din 31 mai 2011 „Pentru aprobarea Regulamentului privind organizarea și funcționarea Ministerului Sănătății, structurii şi efectivului–limită ale aparatului central al acestuia” (Monitorul Oficial al Republicii Moldova, 2011, nr. 95, art. 458), cu modificările şi completările ulterioare, se exclude.</w:t>
      </w:r>
    </w:p>
    <w:p w:rsidR="00215206" w:rsidRDefault="00215206" w:rsidP="00215206">
      <w:pPr>
        <w:pStyle w:val="1"/>
        <w:spacing w:line="240" w:lineRule="auto"/>
        <w:ind w:left="795"/>
        <w:jc w:val="both"/>
        <w:rPr>
          <w:rFonts w:ascii="Times New Roman" w:hAnsi="Times New Roman"/>
          <w:sz w:val="28"/>
          <w:szCs w:val="28"/>
          <w:lang w:val="ro-RO"/>
        </w:rPr>
      </w:pPr>
    </w:p>
    <w:p w:rsidR="00215206" w:rsidRDefault="00215206" w:rsidP="00215206">
      <w:pPr>
        <w:pStyle w:val="1"/>
        <w:spacing w:line="240" w:lineRule="auto"/>
        <w:ind w:left="795"/>
        <w:jc w:val="both"/>
        <w:rPr>
          <w:rFonts w:ascii="Times New Roman" w:hAnsi="Times New Roman"/>
          <w:b/>
          <w:sz w:val="28"/>
          <w:szCs w:val="28"/>
          <w:lang w:val="ro-RO"/>
        </w:rPr>
      </w:pPr>
    </w:p>
    <w:p w:rsidR="00215206" w:rsidRDefault="00215206" w:rsidP="00215206">
      <w:pPr>
        <w:pStyle w:val="1"/>
        <w:spacing w:line="240" w:lineRule="auto"/>
        <w:ind w:left="795"/>
        <w:jc w:val="both"/>
        <w:rPr>
          <w:rFonts w:ascii="Times New Roman" w:hAnsi="Times New Roman"/>
          <w:b/>
          <w:sz w:val="28"/>
          <w:szCs w:val="28"/>
          <w:lang w:val="ro-RO"/>
        </w:rPr>
      </w:pPr>
      <w:r>
        <w:rPr>
          <w:rFonts w:ascii="Times New Roman" w:hAnsi="Times New Roman"/>
          <w:b/>
          <w:sz w:val="28"/>
          <w:szCs w:val="28"/>
          <w:lang w:val="ro-RO"/>
        </w:rPr>
        <w:t>PRIM MINISTRU                                                               Pavel FILIP</w:t>
      </w:r>
    </w:p>
    <w:p w:rsidR="00215206" w:rsidRDefault="00215206" w:rsidP="00215206">
      <w:pPr>
        <w:pStyle w:val="1"/>
        <w:spacing w:line="240" w:lineRule="auto"/>
        <w:ind w:left="795"/>
        <w:jc w:val="both"/>
        <w:rPr>
          <w:rFonts w:ascii="Times New Roman" w:hAnsi="Times New Roman"/>
          <w:b/>
          <w:sz w:val="28"/>
          <w:szCs w:val="28"/>
          <w:lang w:val="ro-RO"/>
        </w:rPr>
      </w:pPr>
    </w:p>
    <w:p w:rsidR="00215206" w:rsidRDefault="00215206" w:rsidP="00215206">
      <w:pPr>
        <w:pStyle w:val="1"/>
        <w:spacing w:line="240" w:lineRule="auto"/>
        <w:ind w:left="795"/>
        <w:jc w:val="both"/>
        <w:rPr>
          <w:rFonts w:ascii="Times New Roman" w:hAnsi="Times New Roman"/>
          <w:b/>
          <w:sz w:val="28"/>
          <w:szCs w:val="28"/>
          <w:lang w:val="ro-RO"/>
        </w:rPr>
      </w:pPr>
    </w:p>
    <w:p w:rsidR="00215206" w:rsidRDefault="00215206" w:rsidP="00215206">
      <w:pPr>
        <w:pStyle w:val="1"/>
        <w:spacing w:line="240" w:lineRule="auto"/>
        <w:ind w:left="795"/>
        <w:jc w:val="both"/>
        <w:rPr>
          <w:rFonts w:ascii="Times New Roman" w:hAnsi="Times New Roman"/>
          <w:sz w:val="28"/>
          <w:szCs w:val="28"/>
          <w:lang w:val="ro-RO"/>
        </w:rPr>
      </w:pPr>
      <w:r>
        <w:rPr>
          <w:rFonts w:ascii="Times New Roman" w:hAnsi="Times New Roman"/>
          <w:sz w:val="28"/>
          <w:szCs w:val="28"/>
          <w:lang w:val="ro-RO"/>
        </w:rPr>
        <w:t>Contrasemnează:</w:t>
      </w:r>
    </w:p>
    <w:p w:rsidR="00215206" w:rsidRDefault="00215206" w:rsidP="00215206">
      <w:pPr>
        <w:pStyle w:val="1"/>
        <w:spacing w:line="240" w:lineRule="auto"/>
        <w:ind w:left="795"/>
        <w:jc w:val="both"/>
        <w:rPr>
          <w:rFonts w:ascii="Times New Roman" w:hAnsi="Times New Roman"/>
          <w:sz w:val="28"/>
          <w:szCs w:val="28"/>
          <w:lang w:val="ro-RO"/>
        </w:rPr>
      </w:pPr>
    </w:p>
    <w:p w:rsidR="00215206" w:rsidRDefault="00215206" w:rsidP="00215206">
      <w:pPr>
        <w:pStyle w:val="1"/>
        <w:spacing w:line="240" w:lineRule="auto"/>
        <w:ind w:left="795"/>
        <w:jc w:val="both"/>
        <w:rPr>
          <w:rFonts w:ascii="Times New Roman" w:hAnsi="Times New Roman"/>
          <w:sz w:val="28"/>
          <w:szCs w:val="28"/>
          <w:lang w:val="ro-RO"/>
        </w:rPr>
      </w:pPr>
    </w:p>
    <w:p w:rsidR="00215206" w:rsidRDefault="00215206" w:rsidP="00215206">
      <w:pPr>
        <w:pStyle w:val="1"/>
        <w:spacing w:line="240" w:lineRule="auto"/>
        <w:ind w:left="795"/>
        <w:jc w:val="both"/>
        <w:rPr>
          <w:rFonts w:ascii="Times New Roman" w:hAnsi="Times New Roman"/>
          <w:sz w:val="28"/>
          <w:szCs w:val="28"/>
          <w:lang w:val="ro-RO"/>
        </w:rPr>
      </w:pPr>
      <w:r>
        <w:rPr>
          <w:rFonts w:ascii="Times New Roman" w:hAnsi="Times New Roman"/>
          <w:sz w:val="28"/>
          <w:szCs w:val="28"/>
          <w:lang w:val="ro-RO"/>
        </w:rPr>
        <w:t>Ministrul sănătăţii,                                                   Svetlana CEBOTARI</w:t>
      </w:r>
    </w:p>
    <w:p w:rsidR="00215206" w:rsidRDefault="00215206" w:rsidP="00215206">
      <w:pPr>
        <w:pStyle w:val="1"/>
        <w:spacing w:line="240" w:lineRule="auto"/>
        <w:ind w:left="795"/>
        <w:jc w:val="both"/>
        <w:rPr>
          <w:rFonts w:ascii="Times New Roman" w:hAnsi="Times New Roman"/>
          <w:sz w:val="28"/>
          <w:szCs w:val="28"/>
          <w:lang w:val="ro-RO"/>
        </w:rPr>
      </w:pPr>
      <w:r>
        <w:rPr>
          <w:rFonts w:ascii="Times New Roman" w:hAnsi="Times New Roman"/>
          <w:sz w:val="28"/>
          <w:szCs w:val="28"/>
          <w:lang w:val="ro-RO"/>
        </w:rPr>
        <w:t>muncii și protecției sociale</w:t>
      </w:r>
    </w:p>
    <w:p w:rsidR="00215206" w:rsidRDefault="00215206" w:rsidP="00215206">
      <w:pPr>
        <w:rPr>
          <w:lang w:val="ro-RO"/>
        </w:rPr>
      </w:pPr>
    </w:p>
    <w:p w:rsidR="00215206" w:rsidRDefault="00215206" w:rsidP="00215206">
      <w:pPr>
        <w:rPr>
          <w:lang w:val="ro-RO"/>
        </w:rPr>
      </w:pPr>
    </w:p>
    <w:p w:rsidR="00215206" w:rsidRDefault="00215206" w:rsidP="00215206">
      <w:pPr>
        <w:rPr>
          <w:lang w:val="ro-RO"/>
        </w:rPr>
      </w:pPr>
    </w:p>
    <w:p w:rsidR="007B3610" w:rsidRPr="00215206" w:rsidRDefault="007B3610">
      <w:pPr>
        <w:rPr>
          <w:lang w:val="ro-RO"/>
        </w:rPr>
      </w:pPr>
      <w:bookmarkStart w:id="0" w:name="_GoBack"/>
      <w:bookmarkEnd w:id="0"/>
    </w:p>
    <w:sectPr w:rsidR="007B3610" w:rsidRPr="002152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06"/>
    <w:rsid w:val="00215206"/>
    <w:rsid w:val="00337762"/>
    <w:rsid w:val="007B3610"/>
    <w:rsid w:val="008A2FDC"/>
    <w:rsid w:val="00BF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06"/>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21520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06"/>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21520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0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Bucur</dc:creator>
  <cp:lastModifiedBy>Ana Bucur</cp:lastModifiedBy>
  <cp:revision>1</cp:revision>
  <dcterms:created xsi:type="dcterms:W3CDTF">2018-06-20T11:58:00Z</dcterms:created>
  <dcterms:modified xsi:type="dcterms:W3CDTF">2018-06-20T12:00:00Z</dcterms:modified>
</cp:coreProperties>
</file>