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8DF" w:rsidRPr="0074614F" w:rsidRDefault="002938DF" w:rsidP="002938DF">
      <w:pPr>
        <w:spacing w:after="0" w:line="240" w:lineRule="auto"/>
        <w:jc w:val="center"/>
        <w:rPr>
          <w:rFonts w:ascii="Times New Roman" w:hAnsi="Times New Roman" w:cs="Times New Roman"/>
          <w:b/>
          <w:sz w:val="26"/>
          <w:szCs w:val="26"/>
          <w:lang w:val="ro-MO"/>
        </w:rPr>
      </w:pPr>
      <w:r w:rsidRPr="0074614F">
        <w:rPr>
          <w:rFonts w:ascii="Times New Roman" w:hAnsi="Times New Roman" w:cs="Times New Roman"/>
          <w:b/>
          <w:sz w:val="26"/>
          <w:szCs w:val="26"/>
          <w:lang w:val="ro-MO"/>
        </w:rPr>
        <w:t xml:space="preserve">NOTĂ DE FUNDAMENTARE </w:t>
      </w:r>
    </w:p>
    <w:p w:rsidR="002938DF" w:rsidRPr="0074614F" w:rsidRDefault="002938DF" w:rsidP="002938DF">
      <w:pPr>
        <w:spacing w:after="0" w:line="240" w:lineRule="auto"/>
        <w:jc w:val="center"/>
        <w:rPr>
          <w:rFonts w:ascii="Times New Roman" w:eastAsia="Times New Roman" w:hAnsi="Times New Roman" w:cs="Times New Roman"/>
          <w:bCs/>
          <w:sz w:val="26"/>
          <w:szCs w:val="26"/>
          <w:lang w:val="ro-MO" w:eastAsia="ru-RU"/>
        </w:rPr>
      </w:pPr>
      <w:r w:rsidRPr="0074614F">
        <w:rPr>
          <w:rFonts w:ascii="Times New Roman" w:hAnsi="Times New Roman" w:cs="Times New Roman"/>
          <w:sz w:val="26"/>
          <w:szCs w:val="26"/>
          <w:lang w:val="ro-MO"/>
        </w:rPr>
        <w:t>a proiectului de lege</w:t>
      </w:r>
      <w:r w:rsidRPr="0074614F">
        <w:rPr>
          <w:rFonts w:ascii="Times New Roman" w:eastAsia="Times New Roman" w:hAnsi="Times New Roman" w:cs="Times New Roman"/>
          <w:bCs/>
          <w:sz w:val="26"/>
          <w:szCs w:val="26"/>
          <w:lang w:val="ro-MO" w:eastAsia="ru-RU"/>
        </w:rPr>
        <w:t xml:space="preserve"> pentru modificarea şi completarea </w:t>
      </w:r>
    </w:p>
    <w:p w:rsidR="002938DF" w:rsidRPr="0074614F" w:rsidRDefault="002938DF" w:rsidP="002938DF">
      <w:pPr>
        <w:spacing w:after="0" w:line="240" w:lineRule="auto"/>
        <w:jc w:val="center"/>
        <w:rPr>
          <w:rFonts w:ascii="Times New Roman" w:eastAsia="Times New Roman" w:hAnsi="Times New Roman" w:cs="Times New Roman"/>
          <w:sz w:val="26"/>
          <w:szCs w:val="26"/>
          <w:lang w:val="ro-MO" w:eastAsia="ru-RU"/>
        </w:rPr>
      </w:pPr>
      <w:r w:rsidRPr="0074614F">
        <w:rPr>
          <w:rFonts w:ascii="Times New Roman" w:eastAsia="Times New Roman" w:hAnsi="Times New Roman" w:cs="Times New Roman"/>
          <w:bCs/>
          <w:sz w:val="26"/>
          <w:szCs w:val="26"/>
          <w:lang w:val="ro-MO" w:eastAsia="ru-RU"/>
        </w:rPr>
        <w:t xml:space="preserve">Legii </w:t>
      </w:r>
      <w:r>
        <w:fldChar w:fldCharType="begin"/>
      </w:r>
      <w:r w:rsidRPr="002938DF">
        <w:rPr>
          <w:lang w:val="en-US"/>
        </w:rPr>
        <w:instrText xml:space="preserve"> HYPERLINK "lex:LPLP20051223355" </w:instrText>
      </w:r>
      <w:r>
        <w:fldChar w:fldCharType="separate"/>
      </w:r>
      <w:r w:rsidRPr="0074614F">
        <w:rPr>
          <w:rFonts w:ascii="Times New Roman" w:eastAsia="Times New Roman" w:hAnsi="Times New Roman" w:cs="Times New Roman"/>
          <w:sz w:val="26"/>
          <w:szCs w:val="26"/>
          <w:lang w:val="ro-MO" w:eastAsia="ru-RU"/>
        </w:rPr>
        <w:t>nr.355-XVI din 23 decembrie 2005</w:t>
      </w:r>
      <w:r>
        <w:rPr>
          <w:rFonts w:ascii="Times New Roman" w:eastAsia="Times New Roman" w:hAnsi="Times New Roman" w:cs="Times New Roman"/>
          <w:sz w:val="26"/>
          <w:szCs w:val="26"/>
          <w:lang w:val="ro-MO" w:eastAsia="ru-RU"/>
        </w:rPr>
        <w:fldChar w:fldCharType="end"/>
      </w:r>
      <w:r w:rsidRPr="0074614F">
        <w:rPr>
          <w:rFonts w:ascii="Times New Roman" w:eastAsia="Times New Roman" w:hAnsi="Times New Roman" w:cs="Times New Roman"/>
          <w:sz w:val="26"/>
          <w:szCs w:val="26"/>
          <w:lang w:val="ro-MO" w:eastAsia="ru-RU"/>
        </w:rPr>
        <w:t xml:space="preserve"> cu privire la sistemul de salarizare</w:t>
      </w:r>
    </w:p>
    <w:p w:rsidR="002938DF" w:rsidRPr="0074614F" w:rsidRDefault="002938DF" w:rsidP="002938DF">
      <w:pPr>
        <w:spacing w:after="0" w:line="240" w:lineRule="auto"/>
        <w:jc w:val="center"/>
        <w:rPr>
          <w:rFonts w:ascii="Times New Roman" w:eastAsia="Times New Roman" w:hAnsi="Times New Roman" w:cs="Times New Roman"/>
          <w:bCs/>
          <w:sz w:val="26"/>
          <w:szCs w:val="26"/>
          <w:lang w:val="ro-MO" w:eastAsia="ru-RU"/>
        </w:rPr>
      </w:pPr>
      <w:r w:rsidRPr="0074614F">
        <w:rPr>
          <w:rFonts w:ascii="Times New Roman" w:eastAsia="Times New Roman" w:hAnsi="Times New Roman" w:cs="Times New Roman"/>
          <w:sz w:val="26"/>
          <w:szCs w:val="26"/>
          <w:lang w:val="ro-MO" w:eastAsia="ru-RU"/>
        </w:rPr>
        <w:t xml:space="preserve"> în sectorul bugetar</w:t>
      </w:r>
      <w:r w:rsidRPr="0074614F">
        <w:rPr>
          <w:rFonts w:ascii="Times New Roman" w:eastAsia="Times New Roman" w:hAnsi="Times New Roman" w:cs="Times New Roman"/>
          <w:bCs/>
          <w:sz w:val="26"/>
          <w:szCs w:val="26"/>
          <w:lang w:val="ro-MO" w:eastAsia="ru-RU"/>
        </w:rPr>
        <w:t> </w:t>
      </w:r>
    </w:p>
    <w:p w:rsidR="002938DF" w:rsidRPr="0074614F" w:rsidRDefault="002938DF" w:rsidP="002938DF">
      <w:pPr>
        <w:jc w:val="center"/>
        <w:rPr>
          <w:rFonts w:ascii="Times New Roman" w:hAnsi="Times New Roman" w:cs="Times New Roman"/>
          <w:b/>
          <w:sz w:val="26"/>
          <w:szCs w:val="26"/>
          <w:lang w:val="ro-MO"/>
        </w:rPr>
      </w:pPr>
      <w:r w:rsidRPr="0074614F">
        <w:rPr>
          <w:rFonts w:ascii="Times New Roman" w:hAnsi="Times New Roman" w:cs="Times New Roman"/>
          <w:sz w:val="26"/>
          <w:szCs w:val="26"/>
          <w:lang w:val="ro-MO"/>
        </w:rPr>
        <w:t xml:space="preserve"> </w:t>
      </w:r>
    </w:p>
    <w:tbl>
      <w:tblPr>
        <w:tblW w:w="9936" w:type="dxa"/>
        <w:tblInd w:w="-252" w:type="dxa"/>
        <w:tblLayout w:type="fixed"/>
        <w:tblLook w:val="0000" w:firstRow="0" w:lastRow="0" w:firstColumn="0" w:lastColumn="0" w:noHBand="0" w:noVBand="0"/>
      </w:tblPr>
      <w:tblGrid>
        <w:gridCol w:w="9936"/>
      </w:tblGrid>
      <w:tr w:rsidR="002938DF" w:rsidRPr="002938DF" w:rsidTr="00033A08">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E0E0E0"/>
          </w:tcPr>
          <w:p w:rsidR="002938DF" w:rsidRPr="0074614F" w:rsidRDefault="002938DF" w:rsidP="00033A08">
            <w:pPr>
              <w:autoSpaceDE w:val="0"/>
              <w:autoSpaceDN w:val="0"/>
              <w:adjustRightInd w:val="0"/>
              <w:spacing w:after="0" w:line="276" w:lineRule="auto"/>
              <w:rPr>
                <w:rFonts w:ascii="Times New Roman" w:eastAsia="Calibri" w:hAnsi="Times New Roman" w:cs="Times New Roman"/>
                <w:sz w:val="26"/>
                <w:szCs w:val="26"/>
                <w:lang w:val="ro-MO"/>
              </w:rPr>
            </w:pPr>
            <w:r w:rsidRPr="0074614F">
              <w:rPr>
                <w:rFonts w:ascii="Times New Roman" w:eastAsia="Calibri" w:hAnsi="Times New Roman" w:cs="Times New Roman"/>
                <w:b/>
                <w:bCs/>
                <w:sz w:val="26"/>
                <w:szCs w:val="26"/>
                <w:lang w:val="ro-MO"/>
              </w:rPr>
              <w:t>1. Numele iniţiatorului şi a autorului, precum şi a participanţilor la elaborarea proiectului</w:t>
            </w:r>
          </w:p>
        </w:tc>
      </w:tr>
      <w:tr w:rsidR="002938DF" w:rsidRPr="002938DF" w:rsidTr="00033A08">
        <w:trPr>
          <w:trHeight w:val="1"/>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2938DF" w:rsidRPr="0074614F" w:rsidRDefault="002938DF" w:rsidP="00033A08">
            <w:pPr>
              <w:spacing w:after="0" w:line="240" w:lineRule="auto"/>
              <w:jc w:val="both"/>
              <w:rPr>
                <w:rFonts w:ascii="Times New Roman" w:eastAsia="Times New Roman" w:hAnsi="Times New Roman" w:cs="Times New Roman"/>
                <w:bCs/>
                <w:sz w:val="26"/>
                <w:szCs w:val="26"/>
                <w:lang w:val="ro-MO" w:eastAsia="ru-RU"/>
              </w:rPr>
            </w:pPr>
            <w:r w:rsidRPr="0074614F">
              <w:rPr>
                <w:rFonts w:ascii="Times New Roman" w:eastAsia="Calibri" w:hAnsi="Times New Roman" w:cs="Times New Roman"/>
                <w:sz w:val="26"/>
                <w:szCs w:val="26"/>
                <w:lang w:val="ro-MO"/>
              </w:rPr>
              <w:t xml:space="preserve">Proiectul de </w:t>
            </w:r>
            <w:r w:rsidRPr="0074614F">
              <w:rPr>
                <w:rFonts w:ascii="Times New Roman" w:hAnsi="Times New Roman" w:cs="Times New Roman"/>
                <w:sz w:val="26"/>
                <w:szCs w:val="26"/>
                <w:lang w:val="ro-MO"/>
              </w:rPr>
              <w:t>lege</w:t>
            </w:r>
            <w:r w:rsidRPr="0074614F">
              <w:rPr>
                <w:rFonts w:ascii="Times New Roman" w:eastAsia="Times New Roman" w:hAnsi="Times New Roman" w:cs="Times New Roman"/>
                <w:bCs/>
                <w:sz w:val="26"/>
                <w:szCs w:val="26"/>
                <w:lang w:val="ro-MO" w:eastAsia="ru-RU"/>
              </w:rPr>
              <w:t xml:space="preserve"> pentru modificarea şi completarea Legii </w:t>
            </w:r>
            <w:hyperlink r:id="rId5" w:history="1">
              <w:r w:rsidRPr="0074614F">
                <w:rPr>
                  <w:rFonts w:ascii="Times New Roman" w:eastAsia="Times New Roman" w:hAnsi="Times New Roman" w:cs="Times New Roman"/>
                  <w:sz w:val="26"/>
                  <w:szCs w:val="26"/>
                  <w:lang w:val="ro-MO" w:eastAsia="ru-RU"/>
                </w:rPr>
                <w:t>nr.355-XVI din 23 decembrie 2005</w:t>
              </w:r>
            </w:hyperlink>
            <w:r w:rsidRPr="0074614F">
              <w:rPr>
                <w:rFonts w:ascii="Times New Roman" w:eastAsia="Times New Roman" w:hAnsi="Times New Roman" w:cs="Times New Roman"/>
                <w:sz w:val="26"/>
                <w:szCs w:val="26"/>
                <w:lang w:val="ro-MO" w:eastAsia="ru-RU"/>
              </w:rPr>
              <w:t xml:space="preserve">  cu privire la sistemul de salarizare</w:t>
            </w:r>
            <w:r w:rsidRPr="0074614F">
              <w:rPr>
                <w:rFonts w:ascii="Times New Roman" w:eastAsia="Times New Roman" w:hAnsi="Times New Roman" w:cs="Times New Roman"/>
                <w:bCs/>
                <w:sz w:val="26"/>
                <w:szCs w:val="26"/>
                <w:lang w:val="ro-MO" w:eastAsia="ru-RU"/>
              </w:rPr>
              <w:t xml:space="preserve"> </w:t>
            </w:r>
            <w:r w:rsidRPr="0074614F">
              <w:rPr>
                <w:rFonts w:ascii="Times New Roman" w:eastAsia="Times New Roman" w:hAnsi="Times New Roman" w:cs="Times New Roman"/>
                <w:sz w:val="26"/>
                <w:szCs w:val="26"/>
                <w:lang w:val="ro-MO" w:eastAsia="ru-RU"/>
              </w:rPr>
              <w:t>în sectorul bugetar</w:t>
            </w:r>
            <w:r w:rsidRPr="0074614F">
              <w:rPr>
                <w:rFonts w:ascii="Times New Roman" w:eastAsia="Times New Roman" w:hAnsi="Times New Roman" w:cs="Times New Roman"/>
                <w:bCs/>
                <w:sz w:val="26"/>
                <w:szCs w:val="26"/>
                <w:lang w:val="ro-MO" w:eastAsia="ru-RU"/>
              </w:rPr>
              <w:t> </w:t>
            </w:r>
            <w:r w:rsidRPr="0074614F">
              <w:rPr>
                <w:rFonts w:ascii="Times New Roman" w:eastAsia="Calibri" w:hAnsi="Times New Roman" w:cs="Times New Roman"/>
                <w:sz w:val="26"/>
                <w:szCs w:val="26"/>
                <w:lang w:val="ro-MO"/>
              </w:rPr>
              <w:t xml:space="preserve"> este elaborat de către Ministerul Afacerilor Interne. </w:t>
            </w:r>
          </w:p>
          <w:p w:rsidR="002938DF" w:rsidRPr="0074614F" w:rsidRDefault="002938DF" w:rsidP="00033A08">
            <w:pPr>
              <w:spacing w:after="0" w:line="240" w:lineRule="auto"/>
              <w:jc w:val="both"/>
              <w:rPr>
                <w:rFonts w:ascii="Times New Roman" w:eastAsia="Times New Roman" w:hAnsi="Times New Roman" w:cs="Times New Roman"/>
                <w:bCs/>
                <w:sz w:val="10"/>
                <w:szCs w:val="10"/>
                <w:lang w:val="ro-MO" w:eastAsia="ru-RU"/>
              </w:rPr>
            </w:pPr>
          </w:p>
        </w:tc>
      </w:tr>
      <w:tr w:rsidR="002938DF" w:rsidRPr="0074614F" w:rsidTr="00033A08">
        <w:trPr>
          <w:trHeight w:val="169"/>
        </w:trPr>
        <w:tc>
          <w:tcPr>
            <w:tcW w:w="9936" w:type="dxa"/>
            <w:tcBorders>
              <w:top w:val="single" w:sz="3" w:space="0" w:color="000000"/>
              <w:left w:val="single" w:sz="3" w:space="0" w:color="000000"/>
              <w:bottom w:val="single" w:sz="3" w:space="0" w:color="000000"/>
              <w:right w:val="single" w:sz="3" w:space="0" w:color="000000"/>
            </w:tcBorders>
            <w:shd w:val="clear" w:color="auto" w:fill="E0E0E0"/>
            <w:vAlign w:val="center"/>
          </w:tcPr>
          <w:p w:rsidR="002938DF" w:rsidRPr="0074614F" w:rsidRDefault="002938DF" w:rsidP="00033A08">
            <w:pPr>
              <w:autoSpaceDE w:val="0"/>
              <w:autoSpaceDN w:val="0"/>
              <w:adjustRightInd w:val="0"/>
              <w:spacing w:after="0" w:line="276" w:lineRule="auto"/>
              <w:rPr>
                <w:rFonts w:ascii="Times New Roman" w:eastAsia="Calibri" w:hAnsi="Times New Roman" w:cs="Times New Roman"/>
                <w:sz w:val="26"/>
                <w:szCs w:val="26"/>
                <w:lang w:val="ro-MO"/>
              </w:rPr>
            </w:pPr>
            <w:r w:rsidRPr="0074614F">
              <w:rPr>
                <w:rFonts w:ascii="Times New Roman" w:eastAsia="Calibri" w:hAnsi="Times New Roman" w:cs="Times New Roman"/>
                <w:b/>
                <w:bCs/>
                <w:sz w:val="26"/>
                <w:szCs w:val="26"/>
                <w:lang w:val="ro-MO"/>
              </w:rPr>
              <w:t>2. Argumentarea necesităţii de reglementare</w:t>
            </w:r>
          </w:p>
        </w:tc>
      </w:tr>
      <w:tr w:rsidR="002938DF" w:rsidRPr="002938DF" w:rsidTr="00033A08">
        <w:trPr>
          <w:trHeight w:val="1"/>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2938DF" w:rsidRPr="0074614F" w:rsidRDefault="002938DF" w:rsidP="00033A08">
            <w:pPr>
              <w:pStyle w:val="cn"/>
              <w:spacing w:after="120"/>
              <w:jc w:val="both"/>
              <w:rPr>
                <w:sz w:val="10"/>
                <w:szCs w:val="10"/>
                <w:lang w:val="ro-MO"/>
              </w:rPr>
            </w:pPr>
          </w:p>
          <w:p w:rsidR="002938DF" w:rsidRPr="0074614F" w:rsidRDefault="002938DF" w:rsidP="00033A08">
            <w:pPr>
              <w:pStyle w:val="cn"/>
              <w:spacing w:after="120"/>
              <w:jc w:val="both"/>
              <w:rPr>
                <w:sz w:val="26"/>
                <w:szCs w:val="26"/>
                <w:lang w:val="ro-MO"/>
              </w:rPr>
            </w:pPr>
            <w:r w:rsidRPr="0074614F">
              <w:rPr>
                <w:sz w:val="26"/>
                <w:szCs w:val="26"/>
                <w:lang w:val="ro-MO"/>
              </w:rPr>
              <w:t>Conform prevederilor (în redacţia actuală) ale art. 21</w:t>
            </w:r>
            <w:r w:rsidRPr="0074614F">
              <w:rPr>
                <w:sz w:val="26"/>
                <w:szCs w:val="26"/>
                <w:vertAlign w:val="superscript"/>
                <w:lang w:val="ro-MO"/>
              </w:rPr>
              <w:t xml:space="preserve">2 </w:t>
            </w:r>
            <w:r w:rsidRPr="0074614F">
              <w:rPr>
                <w:sz w:val="26"/>
                <w:szCs w:val="26"/>
                <w:lang w:val="ro-MO"/>
              </w:rPr>
              <w:t>al Legii nr. 355 din 23.12.2005 cu privire la sistemul de salarizare în sectorul bugetar, agenții constatatori din cadrul subdiviziunilor Inspectoratului General al Poliției care, prin examinarea contravențiilor, conform competenților, au contribuit la încasarea veniturilor la bugetul de stat, trimestrial, au fost stimulați financiar în mărime de 25% din sumele încasărilor respective, din contul alocațiilor  Inspectoratului General al Poliției.</w:t>
            </w:r>
          </w:p>
          <w:p w:rsidR="002938DF" w:rsidRPr="0074614F" w:rsidRDefault="002938DF" w:rsidP="00033A08">
            <w:pPr>
              <w:pStyle w:val="cn"/>
              <w:spacing w:after="120"/>
              <w:jc w:val="both"/>
              <w:rPr>
                <w:sz w:val="26"/>
                <w:szCs w:val="26"/>
                <w:lang w:val="ro-MO"/>
              </w:rPr>
            </w:pPr>
            <w:r w:rsidRPr="0074614F">
              <w:rPr>
                <w:sz w:val="26"/>
                <w:szCs w:val="26"/>
                <w:lang w:val="ro-MO"/>
              </w:rPr>
              <w:t>Pe parcursul I semestru a anului 2018, în baza datelor Sistemului informațional automatizat de evidență a contravențiilor, gestionat de către Serviciul tehnologii informaționale al MAI, de către agenții constatatori din cadrul Inspectoratului General al Poliției au fost aplicate amenzi în sumă totală de 137.333.610,00 lei, fiind încasate venituri la bugetul de stat în sumă de 54.037.193,00 lei, după cum urmează:</w:t>
            </w:r>
          </w:p>
          <w:tbl>
            <w:tblPr>
              <w:tblStyle w:val="a5"/>
              <w:tblW w:w="0" w:type="auto"/>
              <w:jc w:val="center"/>
              <w:tblLayout w:type="fixed"/>
              <w:tblLook w:val="04A0" w:firstRow="1" w:lastRow="0" w:firstColumn="1" w:lastColumn="0" w:noHBand="0" w:noVBand="1"/>
            </w:tblPr>
            <w:tblGrid>
              <w:gridCol w:w="2111"/>
              <w:gridCol w:w="2409"/>
              <w:gridCol w:w="2552"/>
              <w:gridCol w:w="2534"/>
            </w:tblGrid>
            <w:tr w:rsidR="002938DF" w:rsidRPr="002938DF" w:rsidTr="00033A08">
              <w:trPr>
                <w:jc w:val="center"/>
              </w:trPr>
              <w:tc>
                <w:tcPr>
                  <w:tcW w:w="2111" w:type="dxa"/>
                  <w:shd w:val="clear" w:color="auto" w:fill="D6E3BC" w:themeFill="accent3" w:themeFillTint="66"/>
                </w:tcPr>
                <w:p w:rsidR="002938DF" w:rsidRPr="0074614F" w:rsidRDefault="002938DF" w:rsidP="00033A08">
                  <w:pPr>
                    <w:pStyle w:val="cn"/>
                    <w:spacing w:after="120"/>
                    <w:rPr>
                      <w:b/>
                      <w:sz w:val="26"/>
                      <w:szCs w:val="26"/>
                      <w:lang w:val="ro-MO"/>
                    </w:rPr>
                  </w:pPr>
                  <w:r w:rsidRPr="0074614F">
                    <w:rPr>
                      <w:b/>
                      <w:sz w:val="26"/>
                      <w:szCs w:val="26"/>
                      <w:lang w:val="ro-MO"/>
                    </w:rPr>
                    <w:t>Perioada anului 2018</w:t>
                  </w:r>
                </w:p>
              </w:tc>
              <w:tc>
                <w:tcPr>
                  <w:tcW w:w="2409" w:type="dxa"/>
                  <w:shd w:val="clear" w:color="auto" w:fill="D6E3BC" w:themeFill="accent3" w:themeFillTint="66"/>
                </w:tcPr>
                <w:p w:rsidR="002938DF" w:rsidRPr="0074614F" w:rsidRDefault="002938DF" w:rsidP="00033A08">
                  <w:pPr>
                    <w:pStyle w:val="cn"/>
                    <w:spacing w:after="120"/>
                    <w:rPr>
                      <w:b/>
                      <w:sz w:val="26"/>
                      <w:szCs w:val="26"/>
                      <w:lang w:val="ro-MO"/>
                    </w:rPr>
                  </w:pPr>
                  <w:r w:rsidRPr="0074614F">
                    <w:rPr>
                      <w:b/>
                      <w:sz w:val="26"/>
                      <w:szCs w:val="26"/>
                      <w:lang w:val="ro-MO"/>
                    </w:rPr>
                    <w:t>Suma amenzilor aplicate (lei)</w:t>
                  </w:r>
                </w:p>
              </w:tc>
              <w:tc>
                <w:tcPr>
                  <w:tcW w:w="2552" w:type="dxa"/>
                  <w:shd w:val="clear" w:color="auto" w:fill="D6E3BC" w:themeFill="accent3" w:themeFillTint="66"/>
                </w:tcPr>
                <w:p w:rsidR="002938DF" w:rsidRPr="0074614F" w:rsidRDefault="002938DF" w:rsidP="00033A08">
                  <w:pPr>
                    <w:pStyle w:val="cn"/>
                    <w:spacing w:after="120"/>
                    <w:rPr>
                      <w:b/>
                      <w:sz w:val="26"/>
                      <w:szCs w:val="26"/>
                      <w:lang w:val="ro-MO"/>
                    </w:rPr>
                  </w:pPr>
                  <w:r w:rsidRPr="0074614F">
                    <w:rPr>
                      <w:b/>
                      <w:sz w:val="26"/>
                      <w:szCs w:val="26"/>
                      <w:lang w:val="ro-MO"/>
                    </w:rPr>
                    <w:t>Suma amenzilor achitate (lei)</w:t>
                  </w:r>
                </w:p>
              </w:tc>
              <w:tc>
                <w:tcPr>
                  <w:tcW w:w="2534" w:type="dxa"/>
                  <w:shd w:val="clear" w:color="auto" w:fill="D6E3BC" w:themeFill="accent3" w:themeFillTint="66"/>
                </w:tcPr>
                <w:p w:rsidR="002938DF" w:rsidRPr="0074614F" w:rsidRDefault="002938DF" w:rsidP="00033A08">
                  <w:pPr>
                    <w:pStyle w:val="cn"/>
                    <w:spacing w:after="120"/>
                    <w:rPr>
                      <w:b/>
                      <w:sz w:val="26"/>
                      <w:szCs w:val="26"/>
                      <w:lang w:val="ro-MO"/>
                    </w:rPr>
                  </w:pPr>
                  <w:r w:rsidRPr="0074614F">
                    <w:rPr>
                      <w:b/>
                      <w:sz w:val="26"/>
                      <w:szCs w:val="26"/>
                      <w:lang w:val="ro-MO"/>
                    </w:rPr>
                    <w:t>Suma stimulării financiare achitate (lei)</w:t>
                  </w:r>
                </w:p>
              </w:tc>
            </w:tr>
            <w:tr w:rsidR="002938DF" w:rsidRPr="002938DF" w:rsidTr="00033A08">
              <w:trPr>
                <w:jc w:val="center"/>
              </w:trPr>
              <w:tc>
                <w:tcPr>
                  <w:tcW w:w="2111" w:type="dxa"/>
                  <w:shd w:val="clear" w:color="auto" w:fill="FDE9D9" w:themeFill="accent6" w:themeFillTint="33"/>
                </w:tcPr>
                <w:p w:rsidR="002938DF" w:rsidRPr="0074614F" w:rsidRDefault="002938DF" w:rsidP="00033A08">
                  <w:pPr>
                    <w:pStyle w:val="cn"/>
                    <w:spacing w:after="120"/>
                    <w:jc w:val="left"/>
                    <w:rPr>
                      <w:sz w:val="26"/>
                      <w:szCs w:val="26"/>
                      <w:lang w:val="ro-MO"/>
                    </w:rPr>
                  </w:pPr>
                  <w:r w:rsidRPr="0074614F">
                    <w:rPr>
                      <w:sz w:val="26"/>
                      <w:szCs w:val="26"/>
                      <w:lang w:val="ro-MO"/>
                    </w:rPr>
                    <w:t>Trimestrul I</w:t>
                  </w:r>
                </w:p>
              </w:tc>
              <w:tc>
                <w:tcPr>
                  <w:tcW w:w="2409" w:type="dxa"/>
                  <w:shd w:val="clear" w:color="auto" w:fill="FDE9D9" w:themeFill="accent6" w:themeFillTint="33"/>
                </w:tcPr>
                <w:p w:rsidR="002938DF" w:rsidRPr="0074614F" w:rsidRDefault="002938DF" w:rsidP="00033A08">
                  <w:pPr>
                    <w:pStyle w:val="cn"/>
                    <w:spacing w:after="120"/>
                    <w:rPr>
                      <w:sz w:val="26"/>
                      <w:szCs w:val="26"/>
                      <w:lang w:val="ro-MO"/>
                    </w:rPr>
                  </w:pPr>
                  <w:r w:rsidRPr="0074614F">
                    <w:rPr>
                      <w:sz w:val="26"/>
                      <w:szCs w:val="26"/>
                      <w:lang w:val="ro-MO"/>
                    </w:rPr>
                    <w:t>61.086.310,00</w:t>
                  </w:r>
                </w:p>
              </w:tc>
              <w:tc>
                <w:tcPr>
                  <w:tcW w:w="2552" w:type="dxa"/>
                  <w:shd w:val="clear" w:color="auto" w:fill="FDE9D9" w:themeFill="accent6" w:themeFillTint="33"/>
                </w:tcPr>
                <w:p w:rsidR="002938DF" w:rsidRPr="0074614F" w:rsidRDefault="002938DF" w:rsidP="00033A08">
                  <w:pPr>
                    <w:pStyle w:val="cn"/>
                    <w:spacing w:after="120"/>
                    <w:rPr>
                      <w:sz w:val="26"/>
                      <w:szCs w:val="26"/>
                      <w:lang w:val="ro-MO"/>
                    </w:rPr>
                  </w:pPr>
                  <w:r w:rsidRPr="0074614F">
                    <w:rPr>
                      <w:sz w:val="26"/>
                      <w:szCs w:val="26"/>
                      <w:lang w:val="ro-MO"/>
                    </w:rPr>
                    <w:t>23.284.615,00</w:t>
                  </w:r>
                </w:p>
              </w:tc>
              <w:tc>
                <w:tcPr>
                  <w:tcW w:w="2534" w:type="dxa"/>
                  <w:shd w:val="clear" w:color="auto" w:fill="FDE9D9" w:themeFill="accent6" w:themeFillTint="33"/>
                </w:tcPr>
                <w:p w:rsidR="002938DF" w:rsidRPr="0074614F" w:rsidRDefault="002938DF" w:rsidP="00033A08">
                  <w:pPr>
                    <w:pStyle w:val="cn"/>
                    <w:spacing w:after="120"/>
                    <w:rPr>
                      <w:sz w:val="26"/>
                      <w:szCs w:val="26"/>
                      <w:lang w:val="ro-MO"/>
                    </w:rPr>
                  </w:pPr>
                  <w:r w:rsidRPr="0074614F">
                    <w:rPr>
                      <w:sz w:val="26"/>
                      <w:szCs w:val="26"/>
                      <w:lang w:val="ro-MO"/>
                    </w:rPr>
                    <w:t>5.821.153,75</w:t>
                  </w:r>
                </w:p>
              </w:tc>
            </w:tr>
            <w:tr w:rsidR="002938DF" w:rsidRPr="002938DF" w:rsidTr="00033A08">
              <w:trPr>
                <w:jc w:val="center"/>
              </w:trPr>
              <w:tc>
                <w:tcPr>
                  <w:tcW w:w="2111" w:type="dxa"/>
                  <w:shd w:val="clear" w:color="auto" w:fill="FDE9D9" w:themeFill="accent6" w:themeFillTint="33"/>
                </w:tcPr>
                <w:p w:rsidR="002938DF" w:rsidRPr="0074614F" w:rsidRDefault="002938DF" w:rsidP="00033A08">
                  <w:pPr>
                    <w:spacing w:after="120"/>
                    <w:rPr>
                      <w:rFonts w:ascii="Times New Roman" w:hAnsi="Times New Roman" w:cs="Times New Roman"/>
                      <w:sz w:val="26"/>
                      <w:szCs w:val="26"/>
                      <w:lang w:val="ro-MO"/>
                    </w:rPr>
                  </w:pPr>
                  <w:r w:rsidRPr="0074614F">
                    <w:rPr>
                      <w:rFonts w:ascii="Times New Roman" w:hAnsi="Times New Roman" w:cs="Times New Roman"/>
                      <w:sz w:val="26"/>
                      <w:szCs w:val="26"/>
                      <w:lang w:val="ro-MO"/>
                    </w:rPr>
                    <w:t>Trimestrul II</w:t>
                  </w:r>
                </w:p>
              </w:tc>
              <w:tc>
                <w:tcPr>
                  <w:tcW w:w="2409" w:type="dxa"/>
                  <w:shd w:val="clear" w:color="auto" w:fill="FDE9D9" w:themeFill="accent6" w:themeFillTint="33"/>
                </w:tcPr>
                <w:p w:rsidR="002938DF" w:rsidRPr="0074614F" w:rsidRDefault="002938DF" w:rsidP="00033A08">
                  <w:pPr>
                    <w:pStyle w:val="cn"/>
                    <w:spacing w:after="120"/>
                    <w:rPr>
                      <w:sz w:val="26"/>
                      <w:szCs w:val="26"/>
                      <w:lang w:val="ro-MO"/>
                    </w:rPr>
                  </w:pPr>
                  <w:r w:rsidRPr="0074614F">
                    <w:rPr>
                      <w:sz w:val="26"/>
                      <w:szCs w:val="26"/>
                      <w:lang w:val="ro-MO"/>
                    </w:rPr>
                    <w:t>76.247.300,00</w:t>
                  </w:r>
                </w:p>
              </w:tc>
              <w:tc>
                <w:tcPr>
                  <w:tcW w:w="2552" w:type="dxa"/>
                  <w:shd w:val="clear" w:color="auto" w:fill="FDE9D9" w:themeFill="accent6" w:themeFillTint="33"/>
                </w:tcPr>
                <w:p w:rsidR="002938DF" w:rsidRPr="0074614F" w:rsidRDefault="002938DF" w:rsidP="00033A08">
                  <w:pPr>
                    <w:pStyle w:val="cn"/>
                    <w:spacing w:after="120"/>
                    <w:rPr>
                      <w:sz w:val="26"/>
                      <w:szCs w:val="26"/>
                      <w:lang w:val="ro-MO"/>
                    </w:rPr>
                  </w:pPr>
                  <w:r w:rsidRPr="0074614F">
                    <w:rPr>
                      <w:sz w:val="26"/>
                      <w:szCs w:val="26"/>
                      <w:lang w:val="ro-MO"/>
                    </w:rPr>
                    <w:t>30.752.578,00</w:t>
                  </w:r>
                </w:p>
              </w:tc>
              <w:tc>
                <w:tcPr>
                  <w:tcW w:w="2534" w:type="dxa"/>
                  <w:shd w:val="clear" w:color="auto" w:fill="FDE9D9" w:themeFill="accent6" w:themeFillTint="33"/>
                </w:tcPr>
                <w:p w:rsidR="002938DF" w:rsidRPr="0074614F" w:rsidRDefault="002938DF" w:rsidP="00033A08">
                  <w:pPr>
                    <w:pStyle w:val="cn"/>
                    <w:spacing w:after="120"/>
                    <w:rPr>
                      <w:sz w:val="26"/>
                      <w:szCs w:val="26"/>
                      <w:lang w:val="ro-MO"/>
                    </w:rPr>
                  </w:pPr>
                  <w:r w:rsidRPr="0074614F">
                    <w:rPr>
                      <w:sz w:val="26"/>
                      <w:szCs w:val="26"/>
                      <w:lang w:val="ro-MO"/>
                    </w:rPr>
                    <w:t>7.688.144,50</w:t>
                  </w:r>
                </w:p>
              </w:tc>
            </w:tr>
            <w:tr w:rsidR="002938DF" w:rsidRPr="002938DF" w:rsidTr="00033A08">
              <w:trPr>
                <w:jc w:val="center"/>
              </w:trPr>
              <w:tc>
                <w:tcPr>
                  <w:tcW w:w="2111" w:type="dxa"/>
                  <w:shd w:val="clear" w:color="auto" w:fill="CCC0D9" w:themeFill="accent4" w:themeFillTint="66"/>
                </w:tcPr>
                <w:p w:rsidR="002938DF" w:rsidRPr="0074614F" w:rsidRDefault="002938DF" w:rsidP="00033A08">
                  <w:pPr>
                    <w:pStyle w:val="cn"/>
                    <w:spacing w:after="120"/>
                    <w:ind w:firstLine="709"/>
                    <w:jc w:val="left"/>
                    <w:rPr>
                      <w:b/>
                      <w:sz w:val="26"/>
                      <w:szCs w:val="26"/>
                      <w:lang w:val="ro-MO"/>
                    </w:rPr>
                  </w:pPr>
                  <w:r w:rsidRPr="0074614F">
                    <w:rPr>
                      <w:b/>
                      <w:sz w:val="26"/>
                      <w:szCs w:val="26"/>
                      <w:lang w:val="ro-MO"/>
                    </w:rPr>
                    <w:t>Total:</w:t>
                  </w:r>
                </w:p>
              </w:tc>
              <w:tc>
                <w:tcPr>
                  <w:tcW w:w="2409" w:type="dxa"/>
                  <w:shd w:val="clear" w:color="auto" w:fill="CCC0D9" w:themeFill="accent4" w:themeFillTint="66"/>
                </w:tcPr>
                <w:p w:rsidR="002938DF" w:rsidRPr="0074614F" w:rsidRDefault="002938DF" w:rsidP="00033A08">
                  <w:pPr>
                    <w:pStyle w:val="cn"/>
                    <w:spacing w:after="120"/>
                    <w:rPr>
                      <w:b/>
                      <w:sz w:val="26"/>
                      <w:szCs w:val="26"/>
                      <w:lang w:val="ro-MO"/>
                    </w:rPr>
                  </w:pPr>
                  <w:r w:rsidRPr="0074614F">
                    <w:rPr>
                      <w:b/>
                      <w:sz w:val="26"/>
                      <w:szCs w:val="26"/>
                      <w:lang w:val="ro-MO"/>
                    </w:rPr>
                    <w:t>137.333.610,00</w:t>
                  </w:r>
                </w:p>
              </w:tc>
              <w:tc>
                <w:tcPr>
                  <w:tcW w:w="2552" w:type="dxa"/>
                  <w:shd w:val="clear" w:color="auto" w:fill="CCC0D9" w:themeFill="accent4" w:themeFillTint="66"/>
                </w:tcPr>
                <w:p w:rsidR="002938DF" w:rsidRPr="0074614F" w:rsidRDefault="002938DF" w:rsidP="00033A08">
                  <w:pPr>
                    <w:pStyle w:val="cn"/>
                    <w:spacing w:after="120"/>
                    <w:rPr>
                      <w:b/>
                      <w:sz w:val="26"/>
                      <w:szCs w:val="26"/>
                      <w:lang w:val="ro-MO"/>
                    </w:rPr>
                  </w:pPr>
                  <w:r w:rsidRPr="0074614F">
                    <w:rPr>
                      <w:b/>
                      <w:sz w:val="26"/>
                      <w:szCs w:val="26"/>
                      <w:lang w:val="ro-MO"/>
                    </w:rPr>
                    <w:t>54.037.193,00</w:t>
                  </w:r>
                </w:p>
              </w:tc>
              <w:tc>
                <w:tcPr>
                  <w:tcW w:w="2534" w:type="dxa"/>
                  <w:shd w:val="clear" w:color="auto" w:fill="CCC0D9" w:themeFill="accent4" w:themeFillTint="66"/>
                </w:tcPr>
                <w:p w:rsidR="002938DF" w:rsidRPr="0074614F" w:rsidRDefault="002938DF" w:rsidP="00033A08">
                  <w:pPr>
                    <w:pStyle w:val="cn"/>
                    <w:spacing w:after="120"/>
                    <w:rPr>
                      <w:b/>
                      <w:sz w:val="26"/>
                      <w:szCs w:val="26"/>
                      <w:lang w:val="ro-MO"/>
                    </w:rPr>
                  </w:pPr>
                  <w:r w:rsidRPr="0074614F">
                    <w:rPr>
                      <w:b/>
                      <w:sz w:val="26"/>
                      <w:szCs w:val="26"/>
                      <w:lang w:val="ro-MO"/>
                    </w:rPr>
                    <w:t>13.509.298,25</w:t>
                  </w:r>
                </w:p>
              </w:tc>
            </w:tr>
          </w:tbl>
          <w:p w:rsidR="002938DF" w:rsidRPr="0074614F" w:rsidRDefault="002938DF" w:rsidP="00033A08">
            <w:pPr>
              <w:pStyle w:val="cn"/>
              <w:spacing w:after="120"/>
              <w:jc w:val="both"/>
              <w:rPr>
                <w:sz w:val="26"/>
                <w:szCs w:val="26"/>
                <w:lang w:val="ro-MO"/>
              </w:rPr>
            </w:pPr>
            <w:r w:rsidRPr="0074614F">
              <w:rPr>
                <w:sz w:val="26"/>
                <w:szCs w:val="26"/>
                <w:lang w:val="ro-MO"/>
              </w:rPr>
              <w:t xml:space="preserve">Pentru achitarea stimulării financiare pentru anul 2018, Inspectoratului General al Poliției i-a fost alocată suma de 38.200.000,00 lei, fiind valorificată, pe perioada I semestru, în mărime de 16.616.436,85 lei, inclusiv – 3.107.138,60 lei, constituie suma contribuției asigurărilor sociale obligatorii în cuantum de 23%, virată la veniturile Fondului social de stat.  </w:t>
            </w:r>
          </w:p>
          <w:p w:rsidR="002938DF" w:rsidRPr="0074614F" w:rsidRDefault="002938DF" w:rsidP="00033A08">
            <w:pPr>
              <w:pStyle w:val="cn"/>
              <w:spacing w:after="120"/>
              <w:jc w:val="both"/>
              <w:rPr>
                <w:strike/>
                <w:sz w:val="26"/>
                <w:szCs w:val="26"/>
                <w:lang w:val="ro-MO"/>
              </w:rPr>
            </w:pPr>
            <w:r w:rsidRPr="0074614F">
              <w:rPr>
                <w:sz w:val="26"/>
                <w:szCs w:val="26"/>
                <w:lang w:val="ro-MO"/>
              </w:rPr>
              <w:t>În această ordine de idei, se consemnează că, în comparație cu aceeași perioadă a anului 2017, suma amenzilor aplicate s-a majorat cu 28.896.660,00</w:t>
            </w:r>
            <w:r w:rsidRPr="0074614F">
              <w:rPr>
                <w:color w:val="4F81BD" w:themeColor="accent1"/>
                <w:sz w:val="26"/>
                <w:szCs w:val="26"/>
                <w:lang w:val="ro-MO"/>
              </w:rPr>
              <w:t xml:space="preserve"> </w:t>
            </w:r>
            <w:r w:rsidRPr="0074614F">
              <w:rPr>
                <w:sz w:val="26"/>
                <w:szCs w:val="26"/>
                <w:lang w:val="ro-MO"/>
              </w:rPr>
              <w:t>lei sau cu 21 la sută, iar suma amenzilor achitate a înregistrat o creștere în mărime de 5.700.418,00 lei, fapt</w:t>
            </w:r>
            <w:r w:rsidRPr="0074614F">
              <w:rPr>
                <w:color w:val="FF0000"/>
                <w:sz w:val="26"/>
                <w:szCs w:val="26"/>
                <w:lang w:val="ro-MO"/>
              </w:rPr>
              <w:t xml:space="preserve"> </w:t>
            </w:r>
            <w:r w:rsidRPr="0074614F">
              <w:rPr>
                <w:sz w:val="26"/>
                <w:szCs w:val="26"/>
                <w:lang w:val="ro-MO"/>
              </w:rPr>
              <w:t xml:space="preserve">ce denotă o dinamică pozitivă a creșterii veniturilor la bugetul (național) de stat. </w:t>
            </w:r>
          </w:p>
          <w:p w:rsidR="002938DF" w:rsidRPr="0074614F" w:rsidRDefault="002938DF" w:rsidP="00033A08">
            <w:pPr>
              <w:pStyle w:val="cn"/>
              <w:jc w:val="both"/>
              <w:rPr>
                <w:color w:val="FF0000"/>
                <w:sz w:val="26"/>
                <w:szCs w:val="26"/>
                <w:lang w:val="ro-MO"/>
              </w:rPr>
            </w:pPr>
            <w:r w:rsidRPr="0074614F">
              <w:rPr>
                <w:sz w:val="26"/>
                <w:szCs w:val="26"/>
                <w:lang w:val="ro-MO"/>
              </w:rPr>
              <w:t>Totodată, de rând cu succesele înregistrate pe plan financiar se reliefează şi anumite inconsecvențe sub aspect profesional/motivațional în interiorul efectivului polițienesc. Urmare analizei efectuate, s-a constatat că printre agenții constatatori care au beneficiat de cele mai mari stimulări financiare sunt angajații Poliției din cadrul Centrului unic de monitorizare şi coordonare al Inspectoratului naţional de patrulare (în continuare CUMC), ale căror stimulări financiare sunt în creștere stabilă.</w:t>
            </w:r>
          </w:p>
          <w:p w:rsidR="002938DF" w:rsidRPr="0074614F" w:rsidRDefault="002938DF" w:rsidP="00033A08">
            <w:pPr>
              <w:pStyle w:val="20"/>
              <w:shd w:val="clear" w:color="auto" w:fill="auto"/>
              <w:rPr>
                <w:strike/>
                <w:sz w:val="26"/>
                <w:szCs w:val="26"/>
                <w:lang w:val="ro-MO"/>
              </w:rPr>
            </w:pPr>
            <w:r w:rsidRPr="0074614F">
              <w:rPr>
                <w:sz w:val="26"/>
                <w:szCs w:val="26"/>
                <w:lang w:val="ro-MO"/>
              </w:rPr>
              <w:t xml:space="preserve">Astfel, în perioada trimestrului I al anului 2018, suma încasată de către 21 angajați ai CUMC a constituit 340.300,00 lei sau 6% din suma totală alocată în trimestrul respectiv, (din care </w:t>
            </w:r>
            <w:r w:rsidRPr="0074614F">
              <w:rPr>
                <w:sz w:val="26"/>
                <w:szCs w:val="26"/>
                <w:lang w:val="ro-MO"/>
              </w:rPr>
              <w:lastRenderedPageBreak/>
              <w:t xml:space="preserve">24.481,25 lei suma maximă revenită unui angajat şi 3.150,0 lei suma minimă). În perioada trimestrului II, suma încasată de către 24 angajați a constituit 744.918,75 lei sau 10% din suma totală alocată în trimestrul respectiv, (din care 59781,25 lei, suma maximă revenită unui angajat şi 4.718,75 lei, suma minimă).  </w:t>
            </w:r>
          </w:p>
          <w:p w:rsidR="002938DF" w:rsidRPr="0074614F" w:rsidRDefault="002938DF" w:rsidP="00033A08">
            <w:pPr>
              <w:pStyle w:val="20"/>
              <w:shd w:val="clear" w:color="auto" w:fill="auto"/>
              <w:spacing w:after="120"/>
              <w:rPr>
                <w:sz w:val="26"/>
                <w:szCs w:val="26"/>
                <w:lang w:val="ro-MO"/>
              </w:rPr>
            </w:pPr>
            <w:r w:rsidRPr="0074614F">
              <w:rPr>
                <w:sz w:val="26"/>
                <w:szCs w:val="26"/>
                <w:lang w:val="ro-MO"/>
              </w:rPr>
              <w:t>Comparând condiţiile în care este desfășurată procedura contravențională de către angajaţii Poliției din cadrul CUMC cu cele ale altor agenţi constatatori din cadrul altor subdiviziuni polițienești, se evidențiază o serie de împrejurări ce defavorizează ultimele categorii de agenți constatatori, cum ar fi lipsa necesității de a colecta probe în vederea demonstrării vinovăției contravenientului, condițiile de infrastructură și mediu, lipsa contestațiilor în instanțele de judecată etc.</w:t>
            </w:r>
          </w:p>
          <w:p w:rsidR="002938DF" w:rsidRPr="0074614F" w:rsidRDefault="002938DF" w:rsidP="00033A08">
            <w:pPr>
              <w:pStyle w:val="20"/>
              <w:shd w:val="clear" w:color="auto" w:fill="auto"/>
              <w:spacing w:after="120"/>
              <w:rPr>
                <w:sz w:val="26"/>
                <w:szCs w:val="26"/>
                <w:lang w:val="ro-MO"/>
              </w:rPr>
            </w:pPr>
            <w:r w:rsidRPr="0074614F">
              <w:rPr>
                <w:sz w:val="26"/>
                <w:szCs w:val="26"/>
                <w:lang w:val="ro-MO"/>
              </w:rPr>
              <w:t xml:space="preserve">Se va preciza că documentarea contravenţiilor de către angajații Poliției din cadrul CUMC are loc prin intermediul </w:t>
            </w:r>
            <w:r w:rsidRPr="0074614F">
              <w:rPr>
                <w:color w:val="000000"/>
                <w:sz w:val="26"/>
                <w:szCs w:val="26"/>
                <w:lang w:val="ro-MO"/>
              </w:rPr>
              <w:t>Sistemului automatizat de supraveghere a circulaţiei rutiere „Controlul traficului”</w:t>
            </w:r>
            <w:r w:rsidRPr="0074614F">
              <w:rPr>
                <w:sz w:val="26"/>
                <w:szCs w:val="26"/>
                <w:lang w:val="ro-MO"/>
              </w:rPr>
              <w:t xml:space="preserve">, dedicându-se în mediu 2-3 minute pentru întocmirea procesului verbal, nefiind necesară întreprinderea anumitor acțiuni procesuale în vederea demonstrării vinovăției contravenientului în comparație cu eforturile și complexitatea cauzelor contravenționale desfășurate de alți agenți constatatori ai Poliției, riscurilor la care se supun aceștia.  </w:t>
            </w:r>
          </w:p>
          <w:p w:rsidR="002938DF" w:rsidRPr="0074614F" w:rsidRDefault="002938DF" w:rsidP="00033A08">
            <w:pPr>
              <w:pStyle w:val="20"/>
              <w:shd w:val="clear" w:color="auto" w:fill="auto"/>
              <w:spacing w:after="120"/>
              <w:rPr>
                <w:sz w:val="26"/>
                <w:szCs w:val="26"/>
                <w:lang w:val="ro-MO"/>
              </w:rPr>
            </w:pPr>
            <w:r w:rsidRPr="0074614F">
              <w:rPr>
                <w:sz w:val="26"/>
                <w:szCs w:val="26"/>
                <w:lang w:val="ro-MO"/>
              </w:rPr>
              <w:t xml:space="preserve">Pe cale de consecinţă, inechitatea socială descrisă supra generează un val de nemulțumiri și reacții negative diverse în interiorul efectivului polițienesc care, în consecință, destabilizează climatul moral psihologic al acestuia or, potrivit prevederilor </w:t>
            </w:r>
            <w:bookmarkStart w:id="0" w:name="Articolul_42"/>
            <w:r w:rsidRPr="0074614F">
              <w:rPr>
                <w:bCs/>
                <w:sz w:val="26"/>
                <w:szCs w:val="26"/>
                <w:lang w:val="ro-MO"/>
              </w:rPr>
              <w:t>art. 4</w:t>
            </w:r>
            <w:bookmarkEnd w:id="0"/>
            <w:r w:rsidRPr="0074614F">
              <w:rPr>
                <w:bCs/>
                <w:sz w:val="26"/>
                <w:szCs w:val="26"/>
                <w:lang w:val="ro-MO"/>
              </w:rPr>
              <w:t>3 alin.</w:t>
            </w:r>
            <w:r w:rsidRPr="0074614F">
              <w:rPr>
                <w:sz w:val="26"/>
                <w:szCs w:val="26"/>
                <w:lang w:val="ro-MO"/>
              </w:rPr>
              <w:t>(1) din Constituţia Republicii Moldova, orice persoană are dreptul la condiţii echitabile şi satisfăcătoare de muncă.</w:t>
            </w:r>
          </w:p>
          <w:p w:rsidR="002938DF" w:rsidRPr="0074614F" w:rsidRDefault="002938DF" w:rsidP="00033A08">
            <w:pPr>
              <w:pStyle w:val="20"/>
              <w:shd w:val="clear" w:color="auto" w:fill="auto"/>
              <w:spacing w:after="120"/>
              <w:rPr>
                <w:sz w:val="26"/>
                <w:szCs w:val="26"/>
                <w:lang w:val="ro-MO" w:eastAsia="ru-RU"/>
              </w:rPr>
            </w:pPr>
            <w:r w:rsidRPr="0074614F">
              <w:rPr>
                <w:sz w:val="26"/>
                <w:szCs w:val="26"/>
                <w:lang w:val="ro-MO"/>
              </w:rPr>
              <w:t xml:space="preserve">Din considerentele expuse </w:t>
            </w:r>
            <w:r w:rsidRPr="0074614F">
              <w:rPr>
                <w:i/>
                <w:sz w:val="26"/>
                <w:szCs w:val="26"/>
                <w:lang w:val="ro-MO"/>
              </w:rPr>
              <w:t xml:space="preserve">supra, </w:t>
            </w:r>
            <w:r w:rsidRPr="0074614F">
              <w:rPr>
                <w:sz w:val="26"/>
                <w:szCs w:val="26"/>
                <w:lang w:val="ro-MO"/>
              </w:rPr>
              <w:t>prin amendamentele propuse,</w:t>
            </w:r>
            <w:r w:rsidRPr="0074614F">
              <w:rPr>
                <w:i/>
                <w:sz w:val="26"/>
                <w:szCs w:val="26"/>
                <w:lang w:val="ro-MO"/>
              </w:rPr>
              <w:t xml:space="preserve"> </w:t>
            </w:r>
            <w:r w:rsidRPr="0074614F">
              <w:rPr>
                <w:sz w:val="26"/>
                <w:szCs w:val="26"/>
                <w:lang w:val="ro-MO"/>
              </w:rPr>
              <w:t xml:space="preserve">se intenționează excluderea contravenţiilor documentate prin </w:t>
            </w:r>
            <w:r w:rsidRPr="0074614F">
              <w:rPr>
                <w:sz w:val="26"/>
                <w:szCs w:val="26"/>
                <w:lang w:val="ro-MO" w:eastAsia="ru-RU"/>
              </w:rPr>
              <w:t xml:space="preserve">intermediul </w:t>
            </w:r>
            <w:r w:rsidRPr="0074614F">
              <w:rPr>
                <w:color w:val="000000"/>
                <w:sz w:val="26"/>
                <w:szCs w:val="26"/>
                <w:lang w:val="ro-MO"/>
              </w:rPr>
              <w:t>Sistemului automatizat de supraveghere a circulaţiei rutiere „Controlul traficului”</w:t>
            </w:r>
            <w:r w:rsidRPr="0074614F">
              <w:rPr>
                <w:sz w:val="26"/>
                <w:szCs w:val="26"/>
                <w:lang w:val="ro-MO"/>
              </w:rPr>
              <w:t xml:space="preserve"> din categoria celor care cad sub incidenţa </w:t>
            </w:r>
            <w:r w:rsidRPr="0074614F">
              <w:rPr>
                <w:sz w:val="26"/>
                <w:szCs w:val="26"/>
                <w:lang w:val="ro-MO" w:eastAsia="ru-RU"/>
              </w:rPr>
              <w:t>articolul 21</w:t>
            </w:r>
            <w:r w:rsidRPr="0074614F">
              <w:rPr>
                <w:sz w:val="26"/>
                <w:szCs w:val="26"/>
                <w:vertAlign w:val="superscript"/>
                <w:lang w:val="ro-MO" w:eastAsia="ru-RU"/>
              </w:rPr>
              <w:t>2</w:t>
            </w:r>
            <w:r w:rsidRPr="0074614F">
              <w:rPr>
                <w:sz w:val="26"/>
                <w:szCs w:val="26"/>
                <w:lang w:val="ro-MO" w:eastAsia="ru-RU"/>
              </w:rPr>
              <w:t xml:space="preserve"> din </w:t>
            </w:r>
            <w:hyperlink r:id="rId6" w:history="1">
              <w:r w:rsidRPr="0074614F">
                <w:rPr>
                  <w:sz w:val="26"/>
                  <w:szCs w:val="26"/>
                  <w:lang w:val="ro-MO" w:eastAsia="ru-RU"/>
                </w:rPr>
                <w:t>Legea nr.355-XVI din 23 decembrie 2005</w:t>
              </w:r>
            </w:hyperlink>
            <w:r w:rsidRPr="0074614F">
              <w:rPr>
                <w:sz w:val="26"/>
                <w:szCs w:val="26"/>
                <w:lang w:val="ro-MO" w:eastAsia="ru-RU"/>
              </w:rPr>
              <w:t xml:space="preserve"> cu privire la sistemul de salarizare în sectorul bugetar.</w:t>
            </w:r>
            <w:bookmarkStart w:id="1" w:name="bookmark13"/>
          </w:p>
          <w:p w:rsidR="002938DF" w:rsidRPr="0074614F" w:rsidRDefault="002938DF" w:rsidP="00033A08">
            <w:pPr>
              <w:pStyle w:val="20"/>
              <w:shd w:val="clear" w:color="auto" w:fill="auto"/>
              <w:spacing w:after="120"/>
              <w:rPr>
                <w:sz w:val="26"/>
                <w:szCs w:val="26"/>
                <w:lang w:val="ro-MO" w:eastAsia="ru-RU"/>
              </w:rPr>
            </w:pPr>
            <w:r w:rsidRPr="0074614F">
              <w:rPr>
                <w:sz w:val="26"/>
                <w:szCs w:val="26"/>
                <w:lang w:val="ro-MO"/>
              </w:rPr>
              <w:t xml:space="preserve">În altă ordine de idei, </w:t>
            </w:r>
            <w:bookmarkStart w:id="2" w:name="bookmark10"/>
            <w:bookmarkEnd w:id="1"/>
            <w:r w:rsidRPr="0074614F">
              <w:rPr>
                <w:sz w:val="26"/>
                <w:szCs w:val="26"/>
                <w:lang w:val="ro-MO"/>
              </w:rPr>
              <w:t>conform art.16 alin.(2)</w:t>
            </w:r>
            <w:bookmarkEnd w:id="2"/>
            <w:r w:rsidRPr="0074614F">
              <w:rPr>
                <w:sz w:val="26"/>
                <w:szCs w:val="26"/>
                <w:lang w:val="ro-MO"/>
              </w:rPr>
              <w:t>, toţi cetăţenii Republicii Moldova sunt egali în faţa legii şi a autorităţilor publice, fără deosebire de rasă, naţionalitate, origine etnică, limbă, religie, sex, opinie, apartenenţă politică, avere sau de origine socială.</w:t>
            </w:r>
          </w:p>
          <w:p w:rsidR="002938DF" w:rsidRPr="0074614F" w:rsidRDefault="002938DF" w:rsidP="00033A08">
            <w:pPr>
              <w:pStyle w:val="20"/>
              <w:shd w:val="clear" w:color="auto" w:fill="auto"/>
              <w:spacing w:after="120"/>
              <w:rPr>
                <w:sz w:val="26"/>
                <w:szCs w:val="26"/>
                <w:lang w:val="ro-MO" w:eastAsia="ru-RU"/>
              </w:rPr>
            </w:pPr>
            <w:r w:rsidRPr="0074614F">
              <w:rPr>
                <w:sz w:val="26"/>
                <w:szCs w:val="26"/>
                <w:lang w:val="ro-MO"/>
              </w:rPr>
              <w:t xml:space="preserve">Prin norma supusă amendării, legiuitorul a decis să favorizeze categoriile de agenţi constatatori din cadrul Poliţiei prin stimularea financiară în mărime de 25% din amenzile aplicate şi încasate în bugetul de stat, însă, </w:t>
            </w:r>
            <w:proofErr w:type="spellStart"/>
            <w:r w:rsidRPr="0074614F">
              <w:rPr>
                <w:sz w:val="26"/>
                <w:szCs w:val="26"/>
                <w:lang w:val="ro-MO"/>
              </w:rPr>
              <w:t>avînd</w:t>
            </w:r>
            <w:proofErr w:type="spellEnd"/>
            <w:r w:rsidRPr="0074614F">
              <w:rPr>
                <w:sz w:val="26"/>
                <w:szCs w:val="26"/>
                <w:lang w:val="ro-MO"/>
              </w:rPr>
              <w:t xml:space="preserve"> în vedere cele </w:t>
            </w:r>
            <w:proofErr w:type="spellStart"/>
            <w:r w:rsidRPr="0074614F">
              <w:rPr>
                <w:sz w:val="26"/>
                <w:szCs w:val="26"/>
                <w:lang w:val="ro-MO"/>
              </w:rPr>
              <w:t>precitate</w:t>
            </w:r>
            <w:proofErr w:type="spellEnd"/>
            <w:r w:rsidRPr="0074614F">
              <w:rPr>
                <w:sz w:val="26"/>
                <w:szCs w:val="26"/>
                <w:lang w:val="ro-MO"/>
              </w:rPr>
              <w:t>, se menţionează că norma vizată comportă unele conotaţii cu caracter dezechilibrat, provocând şi eventuale riscuri de abuz de drept din partea agentului constatator or, acesta favorizat de către Parlament, dispunând de forţa de constrângere a statului va aplica amenzi cetăţenilor nu doar în scopurile prevăzute de legea contravenţională, dar şi eventual, în interesul său economic.</w:t>
            </w:r>
          </w:p>
          <w:p w:rsidR="002938DF" w:rsidRPr="0074614F" w:rsidRDefault="002938DF" w:rsidP="00033A08">
            <w:pPr>
              <w:pStyle w:val="20"/>
              <w:shd w:val="clear" w:color="auto" w:fill="auto"/>
              <w:spacing w:after="120"/>
              <w:rPr>
                <w:sz w:val="26"/>
                <w:szCs w:val="26"/>
                <w:lang w:val="ro-MO" w:eastAsia="ru-RU"/>
              </w:rPr>
            </w:pPr>
            <w:r w:rsidRPr="0074614F">
              <w:rPr>
                <w:sz w:val="26"/>
                <w:szCs w:val="26"/>
                <w:lang w:val="ro-MO"/>
              </w:rPr>
              <w:t>De asemenea, urmare analizei efectuate se constată că veniturile unor agenţi constatatori sunt excesive în raport cu alte categorii de agenţi constatatori, care se află într-o situaţie similară.</w:t>
            </w:r>
            <w:r w:rsidRPr="0074614F">
              <w:rPr>
                <w:sz w:val="26"/>
                <w:szCs w:val="26"/>
                <w:lang w:val="ro-MO" w:eastAsia="ru-RU"/>
              </w:rPr>
              <w:t xml:space="preserve"> </w:t>
            </w:r>
            <w:r w:rsidRPr="0074614F">
              <w:rPr>
                <w:sz w:val="26"/>
                <w:szCs w:val="26"/>
                <w:lang w:val="ro-MO"/>
              </w:rPr>
              <w:t xml:space="preserve">Astfel, în scopul eliminării riscurilor relatate se propune introducerea plafonării veniturilor încasate de către agenţii constatatori în calitate de stimulare financiară, în felul în care acestea să nu depăşească </w:t>
            </w:r>
            <w:r w:rsidRPr="0074614F">
              <w:rPr>
                <w:sz w:val="26"/>
                <w:szCs w:val="26"/>
                <w:lang w:val="ro-MO" w:eastAsia="ru-RU"/>
              </w:rPr>
              <w:t xml:space="preserve">3 salarii medii lunare pe economie realizate în anul precedent. </w:t>
            </w:r>
          </w:p>
          <w:p w:rsidR="002938DF" w:rsidRPr="0074614F" w:rsidRDefault="002938DF" w:rsidP="00033A08">
            <w:pPr>
              <w:pStyle w:val="20"/>
              <w:shd w:val="clear" w:color="auto" w:fill="auto"/>
              <w:spacing w:after="120"/>
              <w:rPr>
                <w:b/>
                <w:bCs/>
                <w:sz w:val="26"/>
                <w:szCs w:val="26"/>
                <w:lang w:val="ro-MO" w:eastAsia="ru-RU"/>
              </w:rPr>
            </w:pPr>
            <w:r w:rsidRPr="0074614F">
              <w:rPr>
                <w:sz w:val="26"/>
                <w:szCs w:val="26"/>
                <w:lang w:val="ro-MO"/>
              </w:rPr>
              <w:t xml:space="preserve">În sensul cadrului legislativ relevant speței, coroborând situația de fapt descrisă supra, Ministerul Afacerilor Interne consideră oportun demararea unui proiect de modificare și </w:t>
            </w:r>
            <w:r w:rsidRPr="0074614F">
              <w:rPr>
                <w:sz w:val="26"/>
                <w:szCs w:val="26"/>
                <w:lang w:val="ro-MO"/>
              </w:rPr>
              <w:lastRenderedPageBreak/>
              <w:t xml:space="preserve">completare a Legii </w:t>
            </w:r>
            <w:hyperlink r:id="rId7" w:history="1">
              <w:r w:rsidRPr="0074614F">
                <w:rPr>
                  <w:sz w:val="26"/>
                  <w:szCs w:val="26"/>
                  <w:lang w:val="ro-MO"/>
                </w:rPr>
                <w:t>nr. 355-XVI din 23 decembrie 2005</w:t>
              </w:r>
            </w:hyperlink>
            <w:r w:rsidRPr="0074614F">
              <w:rPr>
                <w:sz w:val="26"/>
                <w:szCs w:val="26"/>
                <w:lang w:val="ro-MO"/>
              </w:rPr>
              <w:t xml:space="preserve"> cu privire la sistemul de salarizare în sectorul bugetar. </w:t>
            </w:r>
            <w:r w:rsidRPr="0074614F">
              <w:rPr>
                <w:bCs/>
                <w:sz w:val="26"/>
                <w:szCs w:val="26"/>
                <w:lang w:val="ro-MO" w:eastAsia="ru-RU"/>
              </w:rPr>
              <w:t>Proiectul</w:t>
            </w:r>
            <w:r w:rsidRPr="0074614F">
              <w:rPr>
                <w:b/>
                <w:bCs/>
                <w:sz w:val="26"/>
                <w:szCs w:val="26"/>
                <w:lang w:val="ro-MO" w:eastAsia="ru-RU"/>
              </w:rPr>
              <w:t xml:space="preserve"> </w:t>
            </w:r>
            <w:r w:rsidRPr="0074614F">
              <w:rPr>
                <w:bCs/>
                <w:sz w:val="26"/>
                <w:szCs w:val="26"/>
                <w:lang w:val="ro-MO" w:eastAsia="ru-RU"/>
              </w:rPr>
              <w:t>conţine două articole cu următorul conţinut:</w:t>
            </w:r>
            <w:r w:rsidRPr="0074614F">
              <w:rPr>
                <w:b/>
                <w:bCs/>
                <w:sz w:val="26"/>
                <w:szCs w:val="26"/>
                <w:lang w:val="ro-MO" w:eastAsia="ru-RU"/>
              </w:rPr>
              <w:t xml:space="preserve"> </w:t>
            </w:r>
          </w:p>
          <w:p w:rsidR="002938DF" w:rsidRPr="0074614F" w:rsidRDefault="002938DF" w:rsidP="00033A08">
            <w:pPr>
              <w:spacing w:after="0" w:line="240" w:lineRule="auto"/>
              <w:ind w:firstLine="567"/>
              <w:jc w:val="both"/>
              <w:rPr>
                <w:rFonts w:ascii="Times New Roman" w:eastAsia="Times New Roman" w:hAnsi="Times New Roman" w:cs="Times New Roman"/>
                <w:sz w:val="26"/>
                <w:szCs w:val="26"/>
                <w:lang w:val="ro-MO" w:eastAsia="ru-RU"/>
              </w:rPr>
            </w:pPr>
            <w:r w:rsidRPr="0074614F">
              <w:rPr>
                <w:rFonts w:ascii="Times New Roman" w:hAnsi="Times New Roman" w:cs="Times New Roman"/>
                <w:bCs/>
                <w:sz w:val="26"/>
                <w:szCs w:val="26"/>
                <w:lang w:val="ro-MO" w:eastAsia="ru-RU"/>
              </w:rPr>
              <w:t>„</w:t>
            </w:r>
            <w:proofErr w:type="spellStart"/>
            <w:r w:rsidRPr="0074614F">
              <w:rPr>
                <w:rFonts w:ascii="Times New Roman" w:eastAsia="Times New Roman" w:hAnsi="Times New Roman" w:cs="Times New Roman"/>
                <w:b/>
                <w:bCs/>
                <w:sz w:val="26"/>
                <w:szCs w:val="26"/>
                <w:lang w:val="ro-MO" w:eastAsia="ru-RU"/>
              </w:rPr>
              <w:t>Art.I</w:t>
            </w:r>
            <w:proofErr w:type="spellEnd"/>
            <w:r w:rsidRPr="0074614F">
              <w:rPr>
                <w:rFonts w:ascii="Times New Roman" w:eastAsia="Times New Roman" w:hAnsi="Times New Roman" w:cs="Times New Roman"/>
                <w:b/>
                <w:bCs/>
                <w:sz w:val="26"/>
                <w:szCs w:val="26"/>
                <w:lang w:val="ro-MO" w:eastAsia="ru-RU"/>
              </w:rPr>
              <w:t>.</w:t>
            </w:r>
            <w:r w:rsidRPr="0074614F">
              <w:rPr>
                <w:rFonts w:ascii="Times New Roman" w:eastAsia="Times New Roman" w:hAnsi="Times New Roman" w:cs="Times New Roman"/>
                <w:sz w:val="26"/>
                <w:szCs w:val="26"/>
                <w:lang w:val="ro-MO" w:eastAsia="ru-RU"/>
              </w:rPr>
              <w:t xml:space="preserve"> – </w:t>
            </w:r>
            <w:hyperlink r:id="rId8" w:history="1">
              <w:r w:rsidRPr="0074614F">
                <w:rPr>
                  <w:rFonts w:ascii="Times New Roman" w:eastAsia="Times New Roman" w:hAnsi="Times New Roman" w:cs="Times New Roman"/>
                  <w:sz w:val="26"/>
                  <w:szCs w:val="26"/>
                  <w:lang w:val="ro-MO" w:eastAsia="ru-RU"/>
                </w:rPr>
                <w:t>Legea nr.355-XVI din 23 decembrie 2005</w:t>
              </w:r>
            </w:hyperlink>
            <w:r w:rsidRPr="0074614F">
              <w:rPr>
                <w:rFonts w:ascii="Times New Roman" w:eastAsia="Times New Roman" w:hAnsi="Times New Roman" w:cs="Times New Roman"/>
                <w:sz w:val="26"/>
                <w:szCs w:val="26"/>
                <w:lang w:val="ro-MO" w:eastAsia="ru-RU"/>
              </w:rPr>
              <w:t xml:space="preserve"> cu privire la sistemul de salarizare în sectorul bugetar (Monitorul Oficial al Republicii Moldova, 2006, nr.35–38, art.148), cu modificările şi completările ulterioare, se modifică şi se completează după cum urmează:</w:t>
            </w:r>
          </w:p>
          <w:p w:rsidR="002938DF" w:rsidRPr="0074614F" w:rsidRDefault="002938DF" w:rsidP="00033A08">
            <w:pPr>
              <w:spacing w:after="0" w:line="240" w:lineRule="auto"/>
              <w:jc w:val="both"/>
              <w:rPr>
                <w:rFonts w:ascii="Times New Roman" w:eastAsia="Times New Roman" w:hAnsi="Times New Roman" w:cs="Times New Roman"/>
                <w:sz w:val="26"/>
                <w:szCs w:val="26"/>
                <w:lang w:val="ro-MO" w:eastAsia="ru-RU"/>
              </w:rPr>
            </w:pPr>
            <w:r w:rsidRPr="0074614F">
              <w:rPr>
                <w:rFonts w:ascii="Times New Roman" w:eastAsia="Times New Roman" w:hAnsi="Times New Roman" w:cs="Times New Roman"/>
                <w:sz w:val="26"/>
                <w:szCs w:val="26"/>
                <w:lang w:val="ro-MO" w:eastAsia="ru-RU"/>
              </w:rPr>
              <w:t>1. Articolul 21</w:t>
            </w:r>
            <w:r w:rsidRPr="0074614F">
              <w:rPr>
                <w:rFonts w:ascii="Times New Roman" w:eastAsia="Times New Roman" w:hAnsi="Times New Roman" w:cs="Times New Roman"/>
                <w:sz w:val="26"/>
                <w:szCs w:val="26"/>
                <w:vertAlign w:val="superscript"/>
                <w:lang w:val="ro-MO" w:eastAsia="ru-RU"/>
              </w:rPr>
              <w:t>2</w:t>
            </w:r>
            <w:r w:rsidRPr="0074614F">
              <w:rPr>
                <w:rFonts w:ascii="Times New Roman" w:eastAsia="Times New Roman" w:hAnsi="Times New Roman" w:cs="Times New Roman"/>
                <w:sz w:val="26"/>
                <w:szCs w:val="26"/>
                <w:lang w:val="ro-MO" w:eastAsia="ru-RU"/>
              </w:rPr>
              <w:t xml:space="preserve"> va avea următorul cuprins: </w:t>
            </w:r>
          </w:p>
          <w:p w:rsidR="002938DF" w:rsidRPr="0074614F" w:rsidRDefault="002938DF" w:rsidP="00033A08">
            <w:pPr>
              <w:spacing w:after="0" w:line="240" w:lineRule="auto"/>
              <w:jc w:val="both"/>
              <w:rPr>
                <w:rFonts w:ascii="Times New Roman" w:eastAsia="Times New Roman" w:hAnsi="Times New Roman" w:cs="Times New Roman"/>
                <w:sz w:val="26"/>
                <w:szCs w:val="26"/>
                <w:lang w:val="ro-MO" w:eastAsia="ru-RU"/>
              </w:rPr>
            </w:pPr>
            <w:r w:rsidRPr="0074614F">
              <w:rPr>
                <w:rFonts w:ascii="Times New Roman" w:eastAsia="Times New Roman" w:hAnsi="Times New Roman" w:cs="Times New Roman"/>
                <w:sz w:val="26"/>
                <w:szCs w:val="26"/>
                <w:lang w:val="ro-MO" w:eastAsia="ru-RU"/>
              </w:rPr>
              <w:t>“Articolul 21</w:t>
            </w:r>
            <w:r w:rsidRPr="0074614F">
              <w:rPr>
                <w:rFonts w:ascii="Times New Roman" w:eastAsia="Times New Roman" w:hAnsi="Times New Roman" w:cs="Times New Roman"/>
                <w:sz w:val="26"/>
                <w:szCs w:val="26"/>
                <w:vertAlign w:val="superscript"/>
                <w:lang w:val="ro-MO" w:eastAsia="ru-RU"/>
              </w:rPr>
              <w:t>2</w:t>
            </w:r>
            <w:r w:rsidRPr="0074614F">
              <w:rPr>
                <w:rFonts w:ascii="Times New Roman" w:eastAsia="Times New Roman" w:hAnsi="Times New Roman" w:cs="Times New Roman"/>
                <w:sz w:val="26"/>
                <w:szCs w:val="26"/>
                <w:lang w:val="ro-MO" w:eastAsia="ru-RU"/>
              </w:rPr>
              <w:t xml:space="preserve">. Agenţii constatatori ai Poliţiei care, prin examinarea contravenţiilor, cu excepția celor constatate prin intermediul </w:t>
            </w:r>
            <w:r w:rsidRPr="0074614F">
              <w:rPr>
                <w:rFonts w:ascii="Times New Roman" w:hAnsi="Times New Roman" w:cs="Times New Roman"/>
                <w:color w:val="000000"/>
                <w:sz w:val="26"/>
                <w:szCs w:val="26"/>
                <w:lang w:val="ro-MO"/>
              </w:rPr>
              <w:t>Sistemului automatizat de supraveghere a circulaţiei rutiere „Controlul traficului”</w:t>
            </w:r>
            <w:r w:rsidRPr="0074614F">
              <w:rPr>
                <w:rFonts w:ascii="Times New Roman" w:eastAsia="Times New Roman" w:hAnsi="Times New Roman" w:cs="Times New Roman"/>
                <w:sz w:val="26"/>
                <w:szCs w:val="26"/>
                <w:lang w:val="ro-MO" w:eastAsia="ru-RU"/>
              </w:rPr>
              <w:t>, au contribuit la încasarea veniturilor la bugetul public naţional sunt stimulaţi financiar în mărime de 25% din sumele încasărilor respective, dar nu mai mult de 3 salarii medii lunare pe economie realizate în anul precedent din contul bugetului Inspectoratului General al Poliţiei. Procedura de stabilire a stimulărilor menţionate se va efectua în baza unui regulament aprobat de Guvern.”.</w:t>
            </w:r>
          </w:p>
          <w:p w:rsidR="002938DF" w:rsidRPr="0074614F" w:rsidRDefault="002938DF" w:rsidP="00033A08">
            <w:pPr>
              <w:spacing w:after="0" w:line="240" w:lineRule="auto"/>
              <w:jc w:val="both"/>
              <w:rPr>
                <w:rFonts w:ascii="Times New Roman" w:eastAsia="Times New Roman" w:hAnsi="Times New Roman" w:cs="Times New Roman"/>
                <w:sz w:val="26"/>
                <w:szCs w:val="26"/>
                <w:lang w:val="ro-MO" w:eastAsia="ru-RU"/>
              </w:rPr>
            </w:pPr>
            <w:r w:rsidRPr="0074614F">
              <w:rPr>
                <w:rFonts w:ascii="Times New Roman" w:eastAsia="Times New Roman" w:hAnsi="Times New Roman" w:cs="Times New Roman"/>
                <w:sz w:val="26"/>
                <w:szCs w:val="26"/>
                <w:lang w:val="ro-MO" w:eastAsia="ru-RU"/>
              </w:rPr>
              <w:t>2. Articolul 22</w:t>
            </w:r>
            <w:r w:rsidRPr="0074614F">
              <w:rPr>
                <w:rFonts w:ascii="Times New Roman" w:eastAsia="Times New Roman" w:hAnsi="Times New Roman" w:cs="Times New Roman"/>
                <w:sz w:val="26"/>
                <w:szCs w:val="26"/>
                <w:vertAlign w:val="superscript"/>
                <w:lang w:val="ro-MO" w:eastAsia="ru-RU"/>
              </w:rPr>
              <w:t>2</w:t>
            </w:r>
            <w:r w:rsidRPr="0074614F">
              <w:rPr>
                <w:rFonts w:ascii="Times New Roman" w:eastAsia="Times New Roman" w:hAnsi="Times New Roman" w:cs="Times New Roman"/>
                <w:sz w:val="26"/>
                <w:szCs w:val="26"/>
                <w:lang w:val="ro-MO" w:eastAsia="ru-RU"/>
              </w:rPr>
              <w:t>:</w:t>
            </w:r>
          </w:p>
          <w:p w:rsidR="002938DF" w:rsidRPr="0074614F" w:rsidRDefault="002938DF" w:rsidP="00033A08">
            <w:pPr>
              <w:spacing w:after="0" w:line="240" w:lineRule="auto"/>
              <w:jc w:val="both"/>
              <w:rPr>
                <w:rFonts w:ascii="Times New Roman" w:eastAsia="Times New Roman" w:hAnsi="Times New Roman" w:cs="Times New Roman"/>
                <w:sz w:val="26"/>
                <w:szCs w:val="26"/>
                <w:vertAlign w:val="superscript"/>
                <w:lang w:val="ro-MO" w:eastAsia="ru-RU"/>
              </w:rPr>
            </w:pPr>
            <w:r w:rsidRPr="0074614F">
              <w:rPr>
                <w:rFonts w:ascii="Times New Roman" w:eastAsia="Times New Roman" w:hAnsi="Times New Roman" w:cs="Times New Roman"/>
                <w:sz w:val="26"/>
                <w:szCs w:val="26"/>
                <w:lang w:val="ro-MO" w:eastAsia="ru-RU"/>
              </w:rPr>
              <w:t>la aliniatul (1), după cuvintele „art.21</w:t>
            </w:r>
            <w:r w:rsidRPr="0074614F">
              <w:rPr>
                <w:rFonts w:ascii="Times New Roman" w:eastAsia="Times New Roman" w:hAnsi="Times New Roman" w:cs="Times New Roman"/>
                <w:sz w:val="26"/>
                <w:szCs w:val="26"/>
                <w:vertAlign w:val="superscript"/>
                <w:lang w:val="ro-MO" w:eastAsia="ru-RU"/>
              </w:rPr>
              <w:t>1</w:t>
            </w:r>
            <w:r w:rsidRPr="0074614F">
              <w:rPr>
                <w:rFonts w:ascii="Times New Roman" w:eastAsia="Times New Roman" w:hAnsi="Times New Roman" w:cs="Times New Roman"/>
                <w:sz w:val="26"/>
                <w:szCs w:val="26"/>
                <w:lang w:val="ro-MO" w:eastAsia="ru-RU"/>
              </w:rPr>
              <w:t>,” se introduc cifrele „21</w:t>
            </w:r>
            <w:r w:rsidRPr="0074614F">
              <w:rPr>
                <w:rFonts w:ascii="Times New Roman" w:eastAsia="Times New Roman" w:hAnsi="Times New Roman" w:cs="Times New Roman"/>
                <w:sz w:val="26"/>
                <w:szCs w:val="26"/>
                <w:vertAlign w:val="superscript"/>
                <w:lang w:val="ro-MO" w:eastAsia="ru-RU"/>
              </w:rPr>
              <w:t>2”</w:t>
            </w:r>
            <w:r w:rsidRPr="0074614F">
              <w:rPr>
                <w:rFonts w:ascii="Times New Roman" w:eastAsia="Times New Roman" w:hAnsi="Times New Roman" w:cs="Times New Roman"/>
                <w:sz w:val="26"/>
                <w:szCs w:val="26"/>
                <w:lang w:val="ro-MO" w:eastAsia="ru-RU"/>
              </w:rPr>
              <w:t xml:space="preserve">. </w:t>
            </w:r>
          </w:p>
          <w:p w:rsidR="002938DF" w:rsidRPr="0074614F" w:rsidRDefault="002938DF" w:rsidP="00033A08">
            <w:pPr>
              <w:spacing w:after="0" w:line="240" w:lineRule="auto"/>
              <w:ind w:firstLine="567"/>
              <w:jc w:val="both"/>
              <w:rPr>
                <w:rFonts w:ascii="Times New Roman" w:eastAsia="Times New Roman" w:hAnsi="Times New Roman" w:cs="Times New Roman"/>
                <w:sz w:val="26"/>
                <w:szCs w:val="26"/>
                <w:lang w:val="ro-MO" w:eastAsia="ru-RU"/>
              </w:rPr>
            </w:pPr>
            <w:proofErr w:type="spellStart"/>
            <w:r w:rsidRPr="0074614F">
              <w:rPr>
                <w:rFonts w:ascii="Times New Roman" w:eastAsia="Times New Roman" w:hAnsi="Times New Roman" w:cs="Times New Roman"/>
                <w:b/>
                <w:bCs/>
                <w:sz w:val="26"/>
                <w:szCs w:val="26"/>
                <w:lang w:val="ro-MO" w:eastAsia="ru-RU"/>
              </w:rPr>
              <w:t>Art.II</w:t>
            </w:r>
            <w:proofErr w:type="spellEnd"/>
            <w:r w:rsidRPr="0074614F">
              <w:rPr>
                <w:rFonts w:ascii="Times New Roman" w:eastAsia="Times New Roman" w:hAnsi="Times New Roman" w:cs="Times New Roman"/>
                <w:b/>
                <w:bCs/>
                <w:sz w:val="26"/>
                <w:szCs w:val="26"/>
                <w:lang w:val="ro-MO" w:eastAsia="ru-RU"/>
              </w:rPr>
              <w:t>.</w:t>
            </w:r>
            <w:r w:rsidRPr="0074614F">
              <w:rPr>
                <w:rFonts w:ascii="Times New Roman" w:eastAsia="Times New Roman" w:hAnsi="Times New Roman" w:cs="Times New Roman"/>
                <w:sz w:val="26"/>
                <w:szCs w:val="26"/>
                <w:lang w:val="ro-MO" w:eastAsia="ru-RU"/>
              </w:rPr>
              <w:t xml:space="preserve"> – Prezenta lege intră în vigoare la 01 octombrie 2018.</w:t>
            </w:r>
          </w:p>
          <w:p w:rsidR="002938DF" w:rsidRPr="0074614F" w:rsidRDefault="002938DF" w:rsidP="00033A08">
            <w:pPr>
              <w:spacing w:after="120" w:line="240" w:lineRule="auto"/>
              <w:jc w:val="both"/>
              <w:rPr>
                <w:rFonts w:ascii="Times New Roman" w:eastAsia="Times New Roman" w:hAnsi="Times New Roman" w:cs="Times New Roman"/>
                <w:sz w:val="26"/>
                <w:szCs w:val="26"/>
                <w:lang w:val="ro-MO" w:eastAsia="ru-RU"/>
              </w:rPr>
            </w:pPr>
            <w:r w:rsidRPr="0074614F">
              <w:rPr>
                <w:rFonts w:ascii="Times New Roman" w:eastAsia="Times New Roman" w:hAnsi="Times New Roman" w:cs="Times New Roman"/>
                <w:sz w:val="26"/>
                <w:szCs w:val="26"/>
                <w:lang w:val="ro-MO" w:eastAsia="ru-RU"/>
              </w:rPr>
              <w:t xml:space="preserve">Având în vedere că stimularea financiară se calculează trimestrial şi, respectiv curgerea trimestrului I a început, se propune ca legea să între în vigoare de la începerea trimestrului IV, adică din 1 octombrie 2018. </w:t>
            </w:r>
          </w:p>
        </w:tc>
      </w:tr>
      <w:tr w:rsidR="002938DF" w:rsidRPr="002938DF" w:rsidTr="00033A08">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D9D9D9"/>
          </w:tcPr>
          <w:p w:rsidR="002938DF" w:rsidRPr="0074614F" w:rsidRDefault="002938DF" w:rsidP="00033A08">
            <w:pPr>
              <w:autoSpaceDE w:val="0"/>
              <w:autoSpaceDN w:val="0"/>
              <w:adjustRightInd w:val="0"/>
              <w:spacing w:after="120" w:line="276" w:lineRule="auto"/>
              <w:ind w:firstLine="539"/>
              <w:rPr>
                <w:rFonts w:ascii="Times New Roman" w:eastAsia="Calibri" w:hAnsi="Times New Roman" w:cs="Times New Roman"/>
                <w:sz w:val="26"/>
                <w:szCs w:val="26"/>
                <w:lang w:val="ro-MO"/>
              </w:rPr>
            </w:pPr>
            <w:r w:rsidRPr="0074614F">
              <w:rPr>
                <w:rFonts w:ascii="Times New Roman" w:eastAsia="Calibri" w:hAnsi="Times New Roman" w:cs="Times New Roman"/>
                <w:b/>
                <w:bCs/>
                <w:sz w:val="26"/>
                <w:szCs w:val="26"/>
                <w:lang w:val="ro-MO"/>
              </w:rPr>
              <w:lastRenderedPageBreak/>
              <w:t>3. Scopul şi obiectivele urmărite prin adoptarea actului normativ</w:t>
            </w:r>
          </w:p>
        </w:tc>
      </w:tr>
      <w:tr w:rsidR="002938DF" w:rsidRPr="002938DF" w:rsidTr="00033A08">
        <w:trPr>
          <w:trHeight w:val="1"/>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2938DF" w:rsidRPr="0074614F" w:rsidRDefault="002938DF" w:rsidP="00033A08">
            <w:pPr>
              <w:shd w:val="clear" w:color="auto" w:fill="FFFFFF" w:themeFill="background1"/>
              <w:spacing w:after="120"/>
              <w:jc w:val="both"/>
              <w:rPr>
                <w:rFonts w:ascii="Times New Roman" w:eastAsia="Calibri" w:hAnsi="Times New Roman" w:cs="Times New Roman"/>
                <w:sz w:val="26"/>
                <w:szCs w:val="26"/>
                <w:lang w:val="ro-MO"/>
              </w:rPr>
            </w:pPr>
            <w:r w:rsidRPr="0074614F">
              <w:rPr>
                <w:rFonts w:ascii="Times New Roman" w:eastAsia="Calibri" w:hAnsi="Times New Roman" w:cs="Times New Roman"/>
                <w:sz w:val="26"/>
                <w:szCs w:val="26"/>
                <w:lang w:val="ro-MO"/>
              </w:rPr>
              <w:t>Aprobarea proiectului propus are ca scop eficientizarea și îmbunătățirea activității angajaţilor Poliţiei, amendamentele propuse vor încuraja în mod substanţial la realizarea</w:t>
            </w:r>
            <w:r w:rsidRPr="0074614F">
              <w:rPr>
                <w:rFonts w:ascii="Times New Roman" w:hAnsi="Times New Roman" w:cs="Times New Roman"/>
                <w:sz w:val="26"/>
                <w:szCs w:val="26"/>
                <w:lang w:val="ro-MO"/>
              </w:rPr>
              <w:t xml:space="preserve"> eficientă a sarcinilor, funcţiilor şi drepturilor Poliției, exercitarea adecvată a obligaţiilor angajaților Poliției în procesul exercițiului atribuțiilor de serviciu, precum și consolidării capacității Poliției de a răspunde prompt și conform la anumite necesităţi de finanţare în situaţii imprevizibile, care survin pe parcursul anului bugetar.</w:t>
            </w:r>
          </w:p>
        </w:tc>
      </w:tr>
      <w:tr w:rsidR="002938DF" w:rsidRPr="0074614F" w:rsidTr="00033A08">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E0E0E0"/>
          </w:tcPr>
          <w:p w:rsidR="002938DF" w:rsidRPr="0074614F" w:rsidRDefault="002938DF" w:rsidP="00033A08">
            <w:pPr>
              <w:autoSpaceDE w:val="0"/>
              <w:autoSpaceDN w:val="0"/>
              <w:adjustRightInd w:val="0"/>
              <w:spacing w:after="120" w:line="276" w:lineRule="auto"/>
              <w:ind w:firstLine="539"/>
              <w:rPr>
                <w:rFonts w:ascii="Times New Roman" w:eastAsia="Calibri" w:hAnsi="Times New Roman" w:cs="Times New Roman"/>
                <w:sz w:val="26"/>
                <w:szCs w:val="26"/>
                <w:lang w:val="ro-MO"/>
              </w:rPr>
            </w:pPr>
            <w:r w:rsidRPr="0074614F">
              <w:rPr>
                <w:rFonts w:ascii="Times New Roman" w:eastAsia="Calibri" w:hAnsi="Times New Roman" w:cs="Times New Roman"/>
                <w:b/>
                <w:bCs/>
                <w:sz w:val="26"/>
                <w:szCs w:val="26"/>
                <w:lang w:val="ro-MO"/>
              </w:rPr>
              <w:t>4. Descrierea constatărilor expertizei anticorupţie</w:t>
            </w:r>
          </w:p>
        </w:tc>
      </w:tr>
      <w:tr w:rsidR="002938DF" w:rsidRPr="002938DF" w:rsidTr="00033A08">
        <w:trPr>
          <w:trHeight w:val="635"/>
        </w:trPr>
        <w:tc>
          <w:tcPr>
            <w:tcW w:w="993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938DF" w:rsidRPr="0074614F" w:rsidRDefault="002938DF" w:rsidP="00033A08">
            <w:pPr>
              <w:autoSpaceDE w:val="0"/>
              <w:autoSpaceDN w:val="0"/>
              <w:adjustRightInd w:val="0"/>
              <w:spacing w:after="120" w:line="276" w:lineRule="auto"/>
              <w:ind w:firstLine="539"/>
              <w:jc w:val="both"/>
              <w:rPr>
                <w:rFonts w:ascii="Times New Roman" w:eastAsia="Calibri" w:hAnsi="Times New Roman" w:cs="Times New Roman"/>
                <w:sz w:val="26"/>
                <w:szCs w:val="26"/>
                <w:lang w:val="ro-MO"/>
              </w:rPr>
            </w:pPr>
            <w:r w:rsidRPr="0074614F">
              <w:rPr>
                <w:rFonts w:ascii="Times New Roman" w:eastAsia="Calibri" w:hAnsi="Times New Roman" w:cs="Times New Roman"/>
                <w:sz w:val="26"/>
                <w:szCs w:val="26"/>
                <w:lang w:val="ro-MO"/>
              </w:rPr>
              <w:t>Se va introduce după efectuarea expertizei anticorupție.</w:t>
            </w:r>
          </w:p>
        </w:tc>
      </w:tr>
      <w:tr w:rsidR="002938DF" w:rsidRPr="0074614F" w:rsidTr="00033A08">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E0E0E0"/>
          </w:tcPr>
          <w:p w:rsidR="002938DF" w:rsidRPr="0074614F" w:rsidRDefault="002938DF" w:rsidP="00033A08">
            <w:pPr>
              <w:autoSpaceDE w:val="0"/>
              <w:autoSpaceDN w:val="0"/>
              <w:adjustRightInd w:val="0"/>
              <w:spacing w:after="120" w:line="276" w:lineRule="auto"/>
              <w:ind w:firstLine="539"/>
              <w:rPr>
                <w:rFonts w:ascii="Times New Roman" w:eastAsia="Calibri" w:hAnsi="Times New Roman" w:cs="Times New Roman"/>
                <w:sz w:val="26"/>
                <w:szCs w:val="26"/>
                <w:lang w:val="ro-MO"/>
              </w:rPr>
            </w:pPr>
            <w:r w:rsidRPr="0074614F">
              <w:rPr>
                <w:rFonts w:ascii="Times New Roman" w:eastAsia="Calibri" w:hAnsi="Times New Roman" w:cs="Times New Roman"/>
                <w:b/>
                <w:bCs/>
                <w:sz w:val="26"/>
                <w:szCs w:val="26"/>
                <w:lang w:val="ro-MO"/>
              </w:rPr>
              <w:t>5. Rezultatele expertizei juridice</w:t>
            </w:r>
          </w:p>
        </w:tc>
      </w:tr>
      <w:tr w:rsidR="002938DF" w:rsidRPr="002938DF" w:rsidTr="00033A08">
        <w:trPr>
          <w:trHeight w:val="719"/>
        </w:trPr>
        <w:tc>
          <w:tcPr>
            <w:tcW w:w="993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938DF" w:rsidRPr="0074614F" w:rsidRDefault="002938DF" w:rsidP="00033A08">
            <w:pPr>
              <w:autoSpaceDE w:val="0"/>
              <w:autoSpaceDN w:val="0"/>
              <w:adjustRightInd w:val="0"/>
              <w:spacing w:after="120" w:line="276" w:lineRule="auto"/>
              <w:ind w:firstLine="612"/>
              <w:jc w:val="both"/>
              <w:rPr>
                <w:rFonts w:ascii="Times New Roman" w:eastAsia="Calibri" w:hAnsi="Times New Roman" w:cs="Times New Roman"/>
                <w:sz w:val="26"/>
                <w:szCs w:val="26"/>
                <w:lang w:val="ro-MO"/>
              </w:rPr>
            </w:pPr>
            <w:r w:rsidRPr="0074614F">
              <w:rPr>
                <w:rFonts w:ascii="Times New Roman" w:eastAsia="Calibri" w:hAnsi="Times New Roman" w:cs="Times New Roman"/>
                <w:sz w:val="26"/>
                <w:szCs w:val="26"/>
                <w:lang w:val="ro-MO"/>
              </w:rPr>
              <w:t xml:space="preserve">Se va introduce după efectuarea expertizei juridice. </w:t>
            </w:r>
          </w:p>
        </w:tc>
      </w:tr>
      <w:tr w:rsidR="002938DF" w:rsidRPr="002938DF" w:rsidTr="00033A08">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E0E0E0"/>
          </w:tcPr>
          <w:p w:rsidR="002938DF" w:rsidRPr="0074614F" w:rsidRDefault="002938DF" w:rsidP="00033A08">
            <w:pPr>
              <w:autoSpaceDE w:val="0"/>
              <w:autoSpaceDN w:val="0"/>
              <w:adjustRightInd w:val="0"/>
              <w:spacing w:after="120" w:line="276" w:lineRule="auto"/>
              <w:ind w:firstLine="539"/>
              <w:rPr>
                <w:rFonts w:ascii="Times New Roman" w:eastAsia="Calibri" w:hAnsi="Times New Roman" w:cs="Times New Roman"/>
                <w:sz w:val="26"/>
                <w:szCs w:val="26"/>
                <w:lang w:val="ro-MO"/>
              </w:rPr>
            </w:pPr>
            <w:r w:rsidRPr="0074614F">
              <w:rPr>
                <w:rFonts w:ascii="Times New Roman" w:eastAsia="Calibri" w:hAnsi="Times New Roman" w:cs="Times New Roman"/>
                <w:b/>
                <w:bCs/>
                <w:sz w:val="26"/>
                <w:szCs w:val="26"/>
                <w:lang w:val="ro-MO"/>
              </w:rPr>
              <w:t xml:space="preserve">6. Respectarea transparenţei în procesul decizional </w:t>
            </w:r>
          </w:p>
        </w:tc>
      </w:tr>
      <w:tr w:rsidR="002938DF" w:rsidRPr="002938DF" w:rsidTr="00033A08">
        <w:trPr>
          <w:trHeight w:val="303"/>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2938DF" w:rsidRPr="0074614F" w:rsidRDefault="002938DF" w:rsidP="00033A08">
            <w:pPr>
              <w:autoSpaceDE w:val="0"/>
              <w:autoSpaceDN w:val="0"/>
              <w:adjustRightInd w:val="0"/>
              <w:spacing w:after="120" w:line="276" w:lineRule="auto"/>
              <w:jc w:val="both"/>
              <w:rPr>
                <w:rFonts w:ascii="Times New Roman" w:eastAsia="Calibri" w:hAnsi="Times New Roman" w:cs="Times New Roman"/>
                <w:sz w:val="26"/>
                <w:szCs w:val="26"/>
                <w:lang w:val="ro-MO"/>
              </w:rPr>
            </w:pPr>
            <w:r w:rsidRPr="0074614F">
              <w:rPr>
                <w:rFonts w:ascii="Times New Roman" w:eastAsia="Calibri" w:hAnsi="Times New Roman" w:cs="Times New Roman"/>
                <w:sz w:val="26"/>
                <w:szCs w:val="26"/>
                <w:lang w:val="ro-MO"/>
              </w:rPr>
              <w:t>Proiectul legii este plasat pe pagina oficială a Ministerului Afacerilor Interne pentru asigurarea consultărilor publice.</w:t>
            </w:r>
          </w:p>
        </w:tc>
      </w:tr>
      <w:tr w:rsidR="002938DF" w:rsidRPr="0074614F" w:rsidTr="00033A08">
        <w:trPr>
          <w:trHeight w:val="303"/>
        </w:trPr>
        <w:tc>
          <w:tcPr>
            <w:tcW w:w="9936" w:type="dxa"/>
            <w:tcBorders>
              <w:top w:val="single" w:sz="3" w:space="0" w:color="000000"/>
              <w:left w:val="single" w:sz="3" w:space="0" w:color="000000"/>
              <w:bottom w:val="single" w:sz="3" w:space="0" w:color="000000"/>
              <w:right w:val="single" w:sz="3" w:space="0" w:color="000000"/>
            </w:tcBorders>
            <w:shd w:val="clear" w:color="auto" w:fill="E0E0E0"/>
          </w:tcPr>
          <w:p w:rsidR="002938DF" w:rsidRPr="0074614F" w:rsidRDefault="002938DF" w:rsidP="00033A08">
            <w:pPr>
              <w:autoSpaceDE w:val="0"/>
              <w:autoSpaceDN w:val="0"/>
              <w:adjustRightInd w:val="0"/>
              <w:spacing w:after="120" w:line="276" w:lineRule="auto"/>
              <w:ind w:firstLine="539"/>
              <w:rPr>
                <w:rFonts w:ascii="Times New Roman" w:eastAsia="Calibri" w:hAnsi="Times New Roman" w:cs="Times New Roman"/>
                <w:sz w:val="26"/>
                <w:szCs w:val="26"/>
                <w:lang w:val="ro-MO"/>
              </w:rPr>
            </w:pPr>
            <w:r w:rsidRPr="0074614F">
              <w:rPr>
                <w:rFonts w:ascii="Times New Roman" w:eastAsia="Calibri" w:hAnsi="Times New Roman" w:cs="Times New Roman"/>
                <w:b/>
                <w:bCs/>
                <w:sz w:val="26"/>
                <w:szCs w:val="26"/>
                <w:lang w:val="ro-MO"/>
              </w:rPr>
              <w:t>7. Fundamentarea economico-financiară</w:t>
            </w:r>
          </w:p>
        </w:tc>
      </w:tr>
      <w:tr w:rsidR="002938DF" w:rsidRPr="002938DF" w:rsidTr="00033A08">
        <w:trPr>
          <w:trHeight w:val="438"/>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2938DF" w:rsidRPr="0074614F" w:rsidRDefault="002938DF" w:rsidP="00033A08">
            <w:pPr>
              <w:shd w:val="clear" w:color="auto" w:fill="FFFFFF"/>
              <w:spacing w:after="120" w:line="276" w:lineRule="auto"/>
              <w:jc w:val="both"/>
              <w:rPr>
                <w:rFonts w:ascii="Times New Roman" w:hAnsi="Times New Roman" w:cs="Times New Roman"/>
                <w:b/>
                <w:bCs/>
                <w:color w:val="000000"/>
                <w:sz w:val="26"/>
                <w:szCs w:val="26"/>
                <w:lang w:val="ro-MO"/>
              </w:rPr>
            </w:pPr>
            <w:r w:rsidRPr="0074614F">
              <w:rPr>
                <w:rFonts w:ascii="Times New Roman" w:eastAsia="Calibri" w:hAnsi="Times New Roman" w:cs="Times New Roman"/>
                <w:sz w:val="26"/>
                <w:szCs w:val="26"/>
                <w:lang w:val="ro-MO"/>
              </w:rPr>
              <w:t xml:space="preserve">        Implementarea proiectului legii nu necesită cheltuieli financiare suplimentare. </w:t>
            </w:r>
          </w:p>
        </w:tc>
      </w:tr>
    </w:tbl>
    <w:p w:rsidR="002938DF" w:rsidRPr="0074614F" w:rsidRDefault="002938DF" w:rsidP="002938DF">
      <w:pPr>
        <w:tabs>
          <w:tab w:val="left" w:pos="300"/>
          <w:tab w:val="left" w:pos="4155"/>
        </w:tabs>
        <w:jc w:val="both"/>
        <w:rPr>
          <w:rFonts w:ascii="Times New Roman" w:hAnsi="Times New Roman" w:cs="Times New Roman"/>
          <w:sz w:val="26"/>
          <w:szCs w:val="26"/>
          <w:lang w:val="ro-MO"/>
        </w:rPr>
      </w:pPr>
    </w:p>
    <w:p w:rsidR="002938DF" w:rsidRPr="0074614F" w:rsidRDefault="002938DF" w:rsidP="002938DF">
      <w:pPr>
        <w:tabs>
          <w:tab w:val="left" w:pos="300"/>
          <w:tab w:val="left" w:pos="4155"/>
        </w:tabs>
        <w:jc w:val="both"/>
        <w:rPr>
          <w:rFonts w:ascii="Times New Roman" w:hAnsi="Times New Roman" w:cs="Times New Roman"/>
          <w:b/>
          <w:sz w:val="26"/>
          <w:szCs w:val="26"/>
          <w:lang w:val="ro-MO"/>
        </w:rPr>
      </w:pPr>
      <w:r w:rsidRPr="0074614F">
        <w:rPr>
          <w:rFonts w:ascii="Times New Roman" w:hAnsi="Times New Roman" w:cs="Times New Roman"/>
          <w:b/>
          <w:sz w:val="26"/>
          <w:szCs w:val="26"/>
          <w:lang w:val="ro-MO"/>
        </w:rPr>
        <w:t>Secretar de stat</w:t>
      </w:r>
      <w:r w:rsidRPr="0074614F">
        <w:rPr>
          <w:rFonts w:ascii="Times New Roman" w:hAnsi="Times New Roman" w:cs="Times New Roman"/>
          <w:b/>
          <w:sz w:val="26"/>
          <w:szCs w:val="26"/>
          <w:lang w:val="ro-MO"/>
        </w:rPr>
        <w:tab/>
      </w:r>
      <w:r w:rsidRPr="0074614F">
        <w:rPr>
          <w:rFonts w:ascii="Times New Roman" w:hAnsi="Times New Roman" w:cs="Times New Roman"/>
          <w:b/>
          <w:sz w:val="26"/>
          <w:szCs w:val="26"/>
          <w:lang w:val="ro-MO"/>
        </w:rPr>
        <w:tab/>
      </w:r>
      <w:r w:rsidRPr="0074614F">
        <w:rPr>
          <w:rFonts w:ascii="Times New Roman" w:hAnsi="Times New Roman" w:cs="Times New Roman"/>
          <w:b/>
          <w:sz w:val="26"/>
          <w:szCs w:val="26"/>
          <w:lang w:val="ro-MO"/>
        </w:rPr>
        <w:tab/>
      </w:r>
      <w:r w:rsidRPr="0074614F">
        <w:rPr>
          <w:rFonts w:ascii="Times New Roman" w:hAnsi="Times New Roman" w:cs="Times New Roman"/>
          <w:b/>
          <w:sz w:val="26"/>
          <w:szCs w:val="26"/>
          <w:lang w:val="ro-MO"/>
        </w:rPr>
        <w:tab/>
      </w:r>
      <w:r w:rsidRPr="0074614F">
        <w:rPr>
          <w:rFonts w:ascii="Times New Roman" w:hAnsi="Times New Roman" w:cs="Times New Roman"/>
          <w:b/>
          <w:sz w:val="26"/>
          <w:szCs w:val="26"/>
          <w:lang w:val="ro-MO"/>
        </w:rPr>
        <w:tab/>
      </w:r>
      <w:r w:rsidRPr="0074614F">
        <w:rPr>
          <w:rFonts w:ascii="Times New Roman" w:hAnsi="Times New Roman" w:cs="Times New Roman"/>
          <w:b/>
          <w:sz w:val="26"/>
          <w:szCs w:val="26"/>
          <w:lang w:val="ro-MO"/>
        </w:rPr>
        <w:tab/>
        <w:t xml:space="preserve"> Dorin PURICE</w:t>
      </w:r>
    </w:p>
    <w:p w:rsidR="002938DF" w:rsidRPr="0074614F" w:rsidRDefault="002938DF" w:rsidP="002938DF">
      <w:pPr>
        <w:tabs>
          <w:tab w:val="left" w:pos="6499"/>
        </w:tabs>
        <w:spacing w:line="276" w:lineRule="auto"/>
        <w:rPr>
          <w:rFonts w:ascii="Times New Roman" w:hAnsi="Times New Roman" w:cs="Times New Roman"/>
          <w:b/>
          <w:sz w:val="27"/>
          <w:szCs w:val="27"/>
          <w:lang w:val="ro-MO"/>
        </w:rPr>
      </w:pPr>
    </w:p>
    <w:p w:rsidR="00D3259D" w:rsidRDefault="00D3259D">
      <w:bookmarkStart w:id="3" w:name="_GoBack"/>
      <w:bookmarkEnd w:id="3"/>
    </w:p>
    <w:sectPr w:rsidR="00D3259D" w:rsidSect="00D7686E">
      <w:headerReference w:type="default" r:id="rId9"/>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647" w:rsidRPr="00D97647" w:rsidRDefault="002938DF" w:rsidP="00D97647">
    <w:pPr>
      <w:pStyle w:val="a3"/>
      <w:tabs>
        <w:tab w:val="clear" w:pos="4677"/>
        <w:tab w:val="clear" w:pos="9355"/>
        <w:tab w:val="left" w:pos="8152"/>
      </w:tabs>
      <w:rPr>
        <w:lang w:val="ro-RO"/>
      </w:rPr>
    </w:pPr>
    <w:r>
      <w:rPr>
        <w:lang w:val="ro-RO"/>
      </w:rPr>
      <w:t xml:space="preserve">                                             </w:t>
    </w:r>
    <w:r>
      <w:rPr>
        <w:lang w:val="ro-RO"/>
      </w:rPr>
      <w:tab/>
      <w:t>Proiect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2B3"/>
    <w:rsid w:val="0018144C"/>
    <w:rsid w:val="002938DF"/>
    <w:rsid w:val="005732B3"/>
    <w:rsid w:val="00D32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8D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n">
    <w:name w:val="cn"/>
    <w:basedOn w:val="a"/>
    <w:rsid w:val="002938DF"/>
    <w:pPr>
      <w:spacing w:after="0" w:line="240" w:lineRule="auto"/>
      <w:jc w:val="center"/>
    </w:pPr>
    <w:rPr>
      <w:rFonts w:ascii="Times New Roman" w:eastAsia="Times New Roman" w:hAnsi="Times New Roman" w:cs="Times New Roman"/>
      <w:sz w:val="24"/>
      <w:szCs w:val="24"/>
      <w:lang w:eastAsia="ru-RU"/>
    </w:rPr>
  </w:style>
  <w:style w:type="paragraph" w:styleId="a3">
    <w:name w:val="header"/>
    <w:basedOn w:val="a"/>
    <w:link w:val="a4"/>
    <w:uiPriority w:val="99"/>
    <w:semiHidden/>
    <w:unhideWhenUsed/>
    <w:rsid w:val="002938D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938DF"/>
  </w:style>
  <w:style w:type="table" w:styleId="a5">
    <w:name w:val="Table Grid"/>
    <w:basedOn w:val="a1"/>
    <w:uiPriority w:val="59"/>
    <w:rsid w:val="00293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rsid w:val="002938DF"/>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2938DF"/>
    <w:pPr>
      <w:widowControl w:val="0"/>
      <w:shd w:val="clear" w:color="auto" w:fill="FFFFFF"/>
      <w:spacing w:after="0" w:line="322" w:lineRule="exact"/>
      <w:jc w:val="both"/>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8D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n">
    <w:name w:val="cn"/>
    <w:basedOn w:val="a"/>
    <w:rsid w:val="002938DF"/>
    <w:pPr>
      <w:spacing w:after="0" w:line="240" w:lineRule="auto"/>
      <w:jc w:val="center"/>
    </w:pPr>
    <w:rPr>
      <w:rFonts w:ascii="Times New Roman" w:eastAsia="Times New Roman" w:hAnsi="Times New Roman" w:cs="Times New Roman"/>
      <w:sz w:val="24"/>
      <w:szCs w:val="24"/>
      <w:lang w:eastAsia="ru-RU"/>
    </w:rPr>
  </w:style>
  <w:style w:type="paragraph" w:styleId="a3">
    <w:name w:val="header"/>
    <w:basedOn w:val="a"/>
    <w:link w:val="a4"/>
    <w:uiPriority w:val="99"/>
    <w:semiHidden/>
    <w:unhideWhenUsed/>
    <w:rsid w:val="002938D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938DF"/>
  </w:style>
  <w:style w:type="table" w:styleId="a5">
    <w:name w:val="Table Grid"/>
    <w:basedOn w:val="a1"/>
    <w:uiPriority w:val="59"/>
    <w:rsid w:val="00293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rsid w:val="002938DF"/>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2938DF"/>
    <w:pPr>
      <w:widowControl w:val="0"/>
      <w:shd w:val="clear" w:color="auto" w:fill="FFFFFF"/>
      <w:spacing w:after="0" w:line="322" w:lineRule="exact"/>
      <w:jc w:val="both"/>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051223355" TargetMode="External"/><Relationship Id="rId3" Type="http://schemas.openxmlformats.org/officeDocument/2006/relationships/settings" Target="settings.xml"/><Relationship Id="rId7" Type="http://schemas.openxmlformats.org/officeDocument/2006/relationships/hyperlink" Target="lex:LPLP2005122335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lex:LPLP20051223355" TargetMode="External"/><Relationship Id="rId11" Type="http://schemas.openxmlformats.org/officeDocument/2006/relationships/theme" Target="theme/theme1.xml"/><Relationship Id="rId5" Type="http://schemas.openxmlformats.org/officeDocument/2006/relationships/hyperlink" Target="lex:LPLP2005122335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1432</Words>
  <Characters>8166</Characters>
  <Application>Microsoft Office Word</Application>
  <DocSecurity>0</DocSecurity>
  <Lines>68</Lines>
  <Paragraphs>19</Paragraphs>
  <ScaleCrop>false</ScaleCrop>
  <Company>diakov.net</Company>
  <LinksUpToDate>false</LinksUpToDate>
  <CharactersWithSpaces>9579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2018-07-03T08:08:00Z</dcterms:created>
  <dcterms:modified xsi:type="dcterms:W3CDTF">2018-07-03T08:08:00Z</dcterms:modified>
</cp:coreProperties>
</file>