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7D5" w:rsidRPr="00E34C78" w:rsidRDefault="009C07D5" w:rsidP="009C07D5">
      <w:pPr>
        <w:pStyle w:val="NoSpacing"/>
        <w:jc w:val="center"/>
        <w:rPr>
          <w:rFonts w:ascii="Times New Roman" w:hAnsi="Times New Roman" w:cs="Times New Roman"/>
          <w:b/>
          <w:sz w:val="26"/>
          <w:szCs w:val="26"/>
        </w:rPr>
      </w:pPr>
      <w:r w:rsidRPr="00E34C78">
        <w:rPr>
          <w:rFonts w:ascii="Times New Roman" w:hAnsi="Times New Roman" w:cs="Times New Roman"/>
          <w:b/>
          <w:sz w:val="26"/>
          <w:szCs w:val="26"/>
        </w:rPr>
        <w:t>Notă informativă</w:t>
      </w:r>
    </w:p>
    <w:p w:rsidR="009C07D5" w:rsidRPr="00E34C78" w:rsidRDefault="009C07D5" w:rsidP="009C07D5">
      <w:pPr>
        <w:spacing w:after="0" w:line="240" w:lineRule="auto"/>
        <w:jc w:val="center"/>
        <w:rPr>
          <w:rFonts w:ascii="Times New Roman" w:hAnsi="Times New Roman" w:cs="Times New Roman"/>
          <w:b/>
          <w:sz w:val="26"/>
          <w:szCs w:val="26"/>
        </w:rPr>
      </w:pPr>
      <w:proofErr w:type="gramStart"/>
      <w:r w:rsidRPr="00E34C78">
        <w:rPr>
          <w:rFonts w:ascii="Times New Roman" w:hAnsi="Times New Roman" w:cs="Times New Roman"/>
          <w:b/>
          <w:sz w:val="26"/>
          <w:szCs w:val="26"/>
        </w:rPr>
        <w:t>la</w:t>
      </w:r>
      <w:proofErr w:type="gramEnd"/>
      <w:r w:rsidRPr="00E34C78">
        <w:rPr>
          <w:rFonts w:ascii="Times New Roman" w:hAnsi="Times New Roman" w:cs="Times New Roman"/>
          <w:b/>
          <w:sz w:val="26"/>
          <w:szCs w:val="26"/>
        </w:rPr>
        <w:t xml:space="preserve"> proiectul de hotărâre a Guvernului</w:t>
      </w:r>
    </w:p>
    <w:p w:rsidR="009C07D5" w:rsidRPr="00E34C78" w:rsidRDefault="009C07D5" w:rsidP="009C07D5">
      <w:pPr>
        <w:spacing w:after="0" w:line="240" w:lineRule="auto"/>
        <w:jc w:val="center"/>
        <w:rPr>
          <w:rFonts w:ascii="Times New Roman" w:eastAsia="Times New Roman" w:hAnsi="Times New Roman" w:cs="Times New Roman"/>
          <w:b/>
          <w:bCs/>
          <w:sz w:val="26"/>
          <w:szCs w:val="26"/>
          <w:lang w:eastAsia="ru-RU"/>
        </w:rPr>
      </w:pPr>
      <w:r w:rsidRPr="00E34C78">
        <w:rPr>
          <w:rFonts w:ascii="Times New Roman" w:hAnsi="Times New Roman" w:cs="Times New Roman"/>
          <w:b/>
          <w:sz w:val="26"/>
          <w:szCs w:val="26"/>
        </w:rPr>
        <w:t xml:space="preserve"> </w:t>
      </w:r>
      <w:proofErr w:type="gramStart"/>
      <w:r w:rsidRPr="00E34C78">
        <w:rPr>
          <w:rFonts w:ascii="Times New Roman" w:eastAsia="Times New Roman" w:hAnsi="Times New Roman" w:cs="Times New Roman"/>
          <w:b/>
          <w:bCs/>
          <w:sz w:val="26"/>
          <w:szCs w:val="26"/>
          <w:lang w:eastAsia="ru-RU"/>
        </w:rPr>
        <w:t>pentru</w:t>
      </w:r>
      <w:proofErr w:type="gramEnd"/>
      <w:r w:rsidRPr="00E34C78">
        <w:rPr>
          <w:rFonts w:ascii="Times New Roman" w:eastAsia="Times New Roman" w:hAnsi="Times New Roman" w:cs="Times New Roman"/>
          <w:b/>
          <w:bCs/>
          <w:sz w:val="26"/>
          <w:szCs w:val="26"/>
          <w:lang w:eastAsia="ru-RU"/>
        </w:rPr>
        <w:t xml:space="preserve"> modificarea unor hotărâri ale Guvernului</w:t>
      </w:r>
    </w:p>
    <w:p w:rsidR="009C07D5" w:rsidRPr="00044CEA" w:rsidRDefault="009C07D5" w:rsidP="009C07D5">
      <w:pPr>
        <w:pStyle w:val="tt"/>
        <w:rPr>
          <w:sz w:val="26"/>
          <w:szCs w:val="26"/>
        </w:rPr>
      </w:pPr>
    </w:p>
    <w:tbl>
      <w:tblPr>
        <w:tblW w:w="5318" w:type="pct"/>
        <w:jc w:val="center"/>
        <w:tblCellMar>
          <w:top w:w="15" w:type="dxa"/>
          <w:left w:w="15" w:type="dxa"/>
          <w:bottom w:w="15" w:type="dxa"/>
          <w:right w:w="15" w:type="dxa"/>
        </w:tblCellMar>
        <w:tblLook w:val="04A0" w:firstRow="1" w:lastRow="0" w:firstColumn="1" w:lastColumn="0" w:noHBand="0" w:noVBand="1"/>
      </w:tblPr>
      <w:tblGrid>
        <w:gridCol w:w="9938"/>
      </w:tblGrid>
      <w:tr w:rsidR="009C07D5" w:rsidRPr="00044CEA" w:rsidTr="00933690">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t>1.</w:t>
            </w:r>
            <w:r w:rsidRPr="00044CEA">
              <w:rPr>
                <w:rFonts w:ascii="Times New Roman" w:eastAsia="Times New Roman" w:hAnsi="Times New Roman" w:cs="Times New Roman"/>
                <w:b/>
                <w:sz w:val="26"/>
                <w:szCs w:val="26"/>
              </w:rPr>
              <w:t xml:space="preserve"> Denumirea autorului şi, după caz, a participanţilor la elaborarea proiectului</w:t>
            </w:r>
          </w:p>
        </w:tc>
      </w:tr>
      <w:tr w:rsidR="009C07D5" w:rsidRPr="00044CEA" w:rsidTr="00933690">
        <w:trPr>
          <w:trHeight w:val="21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sz w:val="26"/>
                <w:szCs w:val="26"/>
              </w:rPr>
            </w:pPr>
            <w:r w:rsidRPr="00044CEA">
              <w:rPr>
                <w:rFonts w:ascii="Times New Roman" w:eastAsia="Times New Roman" w:hAnsi="Times New Roman" w:cs="Times New Roman"/>
                <w:sz w:val="26"/>
                <w:szCs w:val="26"/>
              </w:rPr>
              <w:t>Proiectul de</w:t>
            </w:r>
            <w:r>
              <w:rPr>
                <w:rFonts w:ascii="Times New Roman" w:eastAsia="Times New Roman" w:hAnsi="Times New Roman" w:cs="Times New Roman"/>
                <w:sz w:val="26"/>
                <w:szCs w:val="26"/>
              </w:rPr>
              <w:t xml:space="preserve"> hotărâre a Guvernului </w:t>
            </w:r>
            <w:r w:rsidRPr="00044CEA">
              <w:rPr>
                <w:rFonts w:ascii="Times New Roman" w:eastAsia="Times New Roman" w:hAnsi="Times New Roman" w:cs="Times New Roman"/>
                <w:sz w:val="26"/>
                <w:szCs w:val="26"/>
              </w:rPr>
              <w:t>este elaborat de către Ministerul Economiei și Infrastructurii.</w:t>
            </w:r>
          </w:p>
        </w:tc>
      </w:tr>
      <w:tr w:rsidR="009C07D5" w:rsidRPr="00044CEA" w:rsidTr="00933690">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t xml:space="preserve">2. </w:t>
            </w:r>
            <w:r w:rsidRPr="00044CEA">
              <w:rPr>
                <w:rFonts w:ascii="Times New Roman" w:eastAsia="Times New Roman" w:hAnsi="Times New Roman" w:cs="Times New Roman"/>
                <w:b/>
                <w:sz w:val="26"/>
                <w:szCs w:val="26"/>
              </w:rPr>
              <w:t>Condiţiile ce au impus elaborarea proiectului de act normativ şi finalităţile urmărite</w:t>
            </w:r>
          </w:p>
        </w:tc>
      </w:tr>
      <w:tr w:rsidR="009C07D5" w:rsidRPr="00044CEA" w:rsidTr="00933690">
        <w:trPr>
          <w:trHeight w:val="696"/>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E34C78" w:rsidRDefault="009C07D5" w:rsidP="00933690">
            <w:pPr>
              <w:pStyle w:val="NoSpacing"/>
              <w:jc w:val="both"/>
              <w:rPr>
                <w:rFonts w:ascii="Times New Roman" w:eastAsia="Times New Roman" w:hAnsi="Times New Roman" w:cs="Times New Roman"/>
                <w:bCs/>
                <w:sz w:val="26"/>
                <w:szCs w:val="26"/>
                <w:lang w:eastAsia="ru-RU"/>
              </w:rPr>
            </w:pPr>
            <w:r w:rsidRPr="00E34C78">
              <w:rPr>
                <w:rFonts w:ascii="Times New Roman" w:hAnsi="Times New Roman" w:cs="Times New Roman"/>
                <w:sz w:val="26"/>
                <w:szCs w:val="26"/>
              </w:rPr>
              <w:t xml:space="preserve">Activitatea privind distribuirea/comercializarea pe teritoriul Republicii Moldova </w:t>
            </w:r>
            <w:proofErr w:type="gramStart"/>
            <w:r w:rsidRPr="00E34C78">
              <w:rPr>
                <w:rFonts w:ascii="Times New Roman" w:hAnsi="Times New Roman" w:cs="Times New Roman"/>
                <w:sz w:val="26"/>
                <w:szCs w:val="26"/>
              </w:rPr>
              <w:t>a</w:t>
            </w:r>
            <w:proofErr w:type="gramEnd"/>
            <w:r w:rsidRPr="00E34C78">
              <w:rPr>
                <w:rFonts w:ascii="Times New Roman" w:hAnsi="Times New Roman" w:cs="Times New Roman"/>
                <w:sz w:val="26"/>
                <w:szCs w:val="26"/>
              </w:rPr>
              <w:t xml:space="preserve"> mărfurilor de uz personal folosite, inclusiv importul acestora, este reglementată de prevederile mai multor acte normative, și anume (dar fără limitarea la acestea): Legea nr. 231/2010 cu privire la comerțul interior, Legea nr. 105/2003 privind protecția consumatorilor, Legea nr. 172/2014 privind aprobarea Nomenclaturii combinate </w:t>
            </w:r>
            <w:proofErr w:type="gramStart"/>
            <w:r w:rsidRPr="00E34C78">
              <w:rPr>
                <w:rFonts w:ascii="Times New Roman" w:hAnsi="Times New Roman" w:cs="Times New Roman"/>
                <w:sz w:val="26"/>
                <w:szCs w:val="26"/>
              </w:rPr>
              <w:t>a</w:t>
            </w:r>
            <w:proofErr w:type="gramEnd"/>
            <w:r w:rsidRPr="00E34C78">
              <w:rPr>
                <w:rFonts w:ascii="Times New Roman" w:hAnsi="Times New Roman" w:cs="Times New Roman"/>
                <w:sz w:val="26"/>
                <w:szCs w:val="26"/>
              </w:rPr>
              <w:t xml:space="preserve"> mărfurilor, Hotărârea Guvernului nr. 931/2011 cu privire la regulile de desfășurare a comerțului cu amănuntul, Hotărârea Guvernului nr.</w:t>
            </w:r>
            <w:r w:rsidRPr="00E34C78">
              <w:rPr>
                <w:rFonts w:ascii="Times New Roman" w:eastAsia="Times New Roman" w:hAnsi="Times New Roman" w:cs="Times New Roman"/>
                <w:bCs/>
                <w:sz w:val="26"/>
                <w:szCs w:val="26"/>
                <w:lang w:eastAsia="ru-RU"/>
              </w:rPr>
              <w:t xml:space="preserve"> 955/2004 despre aprobarea Regulamentului-tip de funcționare a piețelor.</w:t>
            </w:r>
          </w:p>
          <w:p w:rsidR="009C07D5" w:rsidRPr="00E34C78" w:rsidRDefault="009C07D5" w:rsidP="00933690">
            <w:pPr>
              <w:pStyle w:val="NoSpacing"/>
              <w:jc w:val="both"/>
              <w:rPr>
                <w:rFonts w:ascii="Times New Roman" w:hAnsi="Times New Roman" w:cs="Times New Roman"/>
                <w:sz w:val="26"/>
                <w:szCs w:val="26"/>
              </w:rPr>
            </w:pPr>
          </w:p>
          <w:p w:rsidR="009C07D5" w:rsidRPr="00E34C78" w:rsidRDefault="009C07D5" w:rsidP="00933690">
            <w:pPr>
              <w:pStyle w:val="NoSpacing"/>
              <w:jc w:val="both"/>
              <w:rPr>
                <w:rFonts w:ascii="Times New Roman" w:hAnsi="Times New Roman" w:cs="Times New Roman"/>
                <w:i/>
                <w:sz w:val="26"/>
                <w:szCs w:val="26"/>
              </w:rPr>
            </w:pPr>
            <w:r w:rsidRPr="00E34C78">
              <w:rPr>
                <w:rFonts w:ascii="Times New Roman" w:hAnsi="Times New Roman" w:cs="Times New Roman"/>
                <w:sz w:val="26"/>
                <w:szCs w:val="26"/>
              </w:rPr>
              <w:t xml:space="preserve">Concomitent, cerințele și restricțiile specifice față de importul și comercializarea articolelor respective sunt prevăzute de </w:t>
            </w:r>
            <w:r w:rsidRPr="00E34C78">
              <w:rPr>
                <w:rFonts w:ascii="Times New Roman" w:hAnsi="Times New Roman" w:cs="Times New Roman"/>
                <w:i/>
                <w:sz w:val="26"/>
                <w:szCs w:val="26"/>
              </w:rPr>
              <w:t>Hotărârea Guvernului nr. 427/2001 privind importul și comercializarea unor mărfuri de uz personal folosite.</w:t>
            </w:r>
          </w:p>
          <w:p w:rsidR="009C07D5" w:rsidRPr="00E34C78" w:rsidRDefault="009C07D5" w:rsidP="00933690">
            <w:pPr>
              <w:pStyle w:val="NoSpacing"/>
              <w:jc w:val="both"/>
              <w:rPr>
                <w:rFonts w:ascii="Times New Roman" w:hAnsi="Times New Roman" w:cs="Times New Roman"/>
                <w:sz w:val="26"/>
                <w:szCs w:val="26"/>
              </w:rPr>
            </w:pPr>
            <w:r w:rsidRPr="00E34C78">
              <w:rPr>
                <w:rFonts w:ascii="Times New Roman" w:hAnsi="Times New Roman" w:cs="Times New Roman"/>
                <w:sz w:val="26"/>
                <w:szCs w:val="26"/>
              </w:rPr>
              <w:t xml:space="preserve">Astfel, conform acestora, </w:t>
            </w:r>
          </w:p>
          <w:p w:rsidR="009C07D5" w:rsidRPr="00E34C78" w:rsidRDefault="009C07D5" w:rsidP="00933690">
            <w:pPr>
              <w:pStyle w:val="NormalWeb"/>
              <w:rPr>
                <w:i/>
                <w:sz w:val="26"/>
                <w:szCs w:val="26"/>
              </w:rPr>
            </w:pPr>
            <w:r w:rsidRPr="00E34C78">
              <w:rPr>
                <w:b/>
                <w:bCs/>
                <w:i/>
                <w:sz w:val="26"/>
                <w:szCs w:val="26"/>
              </w:rPr>
              <w:t>1.</w:t>
            </w:r>
            <w:r w:rsidRPr="00E34C78">
              <w:rPr>
                <w:i/>
                <w:sz w:val="26"/>
                <w:szCs w:val="26"/>
              </w:rPr>
              <w:t xml:space="preserve"> </w:t>
            </w:r>
            <w:r w:rsidRPr="00E34C78">
              <w:rPr>
                <w:b/>
                <w:i/>
                <w:sz w:val="26"/>
                <w:szCs w:val="26"/>
              </w:rPr>
              <w:t>Se interzice:</w:t>
            </w:r>
            <w:r w:rsidRPr="00E34C78">
              <w:rPr>
                <w:i/>
                <w:sz w:val="26"/>
                <w:szCs w:val="26"/>
              </w:rPr>
              <w:t xml:space="preserve"> </w:t>
            </w:r>
          </w:p>
          <w:p w:rsidR="009C07D5" w:rsidRPr="00E34C78" w:rsidRDefault="009C07D5" w:rsidP="00933690">
            <w:pPr>
              <w:pStyle w:val="NormalWeb"/>
              <w:rPr>
                <w:i/>
                <w:sz w:val="26"/>
                <w:szCs w:val="26"/>
              </w:rPr>
            </w:pPr>
            <w:r w:rsidRPr="00E34C78">
              <w:rPr>
                <w:i/>
                <w:sz w:val="26"/>
                <w:szCs w:val="26"/>
              </w:rPr>
              <w:t xml:space="preserve">importul, </w:t>
            </w:r>
            <w:r>
              <w:rPr>
                <w:i/>
                <w:sz w:val="26"/>
                <w:szCs w:val="26"/>
              </w:rPr>
              <w:t xml:space="preserve">inclusiv </w:t>
            </w:r>
            <w:r w:rsidRPr="00E34C78">
              <w:rPr>
                <w:i/>
                <w:sz w:val="26"/>
                <w:szCs w:val="26"/>
              </w:rPr>
              <w:t xml:space="preserve">cu titlu de ajutor umanitar, al încălţămintei uzate, lenjeriei de corp, jucăriilor folosite şi al hainelor pentru copiii de pînă la 3 ani; </w:t>
            </w:r>
          </w:p>
          <w:p w:rsidR="009C07D5" w:rsidRPr="00E34C78" w:rsidRDefault="009C07D5" w:rsidP="00933690">
            <w:pPr>
              <w:pStyle w:val="NormalWeb"/>
              <w:rPr>
                <w:i/>
                <w:sz w:val="26"/>
                <w:szCs w:val="26"/>
              </w:rPr>
            </w:pPr>
            <w:proofErr w:type="gramStart"/>
            <w:r w:rsidRPr="00E34C78">
              <w:rPr>
                <w:i/>
                <w:sz w:val="26"/>
                <w:szCs w:val="26"/>
              </w:rPr>
              <w:t>comercializarea</w:t>
            </w:r>
            <w:proofErr w:type="gramEnd"/>
            <w:r w:rsidRPr="00E34C78">
              <w:rPr>
                <w:i/>
                <w:sz w:val="26"/>
                <w:szCs w:val="26"/>
              </w:rPr>
              <w:t xml:space="preserve"> de produse sau prestarea de servicii care, utilizate în condiţii normale, pot pune în pericol viaţa, sănătatea sau securitatea consumatorilor. </w:t>
            </w:r>
          </w:p>
          <w:p w:rsidR="009C07D5" w:rsidRPr="00E34C78" w:rsidRDefault="009C07D5" w:rsidP="00933690">
            <w:pPr>
              <w:pStyle w:val="NormalWeb"/>
              <w:rPr>
                <w:b/>
                <w:i/>
                <w:sz w:val="26"/>
                <w:szCs w:val="26"/>
              </w:rPr>
            </w:pPr>
            <w:r w:rsidRPr="00E34C78">
              <w:rPr>
                <w:b/>
                <w:bCs/>
                <w:i/>
                <w:sz w:val="26"/>
                <w:szCs w:val="26"/>
              </w:rPr>
              <w:t>2</w:t>
            </w:r>
            <w:r w:rsidRPr="00E34C78">
              <w:rPr>
                <w:bCs/>
                <w:i/>
                <w:sz w:val="26"/>
                <w:szCs w:val="26"/>
              </w:rPr>
              <w:t xml:space="preserve">. </w:t>
            </w:r>
            <w:r w:rsidRPr="00E34C78">
              <w:rPr>
                <w:b/>
                <w:i/>
                <w:sz w:val="26"/>
                <w:szCs w:val="26"/>
              </w:rPr>
              <w:t>Se permite:</w:t>
            </w:r>
          </w:p>
          <w:p w:rsidR="009C07D5" w:rsidRPr="00E34C78" w:rsidRDefault="009C07D5" w:rsidP="00933690">
            <w:pPr>
              <w:pStyle w:val="NormalWeb"/>
              <w:rPr>
                <w:i/>
                <w:sz w:val="26"/>
                <w:szCs w:val="26"/>
              </w:rPr>
            </w:pPr>
            <w:r w:rsidRPr="00E34C78">
              <w:rPr>
                <w:i/>
                <w:sz w:val="26"/>
                <w:szCs w:val="26"/>
              </w:rPr>
              <w:t xml:space="preserve"> importul, cu titlu de ajutor umanitar, şi distribuirea gratuită a îmbrăcămintei şi articolelor textile folosite, altele decît cele prevăzute în pct.1 al hotărîri</w:t>
            </w:r>
            <w:r>
              <w:rPr>
                <w:i/>
                <w:sz w:val="26"/>
                <w:szCs w:val="26"/>
              </w:rPr>
              <w:t>i menţionate</w:t>
            </w:r>
            <w:r w:rsidRPr="00E34C78">
              <w:rPr>
                <w:i/>
                <w:sz w:val="26"/>
                <w:szCs w:val="26"/>
              </w:rPr>
              <w:t>, numai în cazul în care acestea au fost supuse operaţiunilor de spălare, dezinfecţie şi dezinsecţie, certificate prin documente eliberate de instituţii abilitate din ţara de export</w:t>
            </w:r>
            <w:r>
              <w:rPr>
                <w:i/>
                <w:sz w:val="26"/>
                <w:szCs w:val="26"/>
              </w:rPr>
              <w:t xml:space="preserve"> sau de origine</w:t>
            </w:r>
            <w:r w:rsidRPr="00E34C78">
              <w:rPr>
                <w:i/>
                <w:sz w:val="26"/>
                <w:szCs w:val="26"/>
              </w:rPr>
              <w:t xml:space="preserve">, distinct pentru fiecare lot. </w:t>
            </w:r>
          </w:p>
          <w:p w:rsidR="009C07D5" w:rsidRPr="00E34C78" w:rsidRDefault="009C07D5" w:rsidP="00933690">
            <w:pPr>
              <w:pStyle w:val="NoSpacing"/>
              <w:jc w:val="both"/>
              <w:rPr>
                <w:rFonts w:ascii="Times New Roman" w:hAnsi="Times New Roman" w:cs="Times New Roman"/>
                <w:sz w:val="26"/>
                <w:szCs w:val="26"/>
              </w:rPr>
            </w:pPr>
          </w:p>
          <w:p w:rsidR="009C07D5" w:rsidRPr="00E34C78" w:rsidRDefault="009C07D5" w:rsidP="00933690">
            <w:pPr>
              <w:pStyle w:val="NoSpacing"/>
              <w:jc w:val="both"/>
              <w:rPr>
                <w:rFonts w:ascii="Times New Roman" w:hAnsi="Times New Roman" w:cs="Times New Roman"/>
                <w:sz w:val="26"/>
                <w:szCs w:val="26"/>
              </w:rPr>
            </w:pPr>
            <w:r w:rsidRPr="00E34C78">
              <w:rPr>
                <w:rFonts w:ascii="Times New Roman" w:hAnsi="Times New Roman" w:cs="Times New Roman"/>
                <w:sz w:val="26"/>
                <w:szCs w:val="26"/>
              </w:rPr>
              <w:t>Aplicarea prevederilor ce interzic importul, comercializarea, precum și distribuirea gratuită cu titlu de ajutor umanitar a anumitor categorii de produse foste în folosință, în condițiile prezente ale legislației î</w:t>
            </w:r>
            <w:r>
              <w:rPr>
                <w:rFonts w:ascii="Times New Roman" w:hAnsi="Times New Roman" w:cs="Times New Roman"/>
                <w:sz w:val="26"/>
                <w:szCs w:val="26"/>
              </w:rPr>
              <w:t>n vigoare, se constată dificilă atâ</w:t>
            </w:r>
            <w:r w:rsidRPr="00E34C78">
              <w:rPr>
                <w:rFonts w:ascii="Times New Roman" w:hAnsi="Times New Roman" w:cs="Times New Roman"/>
                <w:sz w:val="26"/>
                <w:szCs w:val="26"/>
              </w:rPr>
              <w:t>t din punct de vedere social</w:t>
            </w:r>
            <w:r>
              <w:rPr>
                <w:rFonts w:ascii="Times New Roman" w:hAnsi="Times New Roman" w:cs="Times New Roman"/>
                <w:sz w:val="26"/>
                <w:szCs w:val="26"/>
              </w:rPr>
              <w:t>,</w:t>
            </w:r>
            <w:r w:rsidRPr="00E34C78">
              <w:rPr>
                <w:rFonts w:ascii="Times New Roman" w:hAnsi="Times New Roman" w:cs="Times New Roman"/>
                <w:sz w:val="26"/>
                <w:szCs w:val="26"/>
              </w:rPr>
              <w:t xml:space="preserve"> cât și economic. Acest fapt a fost sesizat și de către agenții economici din domeniul respectiv. Încălțămintea uzată, unele categorii de jucării, precum și haine pentru copii, urmare supunerii acestora operațiunilor de spălare, dezinfecție și dezinsecție, fapt confirmat prin certificate/avize corespunzătoare, nu pot reprezenta risc pentru sănătatea și viața populației. Dimpotrivă, datorită </w:t>
            </w:r>
            <w:r w:rsidRPr="00E34C78">
              <w:rPr>
                <w:rFonts w:ascii="Times New Roman" w:hAnsi="Times New Roman" w:cs="Times New Roman"/>
                <w:sz w:val="26"/>
                <w:szCs w:val="26"/>
              </w:rPr>
              <w:lastRenderedPageBreak/>
              <w:t>prețului scăzut în comparație cu cel al produselor noi, soluționează probleme de ordin economic la achiziționarea acestora.</w:t>
            </w:r>
          </w:p>
          <w:p w:rsidR="009C07D5" w:rsidRPr="00E34C78" w:rsidRDefault="009C07D5" w:rsidP="00933690">
            <w:pPr>
              <w:spacing w:after="0" w:line="240" w:lineRule="auto"/>
              <w:jc w:val="both"/>
              <w:rPr>
                <w:rFonts w:ascii="Times New Roman" w:eastAsia="Times New Roman" w:hAnsi="Times New Roman" w:cs="Times New Roman"/>
                <w:bCs/>
                <w:sz w:val="26"/>
                <w:szCs w:val="26"/>
                <w:lang w:eastAsia="ru-RU"/>
              </w:rPr>
            </w:pPr>
          </w:p>
          <w:p w:rsidR="009C07D5" w:rsidRPr="00E34C78" w:rsidRDefault="009C07D5" w:rsidP="00933690">
            <w:pPr>
              <w:pStyle w:val="NoSpacing"/>
              <w:jc w:val="both"/>
              <w:rPr>
                <w:rFonts w:ascii="Times New Roman" w:hAnsi="Times New Roman" w:cs="Times New Roman"/>
                <w:sz w:val="26"/>
                <w:szCs w:val="26"/>
              </w:rPr>
            </w:pPr>
            <w:r w:rsidRPr="00E34C78">
              <w:rPr>
                <w:rFonts w:ascii="Times New Roman" w:eastAsia="Times New Roman" w:hAnsi="Times New Roman" w:cs="Times New Roman"/>
                <w:bCs/>
                <w:sz w:val="26"/>
                <w:szCs w:val="26"/>
                <w:lang w:eastAsia="ru-RU"/>
              </w:rPr>
              <w:t xml:space="preserve">Consecutiv, informăm că în anii 2016-2019, urmare a mai </w:t>
            </w:r>
            <w:proofErr w:type="gramStart"/>
            <w:r w:rsidRPr="00E34C78">
              <w:rPr>
                <w:rFonts w:ascii="Times New Roman" w:eastAsia="Times New Roman" w:hAnsi="Times New Roman" w:cs="Times New Roman"/>
                <w:bCs/>
                <w:sz w:val="26"/>
                <w:szCs w:val="26"/>
                <w:lang w:eastAsia="ru-RU"/>
              </w:rPr>
              <w:t>multor  adresări</w:t>
            </w:r>
            <w:proofErr w:type="gramEnd"/>
            <w:r w:rsidRPr="00E34C78">
              <w:rPr>
                <w:rFonts w:ascii="Times New Roman" w:eastAsia="Times New Roman" w:hAnsi="Times New Roman" w:cs="Times New Roman"/>
                <w:bCs/>
                <w:sz w:val="26"/>
                <w:szCs w:val="26"/>
                <w:lang w:eastAsia="ru-RU"/>
              </w:rPr>
              <w:t xml:space="preserve">  colective din partea importatorilor și comercianților de mărfuri de uz personal folosite, Consiliul Economic pe lân</w:t>
            </w:r>
            <w:r>
              <w:rPr>
                <w:rFonts w:ascii="Times New Roman" w:eastAsia="Times New Roman" w:hAnsi="Times New Roman" w:cs="Times New Roman"/>
                <w:bCs/>
                <w:sz w:val="26"/>
                <w:szCs w:val="26"/>
                <w:lang w:eastAsia="ru-RU"/>
              </w:rPr>
              <w:t xml:space="preserve">gă Prim-ministru, în cooperare </w:t>
            </w:r>
            <w:r w:rsidRPr="00E34C78">
              <w:rPr>
                <w:rFonts w:ascii="Times New Roman" w:eastAsia="Times New Roman" w:hAnsi="Times New Roman" w:cs="Times New Roman"/>
                <w:bCs/>
                <w:sz w:val="26"/>
                <w:szCs w:val="26"/>
                <w:lang w:eastAsia="ru-RU"/>
              </w:rPr>
              <w:t>cu Ministerul Economiei și Infrastructurii,</w:t>
            </w:r>
            <w:r>
              <w:rPr>
                <w:rFonts w:ascii="Times New Roman" w:eastAsia="Times New Roman" w:hAnsi="Times New Roman" w:cs="Times New Roman"/>
                <w:bCs/>
                <w:sz w:val="26"/>
                <w:szCs w:val="26"/>
                <w:lang w:eastAsia="ru-RU"/>
              </w:rPr>
              <w:t xml:space="preserve"> a convocat mai multe  ședințe </w:t>
            </w:r>
            <w:r w:rsidRPr="00E34C78">
              <w:rPr>
                <w:rFonts w:ascii="Times New Roman" w:eastAsia="Times New Roman" w:hAnsi="Times New Roman" w:cs="Times New Roman"/>
                <w:bCs/>
                <w:sz w:val="26"/>
                <w:szCs w:val="26"/>
                <w:lang w:eastAsia="ru-RU"/>
              </w:rPr>
              <w:t>cu participarea reprezentanților semnatari ai demersului,  Ministerului Sănătății, Muncii și Protecției Sociale, Ministerului Finanțelor, Serviciului Fiscal și Serviciului Vamal. În cadrul acestor reuniuni au fost expuse argumente cu privire la oportunitatea excluderii barierelor pentru importul unor bunuri folosite pe teritoriul Republicii Moldova, cu indicarea practicii în acest sens a României, Federației Ruse și Republicii Belaruse;</w:t>
            </w:r>
            <w:r w:rsidRPr="00E34C78">
              <w:rPr>
                <w:rFonts w:ascii="Times New Roman" w:hAnsi="Times New Roman" w:cs="Times New Roman"/>
                <w:sz w:val="26"/>
                <w:szCs w:val="26"/>
              </w:rPr>
              <w:t xml:space="preserve"> au mai fost abordate subiecte ce țin de evaziunea fiscală și comerțul neautorizat cu mărfuri second-hand.</w:t>
            </w:r>
          </w:p>
          <w:p w:rsidR="009C07D5" w:rsidRPr="00E34C78" w:rsidRDefault="009C07D5" w:rsidP="00933690">
            <w:pPr>
              <w:spacing w:after="0" w:line="240" w:lineRule="auto"/>
              <w:jc w:val="both"/>
              <w:rPr>
                <w:rFonts w:ascii="Times New Roman" w:eastAsia="Times New Roman" w:hAnsi="Times New Roman" w:cs="Times New Roman"/>
                <w:bCs/>
                <w:sz w:val="26"/>
                <w:szCs w:val="26"/>
                <w:lang w:eastAsia="ru-RU"/>
              </w:rPr>
            </w:pPr>
          </w:p>
          <w:p w:rsidR="009C07D5" w:rsidRPr="00044CEA" w:rsidRDefault="009C07D5" w:rsidP="00933690">
            <w:pPr>
              <w:spacing w:after="0" w:line="240" w:lineRule="auto"/>
              <w:jc w:val="both"/>
              <w:rPr>
                <w:rFonts w:ascii="Times New Roman" w:eastAsia="Times New Roman" w:hAnsi="Times New Roman" w:cs="Times New Roman"/>
                <w:sz w:val="26"/>
                <w:szCs w:val="26"/>
              </w:rPr>
            </w:pPr>
            <w:r w:rsidRPr="00E34C78">
              <w:rPr>
                <w:rFonts w:ascii="Times New Roman" w:eastAsia="Times New Roman" w:hAnsi="Times New Roman" w:cs="Times New Roman"/>
                <w:bCs/>
                <w:sz w:val="26"/>
                <w:szCs w:val="26"/>
                <w:lang w:eastAsia="ru-RU"/>
              </w:rPr>
              <w:t xml:space="preserve">Urmare tuturor argumentelor și pozițiilor expuse în cadrul ședințelor respective s-a considerat oportună excluderea interdicțiilor cu privire la importul și comercializarea unor mărfuri de uz personal folosite. </w:t>
            </w:r>
            <w:r w:rsidRPr="00E34C78">
              <w:rPr>
                <w:rFonts w:ascii="Times New Roman" w:hAnsi="Times New Roman" w:cs="Times New Roman"/>
                <w:sz w:val="26"/>
                <w:szCs w:val="26"/>
              </w:rPr>
              <w:t>Prin urmare, se propune revizuirea și modificarea cadrului normativ actual în vederea ajustării listei de produse foste în folosință ce cad sub interdicția de import și comercializare.</w:t>
            </w:r>
          </w:p>
        </w:tc>
      </w:tr>
      <w:tr w:rsidR="009C07D5" w:rsidRPr="00044CEA" w:rsidTr="00933690">
        <w:trPr>
          <w:trHeight w:val="45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lastRenderedPageBreak/>
              <w:t>3.</w:t>
            </w:r>
            <w:r w:rsidRPr="00044CEA">
              <w:rPr>
                <w:rFonts w:ascii="Times New Roman" w:eastAsia="Times New Roman" w:hAnsi="Times New Roman" w:cs="Times New Roman"/>
                <w:b/>
                <w:sz w:val="26"/>
                <w:szCs w:val="26"/>
              </w:rPr>
              <w:t xml:space="preserve"> Descrierea gradului de compatibilitate pentru proiectele care au ca scop armonizarea legislaţiei naţionale cu legislaţia Uniunii Europene</w:t>
            </w:r>
          </w:p>
        </w:tc>
      </w:tr>
      <w:tr w:rsidR="009C07D5" w:rsidRPr="00044CEA" w:rsidTr="00933690">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Proiectul </w:t>
            </w:r>
            <w:r w:rsidRPr="00E34C78">
              <w:rPr>
                <w:rFonts w:ascii="Times New Roman" w:hAnsi="Times New Roman" w:cs="Times New Roman"/>
                <w:sz w:val="26"/>
                <w:szCs w:val="26"/>
              </w:rPr>
              <w:t xml:space="preserve">Hotărârii Guvernului </w:t>
            </w:r>
            <w:r w:rsidRPr="00044CEA">
              <w:rPr>
                <w:rFonts w:ascii="Times New Roman" w:eastAsia="Times New Roman" w:hAnsi="Times New Roman" w:cs="Times New Roman"/>
                <w:sz w:val="26"/>
                <w:szCs w:val="26"/>
              </w:rPr>
              <w:t>nu conține norme privind armonizarea legislației naționale cu legislaţia Uniunii Europene.</w:t>
            </w:r>
          </w:p>
        </w:tc>
      </w:tr>
      <w:tr w:rsidR="009C07D5" w:rsidRPr="00044CEA" w:rsidTr="00933690">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t>4.</w:t>
            </w:r>
            <w:r w:rsidRPr="00044CEA">
              <w:rPr>
                <w:rFonts w:ascii="Times New Roman" w:eastAsia="Times New Roman" w:hAnsi="Times New Roman" w:cs="Times New Roman"/>
                <w:b/>
                <w:sz w:val="26"/>
                <w:szCs w:val="26"/>
              </w:rPr>
              <w:t xml:space="preserve"> Principalele prevederi ale proiectului şi evidenţierea elementelor noi </w:t>
            </w:r>
          </w:p>
        </w:tc>
      </w:tr>
      <w:tr w:rsidR="009C07D5" w:rsidRPr="00044CEA" w:rsidTr="00933690">
        <w:trPr>
          <w:trHeight w:val="123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E34C78" w:rsidRDefault="009C07D5" w:rsidP="00933690">
            <w:pPr>
              <w:pStyle w:val="NoSpacing"/>
              <w:jc w:val="both"/>
              <w:rPr>
                <w:rFonts w:ascii="Times New Roman" w:hAnsi="Times New Roman" w:cs="Times New Roman"/>
                <w:sz w:val="26"/>
                <w:szCs w:val="26"/>
              </w:rPr>
            </w:pPr>
            <w:r w:rsidRPr="00E34C78">
              <w:rPr>
                <w:rFonts w:ascii="Times New Roman" w:hAnsi="Times New Roman" w:cs="Times New Roman"/>
                <w:sz w:val="26"/>
                <w:szCs w:val="26"/>
              </w:rPr>
              <w:t>Ministerul Sănătății, Muncii și Protecției Sociale, autoritatea responsabilă de supravegherea sănătății populației și stabilirii priorităților ce țin de sănătatea publică a înaintat cu titlu de propunere următoarea redacție pentru pct. 1 al Hotărârii Guvernului nr.427/2001:</w:t>
            </w:r>
          </w:p>
          <w:p w:rsidR="009C07D5" w:rsidRPr="00E34C78" w:rsidRDefault="009C07D5" w:rsidP="00933690">
            <w:pPr>
              <w:pStyle w:val="NoSpacing"/>
              <w:jc w:val="both"/>
              <w:rPr>
                <w:rFonts w:ascii="Times New Roman" w:hAnsi="Times New Roman" w:cs="Times New Roman"/>
                <w:i/>
                <w:sz w:val="26"/>
                <w:szCs w:val="26"/>
              </w:rPr>
            </w:pPr>
            <w:r w:rsidRPr="00E34C78">
              <w:rPr>
                <w:rFonts w:ascii="Times New Roman" w:hAnsi="Times New Roman" w:cs="Times New Roman"/>
                <w:i/>
                <w:sz w:val="26"/>
                <w:szCs w:val="26"/>
              </w:rPr>
              <w:t>„Se interzice importul pentru comercializare și cu titlu de ajutor umanitar, al lenjeriei de corp pentru toate categoriile de vârstă și a unor categorii de jucării și articole folosite, destinate copiilor mai mici de 36 de luni: sunători, jucării destinate să fie folosite în leagăn, pat sau cărucior, jucării muzicale pentru introducerea în cavitatea bucală, biberoane, suzete și tetine, articole pentru stimularea dentiției”.</w:t>
            </w:r>
          </w:p>
          <w:p w:rsidR="009C07D5" w:rsidRPr="00E34C78" w:rsidRDefault="009C07D5" w:rsidP="00933690">
            <w:pPr>
              <w:pStyle w:val="NoSpacing"/>
              <w:jc w:val="both"/>
              <w:rPr>
                <w:rFonts w:ascii="Times New Roman" w:hAnsi="Times New Roman" w:cs="Times New Roman"/>
                <w:sz w:val="26"/>
                <w:szCs w:val="26"/>
              </w:rPr>
            </w:pPr>
            <w:r w:rsidRPr="00E34C78">
              <w:rPr>
                <w:rFonts w:ascii="Times New Roman" w:hAnsi="Times New Roman" w:cs="Times New Roman"/>
                <w:sz w:val="26"/>
                <w:szCs w:val="26"/>
              </w:rPr>
              <w:t>Totodată, practica internațională relevă că din gama produselor foste în folosință interzise pentru comercializare se mai regăsesc: ciorapii, produsele de uz medicinal, medicamentele, produsele de igienă personală.</w:t>
            </w:r>
          </w:p>
          <w:p w:rsidR="009C07D5" w:rsidRPr="00E34C78" w:rsidRDefault="009C07D5" w:rsidP="00933690">
            <w:pPr>
              <w:pStyle w:val="NoSpacing"/>
              <w:jc w:val="both"/>
              <w:rPr>
                <w:rFonts w:ascii="Times New Roman" w:hAnsi="Times New Roman" w:cs="Times New Roman"/>
                <w:sz w:val="26"/>
                <w:szCs w:val="26"/>
              </w:rPr>
            </w:pPr>
          </w:p>
          <w:p w:rsidR="009C07D5" w:rsidRPr="00E34C78" w:rsidRDefault="009C07D5" w:rsidP="00933690">
            <w:pPr>
              <w:pStyle w:val="NoSpacing"/>
              <w:jc w:val="both"/>
              <w:rPr>
                <w:rFonts w:ascii="Times New Roman" w:hAnsi="Times New Roman" w:cs="Times New Roman"/>
                <w:sz w:val="26"/>
                <w:szCs w:val="26"/>
              </w:rPr>
            </w:pPr>
            <w:r w:rsidRPr="00E34C78">
              <w:rPr>
                <w:rFonts w:ascii="Times New Roman" w:hAnsi="Times New Roman" w:cs="Times New Roman"/>
                <w:sz w:val="26"/>
                <w:szCs w:val="26"/>
              </w:rPr>
              <w:t>Astfel, în baza propunerilor parvenite de la Ministerul Sănătății, Muncii și Protecției Sociale, precum și urmând exemplul practicii internaționale, prin proiectul menționat se intenționează extinderea listei de mărfuri foste în folosință pasibile de a fi importate, comercializate și distribuite gratuit pe teritoriul Republicii Moldova, cu următoarele categorii de produse: încălțăminte</w:t>
            </w:r>
            <w:r>
              <w:rPr>
                <w:rFonts w:ascii="Times New Roman" w:hAnsi="Times New Roman" w:cs="Times New Roman"/>
                <w:sz w:val="26"/>
                <w:szCs w:val="26"/>
              </w:rPr>
              <w:t xml:space="preserve"> uzată</w:t>
            </w:r>
            <w:r w:rsidRPr="00E34C78">
              <w:rPr>
                <w:rFonts w:ascii="Times New Roman" w:hAnsi="Times New Roman" w:cs="Times New Roman"/>
                <w:sz w:val="26"/>
                <w:szCs w:val="26"/>
              </w:rPr>
              <w:t xml:space="preserve">, </w:t>
            </w:r>
            <w:r>
              <w:rPr>
                <w:rFonts w:ascii="Times New Roman" w:hAnsi="Times New Roman" w:cs="Times New Roman"/>
                <w:sz w:val="26"/>
                <w:szCs w:val="26"/>
              </w:rPr>
              <w:t xml:space="preserve">îmbrăcăminte, articole textile şi </w:t>
            </w:r>
            <w:r w:rsidRPr="00E34C78">
              <w:rPr>
                <w:rFonts w:ascii="Times New Roman" w:hAnsi="Times New Roman" w:cs="Times New Roman"/>
                <w:sz w:val="26"/>
                <w:szCs w:val="26"/>
              </w:rPr>
              <w:t>jucării</w:t>
            </w:r>
            <w:r>
              <w:rPr>
                <w:rFonts w:ascii="Times New Roman" w:hAnsi="Times New Roman" w:cs="Times New Roman"/>
                <w:sz w:val="26"/>
                <w:szCs w:val="26"/>
              </w:rPr>
              <w:t>le folosite, altele decât cele interzise</w:t>
            </w:r>
            <w:r w:rsidRPr="00E34C78">
              <w:rPr>
                <w:rFonts w:ascii="Times New Roman" w:hAnsi="Times New Roman" w:cs="Times New Roman"/>
                <w:sz w:val="26"/>
                <w:szCs w:val="26"/>
              </w:rPr>
              <w:t>.</w:t>
            </w:r>
          </w:p>
          <w:p w:rsidR="009C07D5" w:rsidRPr="00E34C78" w:rsidRDefault="009C07D5" w:rsidP="00933690">
            <w:pPr>
              <w:spacing w:after="0" w:line="240" w:lineRule="auto"/>
              <w:jc w:val="both"/>
              <w:rPr>
                <w:rFonts w:ascii="Times New Roman" w:eastAsia="Times New Roman" w:hAnsi="Times New Roman" w:cs="Times New Roman"/>
                <w:bCs/>
                <w:sz w:val="26"/>
                <w:szCs w:val="26"/>
                <w:lang w:eastAsia="ru-RU"/>
              </w:rPr>
            </w:pPr>
          </w:p>
          <w:p w:rsidR="009C07D5" w:rsidRPr="00E34C78" w:rsidRDefault="009C07D5" w:rsidP="00933690">
            <w:pPr>
              <w:spacing w:after="0" w:line="240" w:lineRule="auto"/>
              <w:jc w:val="both"/>
              <w:rPr>
                <w:rFonts w:ascii="Times New Roman" w:eastAsia="Times New Roman" w:hAnsi="Times New Roman" w:cs="Times New Roman"/>
                <w:bCs/>
                <w:sz w:val="26"/>
                <w:szCs w:val="26"/>
                <w:lang w:eastAsia="ru-RU"/>
              </w:rPr>
            </w:pPr>
            <w:r w:rsidRPr="00E34C78">
              <w:rPr>
                <w:rFonts w:ascii="Times New Roman" w:eastAsia="Times New Roman" w:hAnsi="Times New Roman" w:cs="Times New Roman"/>
                <w:bCs/>
                <w:sz w:val="26"/>
                <w:szCs w:val="26"/>
                <w:lang w:eastAsia="ru-RU"/>
              </w:rPr>
              <w:t>Cu opinie pozitivă a reacționat și Primăria mun. Chișinău (Direcția generală comerț, alimentație publică și prestări servicii), menționând că în conformitate cu prevederile Legii nr. 231/2010 cu privire la comerțul interior, mărfurile de uz personal folosite trebuie să se vândă în piețe și magazine specializate, ceea ce ar facilita supravegherea produselor respective.</w:t>
            </w:r>
          </w:p>
          <w:p w:rsidR="009C07D5" w:rsidRPr="00E34C78" w:rsidRDefault="009C07D5" w:rsidP="00933690">
            <w:pPr>
              <w:spacing w:after="0" w:line="240" w:lineRule="auto"/>
              <w:jc w:val="both"/>
              <w:rPr>
                <w:rFonts w:ascii="Times New Roman" w:hAnsi="Times New Roman" w:cs="Times New Roman"/>
                <w:sz w:val="26"/>
                <w:szCs w:val="26"/>
              </w:rPr>
            </w:pPr>
          </w:p>
          <w:p w:rsidR="009C07D5" w:rsidRDefault="009C07D5" w:rsidP="00933690">
            <w:pPr>
              <w:spacing w:after="0" w:line="240" w:lineRule="auto"/>
              <w:jc w:val="both"/>
              <w:rPr>
                <w:rFonts w:ascii="Times New Roman" w:hAnsi="Times New Roman" w:cs="Times New Roman"/>
                <w:sz w:val="26"/>
                <w:szCs w:val="26"/>
              </w:rPr>
            </w:pPr>
            <w:r w:rsidRPr="00E34C78">
              <w:rPr>
                <w:rFonts w:ascii="Times New Roman" w:hAnsi="Times New Roman" w:cs="Times New Roman"/>
                <w:sz w:val="26"/>
                <w:szCs w:val="26"/>
              </w:rPr>
              <w:t xml:space="preserve">Reieșind din cele menționate, Ministerul Economiei și Infrastructurii </w:t>
            </w:r>
            <w:proofErr w:type="gramStart"/>
            <w:r w:rsidRPr="00E34C78">
              <w:rPr>
                <w:rFonts w:ascii="Times New Roman" w:hAnsi="Times New Roman" w:cs="Times New Roman"/>
                <w:sz w:val="26"/>
                <w:szCs w:val="26"/>
              </w:rPr>
              <w:t>a</w:t>
            </w:r>
            <w:proofErr w:type="gramEnd"/>
            <w:r w:rsidRPr="00E34C78">
              <w:rPr>
                <w:rFonts w:ascii="Times New Roman" w:hAnsi="Times New Roman" w:cs="Times New Roman"/>
                <w:sz w:val="26"/>
                <w:szCs w:val="26"/>
              </w:rPr>
              <w:t xml:space="preserve"> elaborat proiectul de hotărâre de Guvern pentru modificarea unor hotărâri ale Guvernului în vederea actualizării prevederilor Hotărârii Guvernului nr. 427/2001 privind importul și comercializarea unor mărfuri de uz personal folosite și Hotărârii Guvernului nr. 955/2004 despre aprobarea Regulamentului-tip de funcționare a piețelor în partea ce ține de revizuirea listei de mărfuri de uz personal foste în folosință importate și distribuite pe teritoriul Republicii Moldova, astfel încât încălțămintea, unele </w:t>
            </w:r>
            <w:r>
              <w:rPr>
                <w:rFonts w:ascii="Times New Roman" w:hAnsi="Times New Roman" w:cs="Times New Roman"/>
                <w:sz w:val="26"/>
                <w:szCs w:val="26"/>
              </w:rPr>
              <w:t>articole textile</w:t>
            </w:r>
            <w:r w:rsidRPr="00E34C78">
              <w:rPr>
                <w:rFonts w:ascii="Times New Roman" w:hAnsi="Times New Roman" w:cs="Times New Roman"/>
                <w:sz w:val="26"/>
                <w:szCs w:val="26"/>
              </w:rPr>
              <w:t>, precum și unele categorii de jucării să nu facă obiectul restricțiilor menționate supra.</w:t>
            </w:r>
          </w:p>
          <w:p w:rsidR="009C07D5" w:rsidRDefault="009C07D5" w:rsidP="00933690">
            <w:pPr>
              <w:spacing w:after="0" w:line="240" w:lineRule="auto"/>
              <w:jc w:val="both"/>
              <w:rPr>
                <w:rFonts w:ascii="Times New Roman" w:eastAsia="Times New Roman" w:hAnsi="Times New Roman" w:cs="Times New Roman"/>
                <w:sz w:val="26"/>
                <w:szCs w:val="26"/>
              </w:rPr>
            </w:pPr>
          </w:p>
          <w:p w:rsidR="009C07D5" w:rsidRPr="00044CEA" w:rsidRDefault="009C07D5" w:rsidP="00933690">
            <w:pPr>
              <w:spacing w:after="0" w:line="240" w:lineRule="auto"/>
              <w:jc w:val="both"/>
              <w:rPr>
                <w:rFonts w:ascii="Times New Roman" w:hAnsi="Times New Roman" w:cs="Times New Roman"/>
                <w:sz w:val="26"/>
                <w:szCs w:val="26"/>
              </w:rPr>
            </w:pPr>
            <w:r w:rsidRPr="00DB6E87">
              <w:rPr>
                <w:rFonts w:ascii="Times New Roman" w:eastAsia="Times New Roman" w:hAnsi="Times New Roman" w:cs="Times New Roman"/>
                <w:sz w:val="26"/>
                <w:szCs w:val="26"/>
              </w:rPr>
              <w:t xml:space="preserve">Totodată, având în vedere faptul că textul </w:t>
            </w:r>
            <w:r w:rsidRPr="00DB6E87">
              <w:rPr>
                <w:rFonts w:ascii="Times New Roman" w:hAnsi="Times New Roman" w:cs="Times New Roman"/>
                <w:sz w:val="26"/>
                <w:szCs w:val="26"/>
              </w:rPr>
              <w:t xml:space="preserve">Hotărârii Guvernului nr.427/2001, urmare modificărilor substanțiale operate anterior, se regăsește </w:t>
            </w:r>
            <w:r>
              <w:rPr>
                <w:rFonts w:ascii="Times New Roman" w:hAnsi="Times New Roman" w:cs="Times New Roman"/>
                <w:sz w:val="26"/>
                <w:szCs w:val="26"/>
              </w:rPr>
              <w:t xml:space="preserve">în diferite surse de publicare </w:t>
            </w:r>
            <w:r w:rsidRPr="00DB6E87">
              <w:rPr>
                <w:rFonts w:ascii="Times New Roman" w:hAnsi="Times New Roman" w:cs="Times New Roman"/>
                <w:sz w:val="26"/>
                <w:szCs w:val="26"/>
              </w:rPr>
              <w:t>în redacții diferite</w:t>
            </w:r>
            <w:r>
              <w:rPr>
                <w:rFonts w:ascii="Times New Roman" w:hAnsi="Times New Roman" w:cs="Times New Roman"/>
                <w:sz w:val="26"/>
                <w:szCs w:val="26"/>
              </w:rPr>
              <w:t>, se propune republicarea acesteia, în condițiile Legii nr.92/2004 privind procedura publicării și republicării actelor normative și a rectificărilor operate în ele.</w:t>
            </w:r>
          </w:p>
        </w:tc>
      </w:tr>
      <w:tr w:rsidR="009C07D5" w:rsidRPr="00B249F9" w:rsidTr="00933690">
        <w:trPr>
          <w:trHeight w:val="25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lastRenderedPageBreak/>
              <w:t>5.</w:t>
            </w:r>
            <w:r w:rsidRPr="00044CEA">
              <w:rPr>
                <w:rFonts w:ascii="Times New Roman" w:eastAsia="Times New Roman" w:hAnsi="Times New Roman" w:cs="Times New Roman"/>
                <w:b/>
                <w:sz w:val="26"/>
                <w:szCs w:val="26"/>
              </w:rPr>
              <w:t xml:space="preserve"> Fundamentarea economico-financiară</w:t>
            </w:r>
          </w:p>
        </w:tc>
      </w:tr>
      <w:tr w:rsidR="009C07D5" w:rsidRPr="00B249F9" w:rsidTr="00933690">
        <w:trPr>
          <w:trHeight w:val="90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sz w:val="26"/>
                <w:szCs w:val="26"/>
              </w:rPr>
            </w:pPr>
            <w:r w:rsidRPr="00044CEA">
              <w:rPr>
                <w:rFonts w:ascii="Times New Roman" w:hAnsi="Times New Roman" w:cs="Times New Roman"/>
                <w:sz w:val="26"/>
                <w:szCs w:val="26"/>
              </w:rPr>
              <w:t>Implementarea prevederilor proiectului nu necesită cheltuieli financiare suplimentare din bugetul de stat.</w:t>
            </w:r>
          </w:p>
        </w:tc>
      </w:tr>
      <w:tr w:rsidR="009C07D5" w:rsidRPr="00B249F9" w:rsidTr="00933690">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t>6.</w:t>
            </w:r>
            <w:r w:rsidRPr="00044CEA">
              <w:rPr>
                <w:rFonts w:ascii="Times New Roman" w:eastAsia="Times New Roman" w:hAnsi="Times New Roman" w:cs="Times New Roman"/>
                <w:b/>
                <w:sz w:val="26"/>
                <w:szCs w:val="26"/>
              </w:rPr>
              <w:t xml:space="preserve"> Modul de încorporare a actului în cadrul normativ în vigoare </w:t>
            </w:r>
          </w:p>
        </w:tc>
      </w:tr>
      <w:tr w:rsidR="009C07D5" w:rsidRPr="00B249F9" w:rsidTr="00933690">
        <w:trPr>
          <w:trHeight w:val="22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A74EBA" w:rsidRDefault="009C07D5" w:rsidP="00933690">
            <w:pPr>
              <w:pStyle w:val="cb"/>
              <w:ind w:firstLine="644"/>
              <w:jc w:val="both"/>
              <w:rPr>
                <w:b w:val="0"/>
                <w:sz w:val="26"/>
                <w:szCs w:val="26"/>
                <w:lang w:val="en-US"/>
              </w:rPr>
            </w:pPr>
            <w:r w:rsidRPr="00A74EBA">
              <w:rPr>
                <w:b w:val="0"/>
                <w:sz w:val="26"/>
                <w:szCs w:val="26"/>
                <w:lang w:val="en-US"/>
              </w:rPr>
              <w:t>Urmare aprobării proiectului vizat nu va fi necesară modificarea şi completarea altor acte normative.</w:t>
            </w:r>
          </w:p>
        </w:tc>
      </w:tr>
      <w:tr w:rsidR="009C07D5" w:rsidRPr="00B249F9" w:rsidTr="00933690">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t>7.</w:t>
            </w:r>
            <w:r w:rsidRPr="00044CEA">
              <w:rPr>
                <w:rFonts w:ascii="Times New Roman" w:eastAsia="Times New Roman" w:hAnsi="Times New Roman" w:cs="Times New Roman"/>
                <w:b/>
                <w:sz w:val="26"/>
                <w:szCs w:val="26"/>
              </w:rPr>
              <w:t xml:space="preserve"> Avizarea şi consultarea publică a proiectului </w:t>
            </w:r>
          </w:p>
        </w:tc>
      </w:tr>
      <w:tr w:rsidR="009C07D5" w:rsidRPr="00B249F9" w:rsidTr="00933690">
        <w:trPr>
          <w:trHeight w:val="25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sz w:val="26"/>
                <w:szCs w:val="26"/>
              </w:rPr>
            </w:pPr>
            <w:r w:rsidRPr="00AD5B20">
              <w:rPr>
                <w:rFonts w:ascii="Times New Roman" w:hAnsi="Times New Roman" w:cs="Times New Roman"/>
                <w:sz w:val="26"/>
                <w:szCs w:val="26"/>
              </w:rPr>
              <w:t>În scopul respectării prevederilor Legii nr. 239</w:t>
            </w:r>
            <w:r>
              <w:rPr>
                <w:rFonts w:ascii="Times New Roman" w:hAnsi="Times New Roman" w:cs="Times New Roman"/>
                <w:sz w:val="26"/>
                <w:szCs w:val="26"/>
              </w:rPr>
              <w:t>/</w:t>
            </w:r>
            <w:r w:rsidRPr="00AD5B20">
              <w:rPr>
                <w:rFonts w:ascii="Times New Roman" w:hAnsi="Times New Roman" w:cs="Times New Roman"/>
                <w:sz w:val="26"/>
                <w:szCs w:val="26"/>
              </w:rPr>
              <w:t>2008 privind transparenţa în procesul decizional, anunțul privind inițierea elaborării proiectului propus a fost plasat pe pagina web oficială a Ministerului Economiei și Infrastructurii www.mei.gov.md, compartimentul Transparenţa decizională, directoriul Anunțuri privind inițierea elaborării deciziei</w:t>
            </w:r>
            <w:r>
              <w:rPr>
                <w:rFonts w:ascii="Times New Roman" w:hAnsi="Times New Roman" w:cs="Times New Roman"/>
                <w:sz w:val="26"/>
                <w:szCs w:val="26"/>
              </w:rPr>
              <w:t xml:space="preserve">. Proiectul Hotărârii Guvernului </w:t>
            </w:r>
            <w:r w:rsidRPr="00AD5B20">
              <w:rPr>
                <w:rFonts w:ascii="Times New Roman" w:hAnsi="Times New Roman" w:cs="Times New Roman"/>
                <w:sz w:val="26"/>
                <w:szCs w:val="26"/>
              </w:rPr>
              <w:t>urmează a fi supus avizării și consultării publice în conformitate cu procedura stabilită prin Legea nr. 100/2017 cu privire la actele normative</w:t>
            </w:r>
            <w:r w:rsidRPr="003602AC">
              <w:rPr>
                <w:rFonts w:ascii="Times New Roman" w:eastAsia="Times New Roman" w:hAnsi="Times New Roman" w:cs="Times New Roman"/>
                <w:sz w:val="26"/>
                <w:szCs w:val="26"/>
                <w:lang w:eastAsia="ro-RO"/>
              </w:rPr>
              <w:t>.</w:t>
            </w:r>
          </w:p>
        </w:tc>
      </w:tr>
      <w:tr w:rsidR="009C07D5" w:rsidRPr="00B249F9" w:rsidTr="00933690">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t>8.</w:t>
            </w:r>
            <w:r w:rsidRPr="00044CEA">
              <w:rPr>
                <w:rFonts w:ascii="Times New Roman" w:eastAsia="Times New Roman" w:hAnsi="Times New Roman" w:cs="Times New Roman"/>
                <w:b/>
                <w:sz w:val="26"/>
                <w:szCs w:val="26"/>
              </w:rPr>
              <w:t xml:space="preserve"> Constatările expertizei anticorupţie</w:t>
            </w:r>
          </w:p>
        </w:tc>
      </w:tr>
      <w:tr w:rsidR="009C07D5" w:rsidRPr="00B249F9" w:rsidTr="00933690">
        <w:trPr>
          <w:trHeight w:val="462"/>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o-RO"/>
              </w:rPr>
              <w:t xml:space="preserve">Proiectul inițial a fost supus expertizei anticorupție, rezultatele căreia fiind expuse în Raportul de expertiză anticorupție, remis prin scrisoarea Centrului Național Anticorupție nr.06/2-7154 din 11.12.2017. </w:t>
            </w:r>
          </w:p>
        </w:tc>
      </w:tr>
      <w:tr w:rsidR="009C07D5" w:rsidRPr="00B249F9" w:rsidTr="00933690">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t>9.</w:t>
            </w:r>
            <w:r w:rsidRPr="00044CEA">
              <w:rPr>
                <w:rFonts w:ascii="Times New Roman" w:eastAsia="Times New Roman" w:hAnsi="Times New Roman" w:cs="Times New Roman"/>
                <w:b/>
                <w:sz w:val="26"/>
                <w:szCs w:val="26"/>
              </w:rPr>
              <w:t xml:space="preserve"> Constatările expertizei de compatibilitate</w:t>
            </w:r>
          </w:p>
        </w:tc>
      </w:tr>
      <w:tr w:rsidR="009C07D5" w:rsidRPr="00B249F9" w:rsidTr="00933690">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sz w:val="26"/>
                <w:szCs w:val="26"/>
              </w:rPr>
            </w:pPr>
            <w:r w:rsidRPr="00044CEA">
              <w:rPr>
                <w:rFonts w:ascii="Times New Roman" w:eastAsia="Times New Roman" w:hAnsi="Times New Roman" w:cs="Times New Roman"/>
                <w:sz w:val="26"/>
                <w:szCs w:val="26"/>
              </w:rPr>
              <w:t>Proiectul nu conține norme privind armonizarea legislației naționale cu legislaţia Uniunii Europene.</w:t>
            </w:r>
          </w:p>
        </w:tc>
      </w:tr>
      <w:tr w:rsidR="009C07D5" w:rsidRPr="00B249F9" w:rsidTr="00933690">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9C07D5" w:rsidRPr="00044CEA" w:rsidRDefault="009C07D5" w:rsidP="00933690">
            <w:pPr>
              <w:spacing w:after="0" w:line="240" w:lineRule="auto"/>
              <w:ind w:firstLine="644"/>
              <w:rPr>
                <w:rFonts w:ascii="Times New Roman" w:eastAsia="Times New Roman" w:hAnsi="Times New Roman" w:cs="Times New Roman"/>
                <w:b/>
                <w:sz w:val="26"/>
                <w:szCs w:val="26"/>
              </w:rPr>
            </w:pPr>
            <w:r w:rsidRPr="00044CEA">
              <w:rPr>
                <w:rFonts w:ascii="Times New Roman" w:eastAsia="Times New Roman" w:hAnsi="Times New Roman" w:cs="Times New Roman"/>
                <w:b/>
                <w:bCs/>
                <w:sz w:val="26"/>
                <w:szCs w:val="26"/>
              </w:rPr>
              <w:t>10.</w:t>
            </w:r>
            <w:r w:rsidRPr="00044CEA">
              <w:rPr>
                <w:rFonts w:ascii="Times New Roman" w:eastAsia="Times New Roman" w:hAnsi="Times New Roman" w:cs="Times New Roman"/>
                <w:b/>
                <w:sz w:val="26"/>
                <w:szCs w:val="26"/>
              </w:rPr>
              <w:t xml:space="preserve"> Constatările expertizei juridice</w:t>
            </w:r>
          </w:p>
        </w:tc>
      </w:tr>
      <w:tr w:rsidR="009C07D5" w:rsidRPr="00B249F9" w:rsidTr="00933690">
        <w:trPr>
          <w:trHeight w:val="18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C07D5" w:rsidRPr="00044CEA" w:rsidRDefault="009C07D5" w:rsidP="00933690">
            <w:pPr>
              <w:spacing w:after="0" w:line="240" w:lineRule="auto"/>
              <w:ind w:firstLine="644"/>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o-RO"/>
              </w:rPr>
              <w:lastRenderedPageBreak/>
              <w:t>De menționat că proiectul inițial a fost examinat și avizat de către Ministerul Justiției prin avizul nr.03/13668 din 12.12.2017.</w:t>
            </w:r>
          </w:p>
        </w:tc>
      </w:tr>
      <w:tr w:rsidR="009C07D5" w:rsidRPr="00B249F9" w:rsidTr="00933690">
        <w:trPr>
          <w:trHeight w:val="31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9C07D5" w:rsidRPr="00044CEA" w:rsidRDefault="009C07D5" w:rsidP="00933690">
            <w:pPr>
              <w:spacing w:after="0" w:line="240" w:lineRule="auto"/>
              <w:ind w:firstLine="644"/>
              <w:jc w:val="both"/>
              <w:rPr>
                <w:rFonts w:ascii="Times New Roman" w:eastAsia="Times New Roman" w:hAnsi="Times New Roman" w:cs="Times New Roman"/>
                <w:sz w:val="26"/>
                <w:szCs w:val="26"/>
              </w:rPr>
            </w:pPr>
            <w:r w:rsidRPr="00044CEA">
              <w:rPr>
                <w:rFonts w:ascii="Times New Roman" w:eastAsia="Times New Roman" w:hAnsi="Times New Roman" w:cs="Times New Roman"/>
                <w:b/>
                <w:bCs/>
                <w:sz w:val="26"/>
                <w:szCs w:val="26"/>
              </w:rPr>
              <w:t>11.</w:t>
            </w:r>
            <w:r w:rsidRPr="00044CEA">
              <w:rPr>
                <w:rFonts w:ascii="Times New Roman" w:eastAsia="Times New Roman" w:hAnsi="Times New Roman" w:cs="Times New Roman"/>
                <w:b/>
                <w:sz w:val="26"/>
                <w:szCs w:val="26"/>
              </w:rPr>
              <w:t xml:space="preserve"> Constatările altor expertize</w:t>
            </w:r>
          </w:p>
        </w:tc>
      </w:tr>
      <w:tr w:rsidR="009C07D5" w:rsidRPr="00B910D9" w:rsidTr="00933690">
        <w:trPr>
          <w:trHeight w:val="19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C07D5" w:rsidRPr="00044CEA" w:rsidRDefault="009C07D5" w:rsidP="00933690">
            <w:pPr>
              <w:spacing w:after="0" w:line="240" w:lineRule="auto"/>
              <w:ind w:firstLine="644"/>
              <w:jc w:val="both"/>
              <w:rPr>
                <w:rFonts w:ascii="Times New Roman" w:eastAsia="Times New Roman" w:hAnsi="Times New Roman" w:cs="Times New Roman"/>
                <w:b/>
                <w:bCs/>
                <w:sz w:val="28"/>
                <w:szCs w:val="28"/>
              </w:rPr>
            </w:pPr>
            <w:r w:rsidRPr="00AD5B20">
              <w:rPr>
                <w:rFonts w:ascii="Times New Roman" w:hAnsi="Times New Roman" w:cs="Times New Roman"/>
                <w:sz w:val="26"/>
                <w:szCs w:val="26"/>
              </w:rPr>
              <w:t>În scopul asigurării principiului transparenţei decizionale şi respectării intereselor societăţii şi drepturilor întreprinzătorilor, conform Legii nr. 235/2006 cu privire la principiile de reglementare a activității de întreprinzător și Metodologiei de analiză a impactului de reglementare și de monitorizare a eficienței actului de reglementare (Hotărîrea Guvernului nr. 1230</w:t>
            </w:r>
            <w:r>
              <w:rPr>
                <w:rFonts w:ascii="Times New Roman" w:hAnsi="Times New Roman" w:cs="Times New Roman"/>
                <w:sz w:val="26"/>
                <w:szCs w:val="26"/>
              </w:rPr>
              <w:t>/</w:t>
            </w:r>
            <w:r w:rsidRPr="00AD5B20">
              <w:rPr>
                <w:rFonts w:ascii="Times New Roman" w:hAnsi="Times New Roman" w:cs="Times New Roman"/>
                <w:sz w:val="26"/>
                <w:szCs w:val="26"/>
              </w:rPr>
              <w:t xml:space="preserve">2006), a fost elaborată Analiza impactului de reglementare la proiectul propus, examinată </w:t>
            </w:r>
            <w:r>
              <w:rPr>
                <w:rFonts w:ascii="Times New Roman" w:hAnsi="Times New Roman" w:cs="Times New Roman"/>
                <w:sz w:val="26"/>
                <w:szCs w:val="26"/>
              </w:rPr>
              <w:t xml:space="preserve">și avizată pozitiv </w:t>
            </w:r>
            <w:r w:rsidRPr="00AD5B20">
              <w:rPr>
                <w:rFonts w:ascii="Times New Roman" w:hAnsi="Times New Roman" w:cs="Times New Roman"/>
                <w:sz w:val="26"/>
                <w:szCs w:val="26"/>
              </w:rPr>
              <w:t xml:space="preserve">în cadrul </w:t>
            </w:r>
            <w:r>
              <w:rPr>
                <w:rFonts w:ascii="Times New Roman" w:hAnsi="Times New Roman" w:cs="Times New Roman"/>
                <w:sz w:val="26"/>
                <w:szCs w:val="26"/>
              </w:rPr>
              <w:t xml:space="preserve">ședinței </w:t>
            </w:r>
            <w:r w:rsidRPr="00AD5B20">
              <w:rPr>
                <w:rFonts w:ascii="Times New Roman" w:hAnsi="Times New Roman" w:cs="Times New Roman"/>
                <w:sz w:val="26"/>
                <w:szCs w:val="26"/>
              </w:rPr>
              <w:t>Grupului de lucru al Comisiei de stat pentru reglementarea activității de întreprinzător</w:t>
            </w:r>
            <w:r>
              <w:rPr>
                <w:rFonts w:ascii="Times New Roman" w:hAnsi="Times New Roman" w:cs="Times New Roman"/>
                <w:sz w:val="26"/>
                <w:szCs w:val="26"/>
              </w:rPr>
              <w:t xml:space="preserve"> din 10.01.2018 (</w:t>
            </w:r>
            <w:r w:rsidRPr="00AD5B20">
              <w:rPr>
                <w:rFonts w:ascii="Times New Roman" w:hAnsi="Times New Roman" w:cs="Times New Roman"/>
                <w:i/>
                <w:sz w:val="26"/>
                <w:szCs w:val="26"/>
              </w:rPr>
              <w:t>se anexează</w:t>
            </w:r>
            <w:r>
              <w:rPr>
                <w:rFonts w:ascii="Times New Roman" w:hAnsi="Times New Roman" w:cs="Times New Roman"/>
                <w:sz w:val="26"/>
                <w:szCs w:val="26"/>
              </w:rPr>
              <w:t xml:space="preserve">). Ulterior, </w:t>
            </w:r>
            <w:r w:rsidRPr="00AD5B20">
              <w:rPr>
                <w:rFonts w:ascii="Times New Roman" w:hAnsi="Times New Roman" w:cs="Times New Roman"/>
                <w:sz w:val="26"/>
                <w:szCs w:val="26"/>
              </w:rPr>
              <w:t xml:space="preserve">în cadrul </w:t>
            </w:r>
            <w:r>
              <w:rPr>
                <w:rFonts w:ascii="Times New Roman" w:hAnsi="Times New Roman" w:cs="Times New Roman"/>
                <w:sz w:val="26"/>
                <w:szCs w:val="26"/>
              </w:rPr>
              <w:t xml:space="preserve">ședinței din 17.01.2018 a </w:t>
            </w:r>
            <w:r w:rsidRPr="00AD5B20">
              <w:rPr>
                <w:rFonts w:ascii="Times New Roman" w:hAnsi="Times New Roman" w:cs="Times New Roman"/>
                <w:sz w:val="26"/>
                <w:szCs w:val="26"/>
              </w:rPr>
              <w:t xml:space="preserve">Grupului de lucru </w:t>
            </w:r>
            <w:r>
              <w:rPr>
                <w:rFonts w:ascii="Times New Roman" w:hAnsi="Times New Roman" w:cs="Times New Roman"/>
                <w:sz w:val="26"/>
                <w:szCs w:val="26"/>
              </w:rPr>
              <w:t>a fost avizat pozitiv și nemijlocit proiectul Hotărârii Guvernului.</w:t>
            </w:r>
          </w:p>
        </w:tc>
      </w:tr>
    </w:tbl>
    <w:p w:rsidR="009C07D5" w:rsidRPr="0097456E" w:rsidRDefault="009C07D5" w:rsidP="009C07D5">
      <w:pPr>
        <w:tabs>
          <w:tab w:val="left" w:pos="884"/>
          <w:tab w:val="left" w:pos="1196"/>
        </w:tabs>
        <w:spacing w:after="0" w:line="240" w:lineRule="auto"/>
        <w:ind w:firstLine="540"/>
        <w:jc w:val="both"/>
        <w:rPr>
          <w:sz w:val="28"/>
          <w:szCs w:val="28"/>
        </w:rPr>
      </w:pPr>
    </w:p>
    <w:p w:rsidR="009C07D5" w:rsidRDefault="009C07D5" w:rsidP="009C07D5">
      <w:pPr>
        <w:spacing w:after="0" w:line="240" w:lineRule="auto"/>
        <w:jc w:val="both"/>
        <w:rPr>
          <w:rFonts w:ascii="Times New Roman" w:hAnsi="Times New Roman" w:cs="Times New Roman"/>
          <w:b/>
          <w:sz w:val="28"/>
          <w:szCs w:val="28"/>
        </w:rPr>
      </w:pPr>
    </w:p>
    <w:p w:rsidR="009C07D5" w:rsidRDefault="009C07D5" w:rsidP="009C07D5">
      <w:pPr>
        <w:spacing w:after="0" w:line="240" w:lineRule="auto"/>
        <w:jc w:val="both"/>
        <w:rPr>
          <w:rFonts w:ascii="Times New Roman" w:hAnsi="Times New Roman" w:cs="Times New Roman"/>
          <w:b/>
          <w:sz w:val="28"/>
          <w:szCs w:val="28"/>
        </w:rPr>
      </w:pPr>
    </w:p>
    <w:p w:rsidR="009C07D5" w:rsidRDefault="009C07D5" w:rsidP="009C07D5">
      <w:pPr>
        <w:spacing w:after="0" w:line="240" w:lineRule="auto"/>
        <w:ind w:left="720" w:right="288" w:firstLine="72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Ministru   </w:t>
      </w:r>
      <w:r w:rsidRPr="00C75F42">
        <w:rPr>
          <w:rFonts w:ascii="Times New Roman" w:hAnsi="Times New Roman" w:cs="Times New Roman"/>
          <w:i/>
          <w:sz w:val="28"/>
          <w:szCs w:val="28"/>
          <w:lang w:val="ro-RO"/>
        </w:rPr>
        <w:t>(semnat electronic)</w:t>
      </w:r>
      <w:r>
        <w:rPr>
          <w:rFonts w:ascii="Times New Roman" w:hAnsi="Times New Roman" w:cs="Times New Roman"/>
          <w:b/>
          <w:sz w:val="28"/>
          <w:szCs w:val="28"/>
          <w:lang w:val="ro-RO"/>
        </w:rPr>
        <w:t xml:space="preserve">             Vadim BRÎNZAN</w:t>
      </w:r>
    </w:p>
    <w:p w:rsidR="009C07D5" w:rsidRPr="00044CEA" w:rsidRDefault="009C07D5" w:rsidP="009C07D5">
      <w:pPr>
        <w:spacing w:after="0" w:line="240" w:lineRule="auto"/>
        <w:jc w:val="both"/>
        <w:rPr>
          <w:rFonts w:ascii="Times New Roman" w:hAnsi="Times New Roman" w:cs="Times New Roman"/>
          <w:b/>
          <w:sz w:val="28"/>
          <w:szCs w:val="28"/>
        </w:rPr>
      </w:pPr>
    </w:p>
    <w:p w:rsidR="009C07D5" w:rsidRPr="00733341" w:rsidRDefault="009C07D5" w:rsidP="009C07D5">
      <w:pPr>
        <w:ind w:left="288" w:right="288"/>
        <w:jc w:val="both"/>
        <w:rPr>
          <w:b/>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p>
    <w:p w:rsidR="009C07D5" w:rsidRDefault="009C07D5" w:rsidP="009C07D5">
      <w:pPr>
        <w:spacing w:after="0" w:line="240" w:lineRule="auto"/>
        <w:jc w:val="center"/>
        <w:rPr>
          <w:rFonts w:ascii="Times New Roman" w:hAnsi="Times New Roman" w:cs="Times New Roman"/>
          <w:b/>
          <w:color w:val="000000"/>
          <w:sz w:val="24"/>
          <w:szCs w:val="24"/>
          <w:lang w:val="ro-RO" w:eastAsia="ja-JP"/>
        </w:rPr>
      </w:pPr>
      <w:bookmarkStart w:id="0" w:name="_GoBack"/>
      <w:bookmarkEnd w:id="0"/>
    </w:p>
    <w:p w:rsidR="009C07D5" w:rsidRPr="00A26AE6" w:rsidRDefault="009C07D5" w:rsidP="009C07D5">
      <w:pPr>
        <w:spacing w:after="0" w:line="240" w:lineRule="auto"/>
        <w:jc w:val="center"/>
        <w:rPr>
          <w:rFonts w:ascii="Times New Roman" w:hAnsi="Times New Roman" w:cs="Times New Roman"/>
          <w:b/>
          <w:color w:val="000000"/>
          <w:sz w:val="24"/>
          <w:szCs w:val="24"/>
          <w:lang w:val="ro-RO" w:eastAsia="ja-JP"/>
        </w:rPr>
      </w:pPr>
      <w:r w:rsidRPr="00A26AE6">
        <w:rPr>
          <w:rFonts w:ascii="Times New Roman" w:hAnsi="Times New Roman" w:cs="Times New Roman"/>
          <w:b/>
          <w:color w:val="000000"/>
          <w:sz w:val="24"/>
          <w:szCs w:val="24"/>
          <w:lang w:val="ro-RO" w:eastAsia="ja-JP"/>
        </w:rPr>
        <w:t>Analiza Impactului de Reglementare</w:t>
      </w:r>
    </w:p>
    <w:p w:rsidR="009C07D5" w:rsidRPr="00A26AE6" w:rsidRDefault="009C07D5" w:rsidP="009C07D5">
      <w:pPr>
        <w:spacing w:after="0" w:line="240" w:lineRule="auto"/>
        <w:jc w:val="center"/>
        <w:rPr>
          <w:rFonts w:ascii="Times New Roman" w:hAnsi="Times New Roman" w:cs="Times New Roman"/>
          <w:b/>
          <w:sz w:val="24"/>
          <w:szCs w:val="24"/>
          <w:lang w:val="ro-RO" w:eastAsia="ro-RO"/>
        </w:rPr>
      </w:pPr>
      <w:r w:rsidRPr="00A26AE6">
        <w:rPr>
          <w:rFonts w:ascii="Times New Roman" w:hAnsi="Times New Roman" w:cs="Times New Roman"/>
          <w:b/>
          <w:color w:val="000000"/>
          <w:sz w:val="24"/>
          <w:szCs w:val="24"/>
          <w:lang w:val="ro-RO" w:eastAsia="ja-JP"/>
        </w:rPr>
        <w:t xml:space="preserve">a proiectului de </w:t>
      </w:r>
      <w:r w:rsidRPr="00A26AE6">
        <w:rPr>
          <w:rFonts w:ascii="Times New Roman" w:hAnsi="Times New Roman" w:cs="Times New Roman"/>
          <w:b/>
          <w:color w:val="000000" w:themeColor="text1"/>
          <w:sz w:val="24"/>
          <w:szCs w:val="24"/>
          <w:lang w:val="ro-RO"/>
        </w:rPr>
        <w:t>Hotărîre a Guvernului pentru modificarea unor hotărîri ale Guvernului</w:t>
      </w:r>
    </w:p>
    <w:p w:rsidR="009C07D5" w:rsidRPr="00A26AE6" w:rsidRDefault="009C07D5" w:rsidP="009C07D5">
      <w:pPr>
        <w:spacing w:after="0" w:line="240" w:lineRule="auto"/>
        <w:jc w:val="center"/>
        <w:rPr>
          <w:rFonts w:ascii="Times New Roman" w:hAnsi="Times New Roman" w:cs="Times New Roman"/>
          <w:b/>
          <w:sz w:val="24"/>
          <w:szCs w:val="24"/>
          <w:lang w:val="ro-RO" w:eastAsia="ro-RO"/>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4"/>
        <w:gridCol w:w="6317"/>
      </w:tblGrid>
      <w:tr w:rsidR="009C07D5" w:rsidRPr="00A26AE6" w:rsidTr="00933690">
        <w:tc>
          <w:tcPr>
            <w:tcW w:w="3034" w:type="dxa"/>
          </w:tcPr>
          <w:p w:rsidR="009C07D5" w:rsidRPr="00A26AE6" w:rsidRDefault="009C07D5" w:rsidP="00933690">
            <w:pPr>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 xml:space="preserve">Titlul analizei impactului </w:t>
            </w:r>
            <w:r w:rsidRPr="00A26AE6">
              <w:rPr>
                <w:rFonts w:ascii="Times New Roman" w:hAnsi="Times New Roman" w:cs="Times New Roman"/>
                <w:bCs/>
                <w:sz w:val="24"/>
                <w:szCs w:val="24"/>
                <w:lang w:val="ro-RO" w:eastAsia="ja-JP"/>
              </w:rPr>
              <w:t>(poate conține titlul propunerii de act normativ)</w:t>
            </w:r>
          </w:p>
        </w:tc>
        <w:tc>
          <w:tcPr>
            <w:tcW w:w="6317" w:type="dxa"/>
          </w:tcPr>
          <w:p w:rsidR="009C07D5" w:rsidRPr="00A26AE6" w:rsidRDefault="009C07D5" w:rsidP="00933690">
            <w:pPr>
              <w:spacing w:after="0"/>
              <w:jc w:val="both"/>
              <w:rPr>
                <w:rFonts w:ascii="Times New Roman" w:hAnsi="Times New Roman" w:cs="Times New Roman"/>
                <w:b/>
                <w:bCs/>
                <w:sz w:val="24"/>
                <w:szCs w:val="24"/>
                <w:lang w:val="ro-RO" w:eastAsia="ja-JP"/>
              </w:rPr>
            </w:pPr>
            <w:r w:rsidRPr="00A26AE6">
              <w:rPr>
                <w:rFonts w:ascii="Times New Roman" w:hAnsi="Times New Roman" w:cs="Times New Roman"/>
                <w:color w:val="000000" w:themeColor="text1"/>
                <w:sz w:val="24"/>
                <w:szCs w:val="24"/>
              </w:rPr>
              <w:t>Referitoare la proiectul de Hotărîre a Guvernului pentru modificarea unor hotărîri ale Guvernului (</w:t>
            </w:r>
            <w:r w:rsidRPr="00A26AE6">
              <w:rPr>
                <w:rFonts w:ascii="Times New Roman" w:hAnsi="Times New Roman" w:cs="Times New Roman"/>
                <w:bCs/>
                <w:sz w:val="24"/>
                <w:szCs w:val="24"/>
                <w:lang w:eastAsia="ru-RU"/>
              </w:rPr>
              <w:t>Hotărîrea Guvernului nr. 427/2001 „Privind importul și comercializarea unor m</w:t>
            </w:r>
            <w:r>
              <w:rPr>
                <w:rFonts w:ascii="Times New Roman" w:hAnsi="Times New Roman" w:cs="Times New Roman"/>
                <w:bCs/>
                <w:sz w:val="24"/>
                <w:szCs w:val="24"/>
                <w:lang w:eastAsia="ru-RU"/>
              </w:rPr>
              <w:t>ărfuri de uz personal folosite</w:t>
            </w:r>
            <w:r w:rsidRPr="00A26AE6">
              <w:rPr>
                <w:rFonts w:ascii="Times New Roman" w:hAnsi="Times New Roman" w:cs="Times New Roman"/>
                <w:bCs/>
                <w:sz w:val="24"/>
                <w:szCs w:val="24"/>
                <w:lang w:eastAsia="ru-RU"/>
              </w:rPr>
              <w:t>”, Hotărîrea Guvernului nr.</w:t>
            </w:r>
            <w:r>
              <w:rPr>
                <w:rFonts w:ascii="Times New Roman" w:hAnsi="Times New Roman" w:cs="Times New Roman"/>
                <w:bCs/>
                <w:sz w:val="24"/>
                <w:szCs w:val="24"/>
                <w:lang w:eastAsia="ru-RU"/>
              </w:rPr>
              <w:t xml:space="preserve"> </w:t>
            </w:r>
            <w:r w:rsidRPr="00A26AE6">
              <w:rPr>
                <w:rFonts w:ascii="Times New Roman" w:hAnsi="Times New Roman" w:cs="Times New Roman"/>
                <w:bCs/>
                <w:sz w:val="24"/>
                <w:szCs w:val="24"/>
                <w:lang w:eastAsia="ru-RU"/>
              </w:rPr>
              <w:t>955</w:t>
            </w:r>
            <w:r>
              <w:rPr>
                <w:rFonts w:ascii="Times New Roman" w:hAnsi="Times New Roman" w:cs="Times New Roman"/>
                <w:bCs/>
                <w:sz w:val="24"/>
                <w:szCs w:val="24"/>
                <w:lang w:eastAsia="ru-RU"/>
              </w:rPr>
              <w:t>/</w:t>
            </w:r>
            <w:r w:rsidRPr="00A26AE6">
              <w:rPr>
                <w:rFonts w:ascii="Times New Roman" w:hAnsi="Times New Roman" w:cs="Times New Roman"/>
                <w:bCs/>
                <w:sz w:val="24"/>
                <w:szCs w:val="24"/>
                <w:lang w:eastAsia="ru-RU"/>
              </w:rPr>
              <w:t>2004 „Cu privire la aprobarea Regulamentului-tip de funcționare a piețelor”)</w:t>
            </w:r>
          </w:p>
        </w:tc>
      </w:tr>
      <w:tr w:rsidR="009C07D5" w:rsidRPr="00A26AE6" w:rsidTr="00933690">
        <w:tc>
          <w:tcPr>
            <w:tcW w:w="3034" w:type="dxa"/>
          </w:tcPr>
          <w:p w:rsidR="009C07D5" w:rsidRPr="00A26AE6" w:rsidRDefault="009C07D5" w:rsidP="00933690">
            <w:pPr>
              <w:spacing w:after="0" w:line="240" w:lineRule="auto"/>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Data:</w:t>
            </w:r>
          </w:p>
          <w:p w:rsidR="009C07D5" w:rsidRPr="00A26AE6" w:rsidRDefault="009C07D5" w:rsidP="00933690">
            <w:pPr>
              <w:spacing w:after="0" w:line="240" w:lineRule="auto"/>
              <w:rPr>
                <w:rFonts w:ascii="Times New Roman" w:hAnsi="Times New Roman" w:cs="Times New Roman"/>
                <w:b/>
                <w:bCs/>
                <w:sz w:val="24"/>
                <w:szCs w:val="24"/>
                <w:lang w:val="ro-RO" w:eastAsia="ja-JP"/>
              </w:rPr>
            </w:pPr>
          </w:p>
        </w:tc>
        <w:tc>
          <w:tcPr>
            <w:tcW w:w="6317" w:type="dxa"/>
          </w:tcPr>
          <w:p w:rsidR="009C07D5" w:rsidRPr="00A26AE6" w:rsidRDefault="009C07D5" w:rsidP="00933690">
            <w:pPr>
              <w:spacing w:after="0" w:line="240" w:lineRule="auto"/>
              <w:rPr>
                <w:rFonts w:ascii="Times New Roman" w:hAnsi="Times New Roman" w:cs="Times New Roman"/>
                <w:b/>
                <w:sz w:val="24"/>
                <w:szCs w:val="24"/>
                <w:lang w:val="ro-RO" w:eastAsia="ja-JP"/>
              </w:rPr>
            </w:pPr>
            <w:r w:rsidRPr="00A26AE6">
              <w:rPr>
                <w:rFonts w:ascii="Times New Roman" w:hAnsi="Times New Roman" w:cs="Times New Roman"/>
                <w:b/>
                <w:sz w:val="24"/>
                <w:szCs w:val="24"/>
                <w:lang w:val="ro-RO" w:eastAsia="ja-JP"/>
              </w:rPr>
              <w:t>3 mai 2017</w:t>
            </w:r>
          </w:p>
          <w:p w:rsidR="009C07D5" w:rsidRPr="00A26AE6" w:rsidRDefault="009C07D5" w:rsidP="00933690">
            <w:pPr>
              <w:spacing w:after="0" w:line="240" w:lineRule="auto"/>
              <w:rPr>
                <w:rFonts w:ascii="Times New Roman" w:hAnsi="Times New Roman" w:cs="Times New Roman"/>
                <w:b/>
                <w:sz w:val="24"/>
                <w:szCs w:val="24"/>
                <w:lang w:val="ro-RO" w:eastAsia="ja-JP"/>
              </w:rPr>
            </w:pPr>
            <w:r w:rsidRPr="00A26AE6">
              <w:rPr>
                <w:rFonts w:ascii="Times New Roman" w:hAnsi="Times New Roman" w:cs="Times New Roman"/>
                <w:b/>
                <w:sz w:val="24"/>
                <w:szCs w:val="24"/>
                <w:lang w:val="ro-RO" w:eastAsia="ja-JP"/>
              </w:rPr>
              <w:t>Completat – 23 octombrie 2017</w:t>
            </w:r>
          </w:p>
          <w:p w:rsidR="009C07D5" w:rsidRPr="00A26AE6" w:rsidRDefault="009C07D5" w:rsidP="00933690">
            <w:pPr>
              <w:spacing w:after="0" w:line="240" w:lineRule="auto"/>
              <w:rPr>
                <w:rFonts w:ascii="Times New Roman" w:hAnsi="Times New Roman" w:cs="Times New Roman"/>
                <w:b/>
                <w:sz w:val="24"/>
                <w:szCs w:val="24"/>
                <w:lang w:val="ro-RO" w:eastAsia="ja-JP"/>
              </w:rPr>
            </w:pPr>
            <w:r w:rsidRPr="00A26AE6">
              <w:rPr>
                <w:rFonts w:ascii="Times New Roman" w:hAnsi="Times New Roman" w:cs="Times New Roman"/>
                <w:b/>
                <w:sz w:val="24"/>
                <w:szCs w:val="24"/>
                <w:lang w:val="ro-RO" w:eastAsia="ja-JP"/>
              </w:rPr>
              <w:t>Completat – 9 ianuarie 2018</w:t>
            </w:r>
          </w:p>
        </w:tc>
      </w:tr>
      <w:tr w:rsidR="009C07D5" w:rsidRPr="00A26AE6" w:rsidTr="00933690">
        <w:tc>
          <w:tcPr>
            <w:tcW w:w="3034" w:type="dxa"/>
          </w:tcPr>
          <w:p w:rsidR="009C07D5" w:rsidRPr="00A26AE6" w:rsidRDefault="009C07D5" w:rsidP="00933690">
            <w:pPr>
              <w:spacing w:after="0" w:line="240" w:lineRule="auto"/>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Autoritatea administraţiei publice autor:</w:t>
            </w:r>
          </w:p>
        </w:tc>
        <w:tc>
          <w:tcPr>
            <w:tcW w:w="6317" w:type="dxa"/>
          </w:tcPr>
          <w:p w:rsidR="009C07D5" w:rsidRPr="00A26AE6" w:rsidRDefault="009C07D5" w:rsidP="00933690">
            <w:pPr>
              <w:spacing w:after="0" w:line="240" w:lineRule="auto"/>
              <w:rPr>
                <w:rFonts w:ascii="Times New Roman" w:hAnsi="Times New Roman" w:cs="Times New Roman"/>
                <w:b/>
                <w:sz w:val="24"/>
                <w:szCs w:val="24"/>
                <w:lang w:val="ro-RO" w:eastAsia="ja-JP"/>
              </w:rPr>
            </w:pPr>
            <w:r w:rsidRPr="00A26AE6">
              <w:rPr>
                <w:rFonts w:ascii="Times New Roman" w:hAnsi="Times New Roman" w:cs="Times New Roman"/>
                <w:b/>
                <w:sz w:val="24"/>
                <w:szCs w:val="24"/>
                <w:lang w:val="ro-RO" w:eastAsia="ja-JP"/>
              </w:rPr>
              <w:t>Ministerul Economiei și Infrastructurii</w:t>
            </w:r>
          </w:p>
        </w:tc>
      </w:tr>
      <w:tr w:rsidR="009C07D5" w:rsidRPr="00A26AE6" w:rsidTr="00933690">
        <w:trPr>
          <w:trHeight w:val="475"/>
        </w:trPr>
        <w:tc>
          <w:tcPr>
            <w:tcW w:w="3034" w:type="dxa"/>
          </w:tcPr>
          <w:p w:rsidR="009C07D5" w:rsidRPr="00A26AE6" w:rsidRDefault="009C07D5" w:rsidP="00933690">
            <w:pPr>
              <w:spacing w:after="0" w:line="240" w:lineRule="auto"/>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Subdiviziunea:</w:t>
            </w:r>
          </w:p>
          <w:p w:rsidR="009C07D5" w:rsidRPr="00A26AE6" w:rsidRDefault="009C07D5" w:rsidP="00933690">
            <w:pPr>
              <w:spacing w:after="0" w:line="240" w:lineRule="auto"/>
              <w:rPr>
                <w:rFonts w:ascii="Times New Roman" w:hAnsi="Times New Roman" w:cs="Times New Roman"/>
                <w:b/>
                <w:bCs/>
                <w:sz w:val="24"/>
                <w:szCs w:val="24"/>
                <w:lang w:val="ro-RO" w:eastAsia="ja-JP"/>
              </w:rPr>
            </w:pPr>
          </w:p>
        </w:tc>
        <w:tc>
          <w:tcPr>
            <w:tcW w:w="6317" w:type="dxa"/>
          </w:tcPr>
          <w:p w:rsidR="009C07D5" w:rsidRPr="00A26AE6" w:rsidRDefault="009C07D5" w:rsidP="00933690">
            <w:pPr>
              <w:spacing w:after="0" w:line="240" w:lineRule="auto"/>
              <w:rPr>
                <w:rFonts w:ascii="Times New Roman" w:hAnsi="Times New Roman" w:cs="Times New Roman"/>
                <w:b/>
                <w:sz w:val="24"/>
                <w:szCs w:val="24"/>
                <w:lang w:val="ro-RO" w:eastAsia="ja-JP"/>
              </w:rPr>
            </w:pPr>
            <w:r w:rsidRPr="00A26AE6">
              <w:rPr>
                <w:rFonts w:ascii="Times New Roman" w:hAnsi="Times New Roman" w:cs="Times New Roman"/>
                <w:b/>
                <w:sz w:val="24"/>
                <w:szCs w:val="24"/>
                <w:lang w:val="ro-RO" w:eastAsia="ja-JP"/>
              </w:rPr>
              <w:t xml:space="preserve">Direcția politici economice și mediul de afaceri, Secția reglementarea mediului de afaceri și ÎMM </w:t>
            </w:r>
          </w:p>
        </w:tc>
      </w:tr>
      <w:tr w:rsidR="009C07D5" w:rsidRPr="00A26AE6" w:rsidTr="00933690">
        <w:trPr>
          <w:trHeight w:val="277"/>
        </w:trPr>
        <w:tc>
          <w:tcPr>
            <w:tcW w:w="9351" w:type="dxa"/>
            <w:gridSpan w:val="2"/>
          </w:tcPr>
          <w:p w:rsidR="009C07D5" w:rsidRPr="00A26AE6" w:rsidRDefault="009C07D5" w:rsidP="00933690">
            <w:pPr>
              <w:spacing w:after="0" w:line="240" w:lineRule="auto"/>
              <w:rPr>
                <w:rFonts w:ascii="Times New Roman" w:hAnsi="Times New Roman" w:cs="Times New Roman"/>
                <w:b/>
                <w:bCs/>
                <w:sz w:val="24"/>
                <w:szCs w:val="24"/>
                <w:lang w:eastAsia="ja-JP"/>
              </w:rPr>
            </w:pPr>
          </w:p>
          <w:p w:rsidR="009C07D5" w:rsidRPr="00A26AE6" w:rsidRDefault="009C07D5" w:rsidP="00933690">
            <w:pPr>
              <w:spacing w:after="0" w:line="240" w:lineRule="auto"/>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Componentele analizei impactului de reglementare</w:t>
            </w:r>
          </w:p>
          <w:p w:rsidR="009C07D5" w:rsidRPr="00A26AE6" w:rsidRDefault="009C07D5" w:rsidP="00933690">
            <w:pPr>
              <w:spacing w:after="0" w:line="240" w:lineRule="auto"/>
              <w:rPr>
                <w:rFonts w:ascii="Times New Roman" w:hAnsi="Times New Roman" w:cs="Times New Roman"/>
                <w:b/>
                <w:bCs/>
                <w:sz w:val="24"/>
                <w:szCs w:val="24"/>
                <w:lang w:val="ro-RO" w:eastAsia="ja-JP"/>
              </w:rPr>
            </w:pPr>
          </w:p>
        </w:tc>
      </w:tr>
      <w:tr w:rsidR="009C07D5" w:rsidRPr="00A26AE6" w:rsidTr="00933690">
        <w:trPr>
          <w:trHeight w:val="248"/>
        </w:trPr>
        <w:tc>
          <w:tcPr>
            <w:tcW w:w="9351" w:type="dxa"/>
            <w:gridSpan w:val="2"/>
          </w:tcPr>
          <w:p w:rsidR="009C07D5" w:rsidRPr="00A26AE6" w:rsidRDefault="009C07D5" w:rsidP="00933690">
            <w:pPr>
              <w:spacing w:after="0" w:line="240" w:lineRule="auto"/>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1. Stabilirea complexității analizei impactului de reglementare</w:t>
            </w:r>
          </w:p>
        </w:tc>
      </w:tr>
      <w:tr w:rsidR="009C07D5" w:rsidRPr="00A26AE6" w:rsidTr="00933690">
        <w:trPr>
          <w:trHeight w:val="248"/>
        </w:trPr>
        <w:tc>
          <w:tcPr>
            <w:tcW w:w="9351" w:type="dxa"/>
            <w:gridSpan w:val="2"/>
          </w:tcPr>
          <w:p w:rsidR="009C07D5" w:rsidRPr="00A26AE6" w:rsidRDefault="009C07D5" w:rsidP="00933690">
            <w:pPr>
              <w:jc w:val="both"/>
              <w:rPr>
                <w:rFonts w:ascii="Times New Roman" w:hAnsi="Times New Roman" w:cs="Times New Roman"/>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9C07D5" w:rsidRPr="00A26AE6" w:rsidTr="00933690">
              <w:tc>
                <w:tcPr>
                  <w:tcW w:w="5560"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 xml:space="preserve">Criteriul </w:t>
                  </w:r>
                </w:p>
              </w:tc>
              <w:tc>
                <w:tcPr>
                  <w:tcW w:w="2805"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Punctajul</w:t>
                  </w:r>
                </w:p>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(de la 1 la 3)</w:t>
                  </w:r>
                </w:p>
              </w:tc>
            </w:tr>
            <w:tr w:rsidR="009C07D5" w:rsidRPr="00A26AE6" w:rsidTr="00933690">
              <w:tc>
                <w:tcPr>
                  <w:tcW w:w="5560"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Nivelul de interes public faţă de intervenția propusă</w:t>
                  </w:r>
                </w:p>
              </w:tc>
              <w:tc>
                <w:tcPr>
                  <w:tcW w:w="2805"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2</w:t>
                  </w:r>
                </w:p>
              </w:tc>
            </w:tr>
            <w:tr w:rsidR="009C07D5" w:rsidRPr="00A26AE6" w:rsidTr="00933690">
              <w:tc>
                <w:tcPr>
                  <w:tcW w:w="5560"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hAnsi="Times New Roman" w:cs="Times New Roman"/>
                      <w:color w:val="000000"/>
                      <w:sz w:val="24"/>
                      <w:szCs w:val="24"/>
                      <w:lang w:val="ro-RO" w:eastAsia="ja-JP"/>
                    </w:rPr>
                    <w:t>Gradul de inovație al intervenției propuse</w:t>
                  </w:r>
                </w:p>
              </w:tc>
              <w:tc>
                <w:tcPr>
                  <w:tcW w:w="2805"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1</w:t>
                  </w:r>
                </w:p>
              </w:tc>
            </w:tr>
            <w:tr w:rsidR="009C07D5" w:rsidRPr="00A26AE6" w:rsidTr="00933690">
              <w:tc>
                <w:tcPr>
                  <w:tcW w:w="5560"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Mărimea potenţialelor impacturi ale inițiativei propuse</w:t>
                  </w:r>
                </w:p>
              </w:tc>
              <w:tc>
                <w:tcPr>
                  <w:tcW w:w="2805"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2</w:t>
                  </w:r>
                </w:p>
              </w:tc>
            </w:tr>
            <w:tr w:rsidR="009C07D5" w:rsidRPr="00A26AE6" w:rsidTr="00933690">
              <w:tc>
                <w:tcPr>
                  <w:tcW w:w="5560"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TOTAL</w:t>
                  </w:r>
                </w:p>
              </w:tc>
              <w:tc>
                <w:tcPr>
                  <w:tcW w:w="2805" w:type="dxa"/>
                </w:tcPr>
                <w:p w:rsidR="009C07D5" w:rsidRPr="00A26AE6" w:rsidRDefault="009C07D5" w:rsidP="00933690">
                  <w:pPr>
                    <w:spacing w:after="0" w:line="240" w:lineRule="auto"/>
                    <w:jc w:val="both"/>
                    <w:rPr>
                      <w:rFonts w:ascii="Times New Roman" w:eastAsia="MS Mincho" w:hAnsi="Times New Roman" w:cs="Times New Roman"/>
                      <w:sz w:val="24"/>
                      <w:szCs w:val="24"/>
                      <w:lang w:val="ro-RO" w:eastAsia="ja-JP"/>
                    </w:rPr>
                  </w:pPr>
                  <w:r w:rsidRPr="00A26AE6">
                    <w:rPr>
                      <w:rFonts w:ascii="Times New Roman" w:eastAsia="MS Mincho" w:hAnsi="Times New Roman" w:cs="Times New Roman"/>
                      <w:sz w:val="24"/>
                      <w:szCs w:val="24"/>
                      <w:lang w:val="ro-RO" w:eastAsia="ja-JP"/>
                    </w:rPr>
                    <w:t>5</w:t>
                  </w:r>
                </w:p>
              </w:tc>
            </w:tr>
          </w:tbl>
          <w:p w:rsidR="009C07D5" w:rsidRPr="00A26AE6" w:rsidRDefault="009C07D5" w:rsidP="00933690">
            <w:pPr>
              <w:jc w:val="both"/>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 xml:space="preserve">      </w:t>
            </w:r>
          </w:p>
          <w:p w:rsidR="009C07D5" w:rsidRPr="00A26AE6" w:rsidRDefault="009C07D5" w:rsidP="00933690">
            <w:pPr>
              <w:spacing w:after="0" w:line="240" w:lineRule="auto"/>
              <w:jc w:val="both"/>
              <w:rPr>
                <w:rFonts w:ascii="Times New Roman" w:hAnsi="Times New Roman" w:cs="Times New Roman"/>
                <w:bCs/>
                <w:sz w:val="24"/>
                <w:szCs w:val="24"/>
                <w:u w:val="single"/>
                <w:lang w:val="ro-RO" w:eastAsia="ja-JP"/>
              </w:rPr>
            </w:pPr>
            <w:r w:rsidRPr="00A26AE6">
              <w:rPr>
                <w:rFonts w:ascii="Times New Roman" w:hAnsi="Times New Roman" w:cs="Times New Roman"/>
                <w:bCs/>
                <w:sz w:val="24"/>
                <w:szCs w:val="24"/>
                <w:u w:val="single"/>
                <w:lang w:val="ro-RO" w:eastAsia="ja-JP"/>
              </w:rPr>
              <w:t>Argumentare/descifrarea succintă a punctajului atribuit:</w:t>
            </w:r>
          </w:p>
          <w:p w:rsidR="009C07D5" w:rsidRPr="00A26AE6" w:rsidRDefault="009C07D5" w:rsidP="00933690">
            <w:pPr>
              <w:spacing w:after="0" w:line="240" w:lineRule="auto"/>
              <w:jc w:val="both"/>
              <w:rPr>
                <w:rFonts w:ascii="Times New Roman" w:hAnsi="Times New Roman" w:cs="Times New Roman"/>
                <w:bCs/>
                <w:sz w:val="24"/>
                <w:szCs w:val="24"/>
                <w:u w:val="single"/>
                <w:lang w:val="ro-RO" w:eastAsia="ja-JP"/>
              </w:rPr>
            </w:pPr>
          </w:p>
          <w:p w:rsidR="009C07D5" w:rsidRPr="00A26AE6" w:rsidRDefault="009C07D5" w:rsidP="00933690">
            <w:pPr>
              <w:pStyle w:val="NormalWeb"/>
              <w:ind w:firstLine="0"/>
            </w:pPr>
            <w:r w:rsidRPr="00A26AE6">
              <w:rPr>
                <w:bCs/>
                <w:lang w:eastAsia="ja-JP"/>
              </w:rPr>
              <w:t>Nivelul de interes public față de intervenția propusă – „2” deoarece,</w:t>
            </w:r>
            <w:r w:rsidRPr="00A26AE6">
              <w:t xml:space="preserve"> </w:t>
            </w:r>
            <w:r w:rsidRPr="00A26AE6">
              <w:rPr>
                <w:bCs/>
                <w:lang w:eastAsia="ja-JP"/>
              </w:rPr>
              <w:t xml:space="preserve">intervenția vizează un </w:t>
            </w:r>
            <w:r w:rsidRPr="00A26AE6">
              <w:t>nivel de interes public mediu, corespunzător unor grupuri sociale distincte, restrânse, care nu reprezintă majoritatea societății sau o parte importantă a unui sector economic.</w:t>
            </w:r>
          </w:p>
          <w:p w:rsidR="009C07D5" w:rsidRPr="00A26AE6" w:rsidRDefault="009C07D5" w:rsidP="00933690">
            <w:pPr>
              <w:spacing w:after="0" w:line="240" w:lineRule="auto"/>
              <w:jc w:val="both"/>
              <w:rPr>
                <w:rFonts w:ascii="Times New Roman" w:hAnsi="Times New Roman" w:cs="Times New Roman"/>
                <w:b/>
                <w:bCs/>
                <w:sz w:val="24"/>
                <w:szCs w:val="24"/>
                <w:lang w:eastAsia="ja-JP"/>
              </w:rPr>
            </w:pPr>
          </w:p>
          <w:p w:rsidR="009C07D5" w:rsidRPr="00A26AE6" w:rsidRDefault="009C07D5" w:rsidP="00933690">
            <w:pPr>
              <w:pStyle w:val="NormalWeb"/>
              <w:ind w:firstLine="0"/>
            </w:pPr>
            <w:r w:rsidRPr="00A26AE6">
              <w:rPr>
                <w:color w:val="000000"/>
                <w:lang w:eastAsia="ja-JP"/>
              </w:rPr>
              <w:t xml:space="preserve">Gradul de inovație al intervenției propuse – „1” deoarece, </w:t>
            </w:r>
            <w:r w:rsidRPr="00A26AE6">
              <w:t>intervenția nu este nouă, în mare parte deja existentă în actele normative pe care le modifică și le completează.</w:t>
            </w:r>
          </w:p>
          <w:p w:rsidR="009C07D5" w:rsidRPr="00A26AE6" w:rsidRDefault="009C07D5" w:rsidP="00933690">
            <w:pPr>
              <w:spacing w:after="0" w:line="240" w:lineRule="auto"/>
              <w:jc w:val="both"/>
              <w:rPr>
                <w:rFonts w:ascii="Times New Roman" w:hAnsi="Times New Roman" w:cs="Times New Roman"/>
                <w:sz w:val="24"/>
                <w:szCs w:val="24"/>
              </w:rPr>
            </w:pPr>
          </w:p>
          <w:p w:rsidR="009C07D5" w:rsidRPr="00A26AE6" w:rsidRDefault="009C07D5" w:rsidP="00933690">
            <w:pPr>
              <w:pStyle w:val="NormalWeb"/>
              <w:ind w:firstLine="0"/>
            </w:pPr>
            <w:r w:rsidRPr="00A26AE6">
              <w:rPr>
                <w:rFonts w:eastAsia="MS Mincho"/>
                <w:lang w:eastAsia="ja-JP"/>
              </w:rPr>
              <w:t>Mărimea potențialelor impacturi ale inițiativei propuse – „2” or, prin amendamentele respective ar putea fi afectate n</w:t>
            </w:r>
            <w:r w:rsidRPr="00A26AE6">
              <w:t>eesențial o parte mai mare a societății sau a unui sector economic.</w:t>
            </w:r>
          </w:p>
          <w:p w:rsidR="009C07D5" w:rsidRPr="00A26AE6" w:rsidRDefault="009C07D5" w:rsidP="00933690">
            <w:pPr>
              <w:pStyle w:val="NormalWeb"/>
              <w:ind w:firstLine="0"/>
            </w:pPr>
          </w:p>
        </w:tc>
      </w:tr>
      <w:tr w:rsidR="009C07D5" w:rsidRPr="00A26AE6" w:rsidTr="00933690">
        <w:trPr>
          <w:trHeight w:val="248"/>
        </w:trPr>
        <w:tc>
          <w:tcPr>
            <w:tcW w:w="9351" w:type="dxa"/>
            <w:gridSpan w:val="2"/>
          </w:tcPr>
          <w:p w:rsidR="009C07D5" w:rsidRPr="00A26AE6" w:rsidRDefault="009C07D5" w:rsidP="00933690">
            <w:pPr>
              <w:jc w:val="both"/>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2. Definirea problemei</w:t>
            </w:r>
          </w:p>
        </w:tc>
      </w:tr>
      <w:tr w:rsidR="009C07D5" w:rsidRPr="00A26AE6" w:rsidTr="00933690">
        <w:trPr>
          <w:trHeight w:val="70"/>
        </w:trPr>
        <w:tc>
          <w:tcPr>
            <w:tcW w:w="9351" w:type="dxa"/>
            <w:gridSpan w:val="2"/>
          </w:tcPr>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lastRenderedPageBreak/>
              <w:t xml:space="preserve">Prin Hotărîrea Guvernului nr. 427 din 07.06.2001 privind importul și comercializarea unor mărfuri de uz personal folosite, se interzice importul și comercializarea pe teritoriul Republicii Moldova al încălțămintei uzate, jucăriilor folosite și </w:t>
            </w:r>
            <w:r>
              <w:rPr>
                <w:rFonts w:ascii="Times New Roman" w:hAnsi="Times New Roman" w:cs="Times New Roman"/>
                <w:sz w:val="24"/>
                <w:szCs w:val="24"/>
                <w:lang w:val="ro-RO"/>
              </w:rPr>
              <w:t>a unor categorii de articole textile</w:t>
            </w:r>
            <w:r w:rsidRPr="00A26AE6">
              <w:rPr>
                <w:rFonts w:ascii="Times New Roman" w:hAnsi="Times New Roman" w:cs="Times New Roman"/>
                <w:sz w:val="24"/>
                <w:szCs w:val="24"/>
                <w:lang w:val="ro-RO"/>
              </w:rPr>
              <w:t xml:space="preserve">. </w:t>
            </w:r>
          </w:p>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La finele anului 2016, în adresa Guvernului a parvenit un demers colectiv din partea unui grup de importatori de mărfuri foste în folosință, prin care au fost semnalizate problemele ce țin de aplicabilitatea și respectarea interdicțiilor respective.</w:t>
            </w:r>
          </w:p>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Un prim aspect al problemei ține de faptul menținerii în vigoare a interdicțiilor respective, introduse în legislație cu mai mult de 15 ani în urmă, fără a avea la bază însă raționamente bine argumentate prin date statistice/înregistrate privind existența cazurilor de îmbolnăvire ca urmare a utilizării mărfurilor de uz personal folosite. Preventiv efectuării procedurii de import, mărfurile foste în folosință sunt supuse operațiunilor de curățare, dezinfecție și dezinsecție și sunt însoțite de documente care certifică efectuarea operațiunilor nominalizate, precum și atestă inofensivitatea igienico-sanitară a acestora. Prin urmare, argumentul privind impactul negativ asupra sănătății populației ca urmare a procurării și utilizării acestor categorii de produse nu este argumentat.</w:t>
            </w:r>
          </w:p>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 xml:space="preserve">În context, menționăm despre legislația Uniunii Europene care conține cerințe stricte de siguranță a mărfurilor și garantează un nivel înalt de siguranță consumatorilor, dar care permite pe teritoriul țărilor membre importul și comercializarea mărfurilor de uz personal folosite. </w:t>
            </w:r>
          </w:p>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 xml:space="preserve">De exemplu, legislația României, care este în conformitate cu legislația Uniunii Europene, și anume Hotărârea Guvernului României nr. 163 din 14 februarie 2007 privind introducerea pe piață, comercializarea și distribuirea gratuită a articolelor de îmbrăcăminte purtată sau uzată și a articolelor textile purtate sau uzate, conține norme care reglementează echilibrat acest subiect. Astfel, în conformitate cu </w:t>
            </w:r>
            <w:r>
              <w:rPr>
                <w:rFonts w:ascii="Times New Roman" w:hAnsi="Times New Roman" w:cs="Times New Roman"/>
                <w:sz w:val="24"/>
                <w:szCs w:val="24"/>
                <w:lang w:val="ro-RO"/>
              </w:rPr>
              <w:t>a</w:t>
            </w:r>
            <w:r w:rsidRPr="00A26AE6">
              <w:rPr>
                <w:rFonts w:ascii="Times New Roman" w:hAnsi="Times New Roman" w:cs="Times New Roman"/>
                <w:sz w:val="24"/>
                <w:szCs w:val="24"/>
                <w:lang w:val="ro-RO"/>
              </w:rPr>
              <w:t xml:space="preserve">rt. 2 din Hotărârea Guvernului României </w:t>
            </w:r>
            <w:r>
              <w:rPr>
                <w:rFonts w:ascii="Times New Roman" w:hAnsi="Times New Roman" w:cs="Times New Roman"/>
                <w:sz w:val="24"/>
                <w:szCs w:val="24"/>
                <w:lang w:val="ro-RO"/>
              </w:rPr>
              <w:t>nominaliza</w:t>
            </w:r>
            <w:r w:rsidRPr="00A26AE6">
              <w:rPr>
                <w:rFonts w:ascii="Times New Roman" w:hAnsi="Times New Roman" w:cs="Times New Roman"/>
                <w:sz w:val="24"/>
                <w:szCs w:val="24"/>
                <w:lang w:val="ro-RO"/>
              </w:rPr>
              <w:t>tă - se admite introducerea pe piaţă, comercializarea şi distribuirea gratuită a articolelor de îmbrăcăminte purtată sau uzată şi a articolelor textile purtate sau uzate, numai dacă acestea au fost supuse operaţiunilor de curăţire, dezinfecţie şi dezinsecţie, efectuate de persoane fizice sau juridice specializate în domeniu şi sunt însoţite de un document, distinct pentru fiecare lot, care certifică efectuarea operaţiunilor anterior menţionate.</w:t>
            </w:r>
          </w:p>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Alt aspect al problemei constă în nerespectarea de către toți agenții economici (importatori și comercianți) a prevederilor H</w:t>
            </w:r>
            <w:r>
              <w:rPr>
                <w:rFonts w:ascii="Times New Roman" w:hAnsi="Times New Roman" w:cs="Times New Roman"/>
                <w:sz w:val="24"/>
                <w:szCs w:val="24"/>
                <w:lang w:val="ro-RO"/>
              </w:rPr>
              <w:t xml:space="preserve">otărîrii </w:t>
            </w:r>
            <w:r w:rsidRPr="00A26AE6">
              <w:rPr>
                <w:rFonts w:ascii="Times New Roman" w:hAnsi="Times New Roman" w:cs="Times New Roman"/>
                <w:sz w:val="24"/>
                <w:szCs w:val="24"/>
                <w:lang w:val="ro-RO"/>
              </w:rPr>
              <w:t>G</w:t>
            </w:r>
            <w:r>
              <w:rPr>
                <w:rFonts w:ascii="Times New Roman" w:hAnsi="Times New Roman" w:cs="Times New Roman"/>
                <w:sz w:val="24"/>
                <w:szCs w:val="24"/>
                <w:lang w:val="ro-RO"/>
              </w:rPr>
              <w:t>uvernului</w:t>
            </w:r>
            <w:r w:rsidRPr="00A26AE6">
              <w:rPr>
                <w:rFonts w:ascii="Times New Roman" w:hAnsi="Times New Roman" w:cs="Times New Roman"/>
                <w:sz w:val="24"/>
                <w:szCs w:val="24"/>
                <w:lang w:val="ro-RO"/>
              </w:rPr>
              <w:t xml:space="preserve"> nr. 427/2011, drept dovadă ne servește faptul că piețele comerciale sunt invadate la moment de mărfuri care cad sub interdicțiile menționate, iar acest fapt ne indică existența unui sector vulnerabil și sensibil la contrabandă și evaziuni fiscale, precum și faptul că aceste mărfuri sunt introduse în mod clandestin în țară, prejudiciindu-se astfel bugetul național. Proveniența și inofensivitatea acestor mărfuri în situațiile respective este incertă.</w:t>
            </w:r>
          </w:p>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Din cauză că nu există o statistică înregistrată privind volumul de mărfur</w:t>
            </w:r>
            <w:r>
              <w:rPr>
                <w:rFonts w:ascii="Times New Roman" w:hAnsi="Times New Roman" w:cs="Times New Roman"/>
                <w:sz w:val="24"/>
                <w:szCs w:val="24"/>
                <w:lang w:val="ro-RO"/>
              </w:rPr>
              <w:t>i foste în folosință introduse î</w:t>
            </w:r>
            <w:r w:rsidRPr="00A26AE6">
              <w:rPr>
                <w:rFonts w:ascii="Times New Roman" w:hAnsi="Times New Roman" w:cs="Times New Roman"/>
                <w:sz w:val="24"/>
                <w:szCs w:val="24"/>
                <w:lang w:val="ro-RO"/>
              </w:rPr>
              <w:t xml:space="preserve">n mod ilegal pe teritoriul RM, pierderile la bugetul național nu pot fi estimate. Cu toate acestea, conform datelor prezentate de Serviciul Vamal, importul produselor foste în folosință (doar cele importate în mod oficial, prin urmare care nu fac obiectul interdicțiilor HG 427/2001) pentru anul 2016 a constituit 4353 tone, pentru care a fost achitat TVA la buget în valoare de peste 23 milioane lei, iar suma taxei vamale a constituit cca 13 milioane lei. În </w:t>
            </w:r>
            <w:r w:rsidRPr="00A26AE6">
              <w:rPr>
                <w:rFonts w:ascii="Times New Roman" w:hAnsi="Times New Roman" w:cs="Times New Roman"/>
                <w:sz w:val="24"/>
                <w:szCs w:val="24"/>
                <w:lang w:val="ro-RO"/>
              </w:rPr>
              <w:lastRenderedPageBreak/>
              <w:t>perioada respectivă au fost introduse în țară cca 1 tonă de produse ca ajutor umanitar, care este exceptat de la plata alocărilor în buget (23% din total import mărfuri second hand).</w:t>
            </w:r>
          </w:p>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 xml:space="preserve">Pentru primele 6 luni ale </w:t>
            </w:r>
            <w:r>
              <w:rPr>
                <w:rFonts w:ascii="Times New Roman" w:hAnsi="Times New Roman" w:cs="Times New Roman"/>
                <w:sz w:val="24"/>
                <w:szCs w:val="24"/>
                <w:lang w:val="ro-RO"/>
              </w:rPr>
              <w:t xml:space="preserve">anului </w:t>
            </w:r>
            <w:r w:rsidRPr="00A26AE6">
              <w:rPr>
                <w:rFonts w:ascii="Times New Roman" w:hAnsi="Times New Roman" w:cs="Times New Roman"/>
                <w:sz w:val="24"/>
                <w:szCs w:val="24"/>
                <w:lang w:val="ro-RO"/>
              </w:rPr>
              <w:t>2017, importul cantitativ al mărfurilor second hand a constituit peste 2 mii tone, la buget fiind alocate cca 12 milioane pentru TVA și 6,5 milioane – taxele vamale. În calitate de ajutor umanitar, în primul semestru al anului 2017 au fost introduse în țară 692 tone de produse (34% din total import mărfuri second hand).</w:t>
            </w:r>
          </w:p>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Dacă ne referim la ponderea comerțului cu amănuntul cu produse second-hand din totalul vînzărilor cu amănuntul, conform datelor disponibile prezentate de Biroul Național de Statistică, se prezintă următoarea situație:</w:t>
            </w:r>
          </w:p>
          <w:tbl>
            <w:tblPr>
              <w:tblStyle w:val="TableGrid"/>
              <w:tblW w:w="0" w:type="auto"/>
              <w:tblLook w:val="04A0" w:firstRow="1" w:lastRow="0" w:firstColumn="1" w:lastColumn="0" w:noHBand="0" w:noVBand="1"/>
            </w:tblPr>
            <w:tblGrid>
              <w:gridCol w:w="4464"/>
              <w:gridCol w:w="1056"/>
              <w:gridCol w:w="1056"/>
              <w:gridCol w:w="1056"/>
            </w:tblGrid>
            <w:tr w:rsidR="009C07D5" w:rsidRPr="00A26AE6" w:rsidTr="00933690">
              <w:trPr>
                <w:trHeight w:val="20"/>
              </w:trPr>
              <w:tc>
                <w:tcPr>
                  <w:tcW w:w="4464" w:type="dxa"/>
                </w:tcPr>
                <w:p w:rsidR="009C07D5" w:rsidRPr="00A26AE6" w:rsidRDefault="009C07D5" w:rsidP="00933690">
                  <w:pPr>
                    <w:autoSpaceDE w:val="0"/>
                    <w:autoSpaceDN w:val="0"/>
                    <w:adjustRightInd w:val="0"/>
                    <w:spacing w:before="120" w:line="240" w:lineRule="auto"/>
                    <w:jc w:val="both"/>
                    <w:rPr>
                      <w:rFonts w:ascii="Times New Roman" w:hAnsi="Times New Roman" w:cs="Times New Roman"/>
                      <w:b/>
                      <w:sz w:val="24"/>
                      <w:szCs w:val="24"/>
                      <w:lang w:val="ro-RO"/>
                    </w:rPr>
                  </w:pPr>
                </w:p>
              </w:tc>
              <w:tc>
                <w:tcPr>
                  <w:tcW w:w="1056" w:type="dxa"/>
                </w:tcPr>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b/>
                      <w:sz w:val="24"/>
                      <w:szCs w:val="24"/>
                      <w:lang w:val="ro-RO"/>
                    </w:rPr>
                  </w:pPr>
                  <w:r w:rsidRPr="00A26AE6">
                    <w:rPr>
                      <w:rFonts w:ascii="Times New Roman" w:hAnsi="Times New Roman" w:cs="Times New Roman"/>
                      <w:b/>
                      <w:sz w:val="24"/>
                      <w:szCs w:val="24"/>
                      <w:lang w:val="ro-RO"/>
                    </w:rPr>
                    <w:t>2014</w:t>
                  </w:r>
                </w:p>
              </w:tc>
              <w:tc>
                <w:tcPr>
                  <w:tcW w:w="0" w:type="auto"/>
                </w:tcPr>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b/>
                      <w:sz w:val="24"/>
                      <w:szCs w:val="24"/>
                      <w:lang w:val="ro-RO"/>
                    </w:rPr>
                  </w:pPr>
                  <w:r w:rsidRPr="00A26AE6">
                    <w:rPr>
                      <w:rFonts w:ascii="Times New Roman" w:hAnsi="Times New Roman" w:cs="Times New Roman"/>
                      <w:b/>
                      <w:sz w:val="24"/>
                      <w:szCs w:val="24"/>
                      <w:lang w:val="ro-RO"/>
                    </w:rPr>
                    <w:t>2015</w:t>
                  </w:r>
                </w:p>
              </w:tc>
              <w:tc>
                <w:tcPr>
                  <w:tcW w:w="0" w:type="auto"/>
                </w:tcPr>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b/>
                      <w:sz w:val="24"/>
                      <w:szCs w:val="24"/>
                      <w:lang w:val="ro-RO"/>
                    </w:rPr>
                  </w:pPr>
                  <w:r w:rsidRPr="00A26AE6">
                    <w:rPr>
                      <w:rFonts w:ascii="Times New Roman" w:hAnsi="Times New Roman" w:cs="Times New Roman"/>
                      <w:b/>
                      <w:sz w:val="24"/>
                      <w:szCs w:val="24"/>
                      <w:lang w:val="ro-RO"/>
                    </w:rPr>
                    <w:t>2016</w:t>
                  </w:r>
                </w:p>
              </w:tc>
            </w:tr>
            <w:tr w:rsidR="009C07D5" w:rsidRPr="00A26AE6" w:rsidTr="00933690">
              <w:trPr>
                <w:trHeight w:val="20"/>
              </w:trPr>
              <w:tc>
                <w:tcPr>
                  <w:tcW w:w="4464" w:type="dxa"/>
                </w:tcPr>
                <w:p w:rsidR="009C07D5" w:rsidRPr="00A26AE6" w:rsidRDefault="009C07D5" w:rsidP="00933690">
                  <w:pPr>
                    <w:autoSpaceDE w:val="0"/>
                    <w:autoSpaceDN w:val="0"/>
                    <w:adjustRightInd w:val="0"/>
                    <w:spacing w:before="120" w:line="240" w:lineRule="auto"/>
                    <w:jc w:val="both"/>
                    <w:rPr>
                      <w:rFonts w:ascii="Times New Roman" w:hAnsi="Times New Roman" w:cs="Times New Roman"/>
                      <w:b/>
                      <w:sz w:val="24"/>
                      <w:szCs w:val="24"/>
                      <w:lang w:val="ro-RO"/>
                    </w:rPr>
                  </w:pPr>
                  <w:r w:rsidRPr="00A26AE6">
                    <w:rPr>
                      <w:rFonts w:ascii="Times New Roman" w:hAnsi="Times New Roman" w:cs="Times New Roman"/>
                      <w:b/>
                      <w:sz w:val="24"/>
                      <w:szCs w:val="24"/>
                      <w:lang w:val="ro-RO"/>
                    </w:rPr>
                    <w:t>Total vînzări cu amănuntul, milioane lei</w:t>
                  </w:r>
                </w:p>
              </w:tc>
              <w:tc>
                <w:tcPr>
                  <w:tcW w:w="1056" w:type="dxa"/>
                </w:tcPr>
                <w:p w:rsidR="009C07D5" w:rsidRPr="00A26AE6" w:rsidRDefault="009C07D5" w:rsidP="00933690">
                  <w:pPr>
                    <w:spacing w:line="240" w:lineRule="auto"/>
                    <w:jc w:val="both"/>
                    <w:rPr>
                      <w:rFonts w:ascii="Times New Roman" w:hAnsi="Times New Roman" w:cs="Times New Roman"/>
                      <w:b/>
                      <w:color w:val="000000"/>
                      <w:sz w:val="24"/>
                      <w:szCs w:val="24"/>
                      <w:shd w:val="clear" w:color="auto" w:fill="FFFFFF"/>
                    </w:rPr>
                  </w:pPr>
                </w:p>
                <w:p w:rsidR="009C07D5" w:rsidRPr="00A26AE6" w:rsidRDefault="009C07D5" w:rsidP="00933690">
                  <w:pPr>
                    <w:spacing w:line="240" w:lineRule="auto"/>
                    <w:jc w:val="both"/>
                    <w:rPr>
                      <w:rFonts w:ascii="Times New Roman" w:hAnsi="Times New Roman" w:cs="Times New Roman"/>
                      <w:b/>
                      <w:sz w:val="24"/>
                      <w:szCs w:val="24"/>
                    </w:rPr>
                  </w:pPr>
                  <w:r w:rsidRPr="00A26AE6">
                    <w:rPr>
                      <w:rFonts w:ascii="Times New Roman" w:hAnsi="Times New Roman" w:cs="Times New Roman"/>
                      <w:b/>
                      <w:color w:val="000000"/>
                      <w:sz w:val="24"/>
                      <w:szCs w:val="24"/>
                      <w:shd w:val="clear" w:color="auto" w:fill="FFFFFF"/>
                    </w:rPr>
                    <w:t>45 972,0</w:t>
                  </w:r>
                </w:p>
              </w:tc>
              <w:tc>
                <w:tcPr>
                  <w:tcW w:w="0" w:type="auto"/>
                </w:tcPr>
                <w:p w:rsidR="009C07D5" w:rsidRPr="00A26AE6" w:rsidRDefault="009C07D5" w:rsidP="00933690">
                  <w:pPr>
                    <w:spacing w:line="240" w:lineRule="auto"/>
                    <w:jc w:val="both"/>
                    <w:rPr>
                      <w:rFonts w:ascii="Times New Roman" w:hAnsi="Times New Roman" w:cs="Times New Roman"/>
                      <w:b/>
                      <w:color w:val="000000"/>
                      <w:sz w:val="24"/>
                      <w:szCs w:val="24"/>
                      <w:shd w:val="clear" w:color="auto" w:fill="FFFFFF"/>
                    </w:rPr>
                  </w:pPr>
                </w:p>
                <w:p w:rsidR="009C07D5" w:rsidRPr="00A26AE6" w:rsidRDefault="009C07D5" w:rsidP="00933690">
                  <w:pPr>
                    <w:spacing w:line="240" w:lineRule="auto"/>
                    <w:jc w:val="both"/>
                    <w:rPr>
                      <w:rFonts w:ascii="Times New Roman" w:hAnsi="Times New Roman" w:cs="Times New Roman"/>
                      <w:b/>
                      <w:sz w:val="24"/>
                      <w:szCs w:val="24"/>
                    </w:rPr>
                  </w:pPr>
                  <w:r w:rsidRPr="00A26AE6">
                    <w:rPr>
                      <w:rFonts w:ascii="Times New Roman" w:hAnsi="Times New Roman" w:cs="Times New Roman"/>
                      <w:b/>
                      <w:color w:val="000000"/>
                      <w:sz w:val="24"/>
                      <w:szCs w:val="24"/>
                      <w:shd w:val="clear" w:color="auto" w:fill="FFFFFF"/>
                    </w:rPr>
                    <w:t>42 444,3</w:t>
                  </w:r>
                </w:p>
              </w:tc>
              <w:tc>
                <w:tcPr>
                  <w:tcW w:w="0" w:type="auto"/>
                </w:tcPr>
                <w:p w:rsidR="009C07D5" w:rsidRPr="00A26AE6" w:rsidRDefault="009C07D5" w:rsidP="00933690">
                  <w:pPr>
                    <w:spacing w:line="240" w:lineRule="auto"/>
                    <w:jc w:val="both"/>
                    <w:rPr>
                      <w:rFonts w:ascii="Times New Roman" w:hAnsi="Times New Roman" w:cs="Times New Roman"/>
                      <w:b/>
                      <w:color w:val="000000"/>
                      <w:sz w:val="24"/>
                      <w:szCs w:val="24"/>
                      <w:shd w:val="clear" w:color="auto" w:fill="FFFFFF"/>
                    </w:rPr>
                  </w:pPr>
                </w:p>
                <w:p w:rsidR="009C07D5" w:rsidRPr="00A26AE6" w:rsidRDefault="009C07D5" w:rsidP="00933690">
                  <w:pPr>
                    <w:spacing w:line="240" w:lineRule="auto"/>
                    <w:jc w:val="both"/>
                    <w:rPr>
                      <w:rFonts w:ascii="Times New Roman" w:hAnsi="Times New Roman" w:cs="Times New Roman"/>
                      <w:b/>
                      <w:sz w:val="24"/>
                      <w:szCs w:val="24"/>
                    </w:rPr>
                  </w:pPr>
                  <w:r w:rsidRPr="00A26AE6">
                    <w:rPr>
                      <w:rFonts w:ascii="Times New Roman" w:hAnsi="Times New Roman" w:cs="Times New Roman"/>
                      <w:b/>
                      <w:color w:val="000000"/>
                      <w:sz w:val="24"/>
                      <w:szCs w:val="24"/>
                      <w:shd w:val="clear" w:color="auto" w:fill="FFFFFF"/>
                    </w:rPr>
                    <w:t>48 517,0</w:t>
                  </w:r>
                </w:p>
              </w:tc>
            </w:tr>
            <w:tr w:rsidR="009C07D5" w:rsidRPr="00A26AE6" w:rsidTr="00933690">
              <w:trPr>
                <w:trHeight w:val="20"/>
              </w:trPr>
              <w:tc>
                <w:tcPr>
                  <w:tcW w:w="4464" w:type="dxa"/>
                </w:tcPr>
                <w:p w:rsidR="009C07D5" w:rsidRPr="00A26AE6" w:rsidRDefault="009C07D5" w:rsidP="00933690">
                  <w:pPr>
                    <w:autoSpaceDE w:val="0"/>
                    <w:autoSpaceDN w:val="0"/>
                    <w:adjustRightInd w:val="0"/>
                    <w:spacing w:before="12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Vînzări produse nealimentare, %</w:t>
                  </w:r>
                </w:p>
              </w:tc>
              <w:tc>
                <w:tcPr>
                  <w:tcW w:w="1056" w:type="dxa"/>
                  <w:vAlign w:val="bottom"/>
                </w:tcPr>
                <w:p w:rsidR="009C07D5" w:rsidRPr="00A26AE6" w:rsidRDefault="009C07D5" w:rsidP="00933690">
                  <w:pPr>
                    <w:spacing w:line="240" w:lineRule="auto"/>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65,2</w:t>
                  </w:r>
                </w:p>
              </w:tc>
              <w:tc>
                <w:tcPr>
                  <w:tcW w:w="0" w:type="auto"/>
                  <w:vAlign w:val="bottom"/>
                </w:tcPr>
                <w:p w:rsidR="009C07D5" w:rsidRPr="00A26AE6" w:rsidRDefault="009C07D5" w:rsidP="00933690">
                  <w:pPr>
                    <w:spacing w:line="240" w:lineRule="auto"/>
                    <w:ind w:firstLine="25"/>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63,5</w:t>
                  </w:r>
                </w:p>
              </w:tc>
              <w:tc>
                <w:tcPr>
                  <w:tcW w:w="0" w:type="auto"/>
                  <w:vAlign w:val="bottom"/>
                </w:tcPr>
                <w:p w:rsidR="009C07D5" w:rsidRPr="00A26AE6" w:rsidRDefault="009C07D5" w:rsidP="00933690">
                  <w:pPr>
                    <w:spacing w:line="240" w:lineRule="auto"/>
                    <w:ind w:firstLine="73"/>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62,6</w:t>
                  </w:r>
                </w:p>
              </w:tc>
            </w:tr>
            <w:tr w:rsidR="009C07D5" w:rsidRPr="00A26AE6" w:rsidTr="00933690">
              <w:trPr>
                <w:trHeight w:val="20"/>
              </w:trPr>
              <w:tc>
                <w:tcPr>
                  <w:tcW w:w="4464" w:type="dxa"/>
                </w:tcPr>
                <w:p w:rsidR="009C07D5" w:rsidRPr="00A26AE6" w:rsidRDefault="009C07D5" w:rsidP="00933690">
                  <w:pPr>
                    <w:autoSpaceDE w:val="0"/>
                    <w:autoSpaceDN w:val="0"/>
                    <w:adjustRightInd w:val="0"/>
                    <w:spacing w:before="12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Vînzări produse de îmbrăcăminte, %</w:t>
                  </w:r>
                </w:p>
              </w:tc>
              <w:tc>
                <w:tcPr>
                  <w:tcW w:w="1056" w:type="dxa"/>
                  <w:vAlign w:val="bottom"/>
                </w:tcPr>
                <w:p w:rsidR="009C07D5" w:rsidRPr="00A26AE6" w:rsidRDefault="009C07D5" w:rsidP="00933690">
                  <w:pPr>
                    <w:spacing w:line="240" w:lineRule="auto"/>
                    <w:ind w:firstLine="67"/>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3,0</w:t>
                  </w:r>
                </w:p>
              </w:tc>
              <w:tc>
                <w:tcPr>
                  <w:tcW w:w="0" w:type="auto"/>
                  <w:vAlign w:val="bottom"/>
                </w:tcPr>
                <w:p w:rsidR="009C07D5" w:rsidRPr="00A26AE6" w:rsidRDefault="009C07D5" w:rsidP="00933690">
                  <w:pPr>
                    <w:spacing w:line="240" w:lineRule="auto"/>
                    <w:ind w:firstLine="25"/>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3,2</w:t>
                  </w:r>
                </w:p>
              </w:tc>
              <w:tc>
                <w:tcPr>
                  <w:tcW w:w="0" w:type="auto"/>
                  <w:vAlign w:val="bottom"/>
                </w:tcPr>
                <w:p w:rsidR="009C07D5" w:rsidRPr="00A26AE6" w:rsidRDefault="009C07D5" w:rsidP="00933690">
                  <w:pPr>
                    <w:spacing w:line="240" w:lineRule="auto"/>
                    <w:ind w:firstLine="73"/>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3,4</w:t>
                  </w:r>
                </w:p>
              </w:tc>
            </w:tr>
            <w:tr w:rsidR="009C07D5" w:rsidRPr="00A26AE6" w:rsidTr="00933690">
              <w:trPr>
                <w:trHeight w:val="20"/>
              </w:trPr>
              <w:tc>
                <w:tcPr>
                  <w:tcW w:w="4464" w:type="dxa"/>
                </w:tcPr>
                <w:p w:rsidR="009C07D5" w:rsidRPr="00A26AE6" w:rsidRDefault="009C07D5" w:rsidP="00933690">
                  <w:pPr>
                    <w:autoSpaceDE w:val="0"/>
                    <w:autoSpaceDN w:val="0"/>
                    <w:adjustRightInd w:val="0"/>
                    <w:spacing w:before="12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Vînzări produse de încălțăminte, %</w:t>
                  </w:r>
                </w:p>
              </w:tc>
              <w:tc>
                <w:tcPr>
                  <w:tcW w:w="1056" w:type="dxa"/>
                </w:tcPr>
                <w:p w:rsidR="009C07D5" w:rsidRPr="00A26AE6" w:rsidRDefault="009C07D5" w:rsidP="00933690">
                  <w:pPr>
                    <w:spacing w:line="240" w:lineRule="auto"/>
                    <w:jc w:val="both"/>
                    <w:rPr>
                      <w:rFonts w:ascii="Times New Roman" w:hAnsi="Times New Roman" w:cs="Times New Roman"/>
                      <w:sz w:val="24"/>
                      <w:szCs w:val="24"/>
                    </w:rPr>
                  </w:pPr>
                  <w:r w:rsidRPr="00A26AE6">
                    <w:rPr>
                      <w:rFonts w:ascii="Times New Roman" w:hAnsi="Times New Roman" w:cs="Times New Roman"/>
                      <w:sz w:val="24"/>
                      <w:szCs w:val="24"/>
                    </w:rPr>
                    <w:t>0,7</w:t>
                  </w:r>
                </w:p>
              </w:tc>
              <w:tc>
                <w:tcPr>
                  <w:tcW w:w="0" w:type="auto"/>
                </w:tcPr>
                <w:p w:rsidR="009C07D5" w:rsidRPr="00A26AE6" w:rsidRDefault="009C07D5" w:rsidP="00933690">
                  <w:pPr>
                    <w:spacing w:line="240" w:lineRule="auto"/>
                    <w:jc w:val="both"/>
                    <w:rPr>
                      <w:rFonts w:ascii="Times New Roman" w:hAnsi="Times New Roman" w:cs="Times New Roman"/>
                      <w:sz w:val="24"/>
                      <w:szCs w:val="24"/>
                    </w:rPr>
                  </w:pPr>
                  <w:r w:rsidRPr="00A26AE6">
                    <w:rPr>
                      <w:rFonts w:ascii="Times New Roman" w:hAnsi="Times New Roman" w:cs="Times New Roman"/>
                      <w:sz w:val="24"/>
                      <w:szCs w:val="24"/>
                    </w:rPr>
                    <w:t>1,2</w:t>
                  </w:r>
                </w:p>
              </w:tc>
              <w:tc>
                <w:tcPr>
                  <w:tcW w:w="0" w:type="auto"/>
                </w:tcPr>
                <w:p w:rsidR="009C07D5" w:rsidRPr="00A26AE6" w:rsidRDefault="009C07D5" w:rsidP="00933690">
                  <w:pPr>
                    <w:spacing w:line="240" w:lineRule="auto"/>
                    <w:jc w:val="both"/>
                    <w:rPr>
                      <w:rFonts w:ascii="Times New Roman" w:hAnsi="Times New Roman" w:cs="Times New Roman"/>
                      <w:sz w:val="24"/>
                      <w:szCs w:val="24"/>
                    </w:rPr>
                  </w:pPr>
                  <w:r w:rsidRPr="00A26AE6">
                    <w:rPr>
                      <w:rFonts w:ascii="Times New Roman" w:hAnsi="Times New Roman" w:cs="Times New Roman"/>
                      <w:sz w:val="24"/>
                      <w:szCs w:val="24"/>
                    </w:rPr>
                    <w:t>1,1</w:t>
                  </w:r>
                </w:p>
              </w:tc>
            </w:tr>
            <w:tr w:rsidR="009C07D5" w:rsidRPr="00A26AE6" w:rsidTr="00933690">
              <w:trPr>
                <w:trHeight w:val="20"/>
              </w:trPr>
              <w:tc>
                <w:tcPr>
                  <w:tcW w:w="4464" w:type="dxa"/>
                </w:tcPr>
                <w:p w:rsidR="009C07D5" w:rsidRPr="00A26AE6" w:rsidRDefault="009C07D5" w:rsidP="00933690">
                  <w:pPr>
                    <w:autoSpaceDE w:val="0"/>
                    <w:autoSpaceDN w:val="0"/>
                    <w:adjustRightInd w:val="0"/>
                    <w:spacing w:before="12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Vînzări produse nealimentare, %</w:t>
                  </w:r>
                </w:p>
              </w:tc>
              <w:tc>
                <w:tcPr>
                  <w:tcW w:w="1056" w:type="dxa"/>
                  <w:vAlign w:val="bottom"/>
                </w:tcPr>
                <w:p w:rsidR="009C07D5" w:rsidRPr="00A26AE6" w:rsidRDefault="009C07D5" w:rsidP="00933690">
                  <w:pPr>
                    <w:spacing w:line="240" w:lineRule="auto"/>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65,2</w:t>
                  </w:r>
                </w:p>
              </w:tc>
              <w:tc>
                <w:tcPr>
                  <w:tcW w:w="0" w:type="auto"/>
                  <w:vAlign w:val="bottom"/>
                </w:tcPr>
                <w:p w:rsidR="009C07D5" w:rsidRPr="00A26AE6" w:rsidRDefault="009C07D5" w:rsidP="00933690">
                  <w:pPr>
                    <w:spacing w:line="240" w:lineRule="auto"/>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63,5</w:t>
                  </w:r>
                </w:p>
              </w:tc>
              <w:tc>
                <w:tcPr>
                  <w:tcW w:w="0" w:type="auto"/>
                  <w:vAlign w:val="bottom"/>
                </w:tcPr>
                <w:p w:rsidR="009C07D5" w:rsidRPr="00A26AE6" w:rsidRDefault="009C07D5" w:rsidP="00933690">
                  <w:pPr>
                    <w:spacing w:line="240" w:lineRule="auto"/>
                    <w:jc w:val="both"/>
                    <w:rPr>
                      <w:rFonts w:ascii="Times New Roman" w:hAnsi="Times New Roman" w:cs="Times New Roman"/>
                      <w:color w:val="000000"/>
                      <w:sz w:val="24"/>
                      <w:szCs w:val="24"/>
                    </w:rPr>
                  </w:pPr>
                  <w:r w:rsidRPr="00A26AE6">
                    <w:rPr>
                      <w:rFonts w:ascii="Times New Roman" w:hAnsi="Times New Roman" w:cs="Times New Roman"/>
                      <w:color w:val="000000"/>
                      <w:sz w:val="24"/>
                      <w:szCs w:val="24"/>
                    </w:rPr>
                    <w:t>62,6</w:t>
                  </w:r>
                </w:p>
              </w:tc>
            </w:tr>
            <w:tr w:rsidR="009C07D5" w:rsidRPr="00A26AE6" w:rsidTr="00933690">
              <w:trPr>
                <w:trHeight w:val="20"/>
              </w:trPr>
              <w:tc>
                <w:tcPr>
                  <w:tcW w:w="4464" w:type="dxa"/>
                </w:tcPr>
                <w:p w:rsidR="009C07D5" w:rsidRPr="00A26AE6" w:rsidRDefault="009C07D5" w:rsidP="00933690">
                  <w:pPr>
                    <w:autoSpaceDE w:val="0"/>
                    <w:autoSpaceDN w:val="0"/>
                    <w:adjustRightInd w:val="0"/>
                    <w:spacing w:before="120" w:line="240" w:lineRule="auto"/>
                    <w:jc w:val="both"/>
                    <w:rPr>
                      <w:rFonts w:ascii="Times New Roman" w:hAnsi="Times New Roman" w:cs="Times New Roman"/>
                      <w:b/>
                      <w:sz w:val="24"/>
                      <w:szCs w:val="24"/>
                      <w:lang w:val="ro-RO"/>
                    </w:rPr>
                  </w:pPr>
                  <w:r w:rsidRPr="00A26AE6">
                    <w:rPr>
                      <w:rFonts w:ascii="Times New Roman" w:hAnsi="Times New Roman" w:cs="Times New Roman"/>
                      <w:b/>
                      <w:sz w:val="24"/>
                      <w:szCs w:val="24"/>
                    </w:rPr>
                    <w:t>Vinzarea cu amanuntul a produselor second hand, %</w:t>
                  </w:r>
                </w:p>
              </w:tc>
              <w:tc>
                <w:tcPr>
                  <w:tcW w:w="1056" w:type="dxa"/>
                </w:tcPr>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b/>
                      <w:sz w:val="24"/>
                      <w:szCs w:val="24"/>
                      <w:lang w:val="ro-RO"/>
                    </w:rPr>
                  </w:pPr>
                  <w:r w:rsidRPr="00A26AE6">
                    <w:rPr>
                      <w:rFonts w:ascii="Times New Roman" w:hAnsi="Times New Roman" w:cs="Times New Roman"/>
                      <w:b/>
                      <w:sz w:val="24"/>
                      <w:szCs w:val="24"/>
                      <w:lang w:val="ro-RO"/>
                    </w:rPr>
                    <w:t>0,3</w:t>
                  </w:r>
                </w:p>
              </w:tc>
              <w:tc>
                <w:tcPr>
                  <w:tcW w:w="0" w:type="auto"/>
                </w:tcPr>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b/>
                      <w:sz w:val="24"/>
                      <w:szCs w:val="24"/>
                      <w:lang w:val="ro-RO"/>
                    </w:rPr>
                  </w:pPr>
                  <w:r w:rsidRPr="00A26AE6">
                    <w:rPr>
                      <w:rFonts w:ascii="Times New Roman" w:hAnsi="Times New Roman" w:cs="Times New Roman"/>
                      <w:b/>
                      <w:sz w:val="24"/>
                      <w:szCs w:val="24"/>
                      <w:lang w:val="ro-RO"/>
                    </w:rPr>
                    <w:t>0,1</w:t>
                  </w:r>
                </w:p>
              </w:tc>
              <w:tc>
                <w:tcPr>
                  <w:tcW w:w="0" w:type="auto"/>
                </w:tcPr>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b/>
                      <w:sz w:val="24"/>
                      <w:szCs w:val="24"/>
                      <w:lang w:val="ro-RO"/>
                    </w:rPr>
                  </w:pPr>
                  <w:r w:rsidRPr="00A26AE6">
                    <w:rPr>
                      <w:rFonts w:ascii="Times New Roman" w:hAnsi="Times New Roman" w:cs="Times New Roman"/>
                      <w:b/>
                      <w:sz w:val="24"/>
                      <w:szCs w:val="24"/>
                      <w:lang w:val="ro-RO"/>
                    </w:rPr>
                    <w:t>0,1</w:t>
                  </w:r>
                </w:p>
              </w:tc>
            </w:tr>
          </w:tbl>
          <w:p w:rsidR="009C07D5" w:rsidRPr="00A26AE6" w:rsidRDefault="009C07D5" w:rsidP="00933690">
            <w:pPr>
              <w:autoSpaceDE w:val="0"/>
              <w:autoSpaceDN w:val="0"/>
              <w:adjustRightInd w:val="0"/>
              <w:spacing w:before="120" w:after="24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Astfel, în vederea identificării soluțiilor vis-a-vis de problemele invocate, au fost convocate mai multe ședințe de lucru atît pe platforma Consiliul Economic pe lîngă Prim-minsitru, cît și pe platforma Ministerului Economiei și Infrastructurii</w:t>
            </w:r>
            <w:r>
              <w:rPr>
                <w:rFonts w:ascii="Times New Roman" w:hAnsi="Times New Roman" w:cs="Times New Roman"/>
                <w:sz w:val="24"/>
                <w:szCs w:val="24"/>
                <w:lang w:val="ro-RO"/>
              </w:rPr>
              <w:t>,</w:t>
            </w:r>
            <w:r w:rsidRPr="00A26AE6">
              <w:rPr>
                <w:rFonts w:ascii="Times New Roman" w:hAnsi="Times New Roman" w:cs="Times New Roman"/>
                <w:sz w:val="24"/>
                <w:szCs w:val="24"/>
                <w:lang w:val="ro-RO"/>
              </w:rPr>
              <w:t xml:space="preserve"> cu participarea reprezentanților semnatari ai demersului, Ministerului Economiei și Infrastructurii, Ministerului Sănătății, Muncii și Protecției Sociale, Ministerului Finanțelor și ai Serviciului Vamal. În cadrul ședințelor au fost expuse argumente cu privire la oportunitatea excluderii barierelor pentru importul unor bunuri folosite pe teritoriul RM, iar instituțiile implicate și-au expus opinia referitoare la acest aspect. Pentru detalii a se vedea Capitolul 7 „Consultarea”.</w:t>
            </w:r>
          </w:p>
        </w:tc>
      </w:tr>
      <w:tr w:rsidR="009C07D5" w:rsidRPr="00A26AE6" w:rsidTr="00933690">
        <w:trPr>
          <w:trHeight w:val="242"/>
        </w:trPr>
        <w:tc>
          <w:tcPr>
            <w:tcW w:w="9351" w:type="dxa"/>
            <w:gridSpan w:val="2"/>
          </w:tcPr>
          <w:p w:rsidR="009C07D5" w:rsidRPr="00A26AE6" w:rsidRDefault="009C07D5" w:rsidP="00933690">
            <w:pPr>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lastRenderedPageBreak/>
              <w:t>3. Stabilirea obiectivelor</w:t>
            </w:r>
          </w:p>
        </w:tc>
      </w:tr>
      <w:tr w:rsidR="009C07D5" w:rsidRPr="00A26AE6" w:rsidTr="00933690">
        <w:trPr>
          <w:trHeight w:val="152"/>
        </w:trPr>
        <w:tc>
          <w:tcPr>
            <w:tcW w:w="9351" w:type="dxa"/>
            <w:gridSpan w:val="2"/>
          </w:tcPr>
          <w:p w:rsidR="009C07D5" w:rsidRPr="00A26AE6" w:rsidRDefault="009C07D5" w:rsidP="00933690">
            <w:pPr>
              <w:spacing w:line="252"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 xml:space="preserve">Obiectivul intervenției urmărește soluționarea aspectelor problematice invocate în capitolul anterior, și anume scoaterea din cadranele economiei tenebre, cauzată de importurile clandestine și comercializarea ilegală a mărfurilor foste în folosință (care la moment, deși fac obiectul interdicțiilor HG nr.427/2001, pot fi lesne găsite în piețele comerciale, fără acte ce atestă </w:t>
            </w:r>
            <w:r w:rsidRPr="00A26AE6">
              <w:rPr>
                <w:rFonts w:ascii="Times New Roman" w:hAnsi="Times New Roman" w:cs="Times New Roman"/>
                <w:sz w:val="24"/>
                <w:szCs w:val="24"/>
                <w:lang w:val="ro-RO"/>
              </w:rPr>
              <w:lastRenderedPageBreak/>
              <w:t>proveniența și inofensivitatea acestora), a activității de import și comercializare a încălțămintei uzate, unor categorii de jucării și haine.</w:t>
            </w:r>
          </w:p>
        </w:tc>
      </w:tr>
      <w:tr w:rsidR="009C07D5" w:rsidRPr="00A26AE6" w:rsidTr="00933690">
        <w:trPr>
          <w:trHeight w:val="260"/>
        </w:trPr>
        <w:tc>
          <w:tcPr>
            <w:tcW w:w="9351" w:type="dxa"/>
            <w:gridSpan w:val="2"/>
          </w:tcPr>
          <w:p w:rsidR="009C07D5" w:rsidRPr="00A26AE6" w:rsidRDefault="009C07D5" w:rsidP="00933690">
            <w:pPr>
              <w:rPr>
                <w:rFonts w:ascii="Times New Roman" w:hAnsi="Times New Roman" w:cs="Times New Roman"/>
                <w:b/>
                <w:bCs/>
                <w:sz w:val="24"/>
                <w:szCs w:val="24"/>
                <w:lang w:eastAsia="ja-JP"/>
              </w:rPr>
            </w:pPr>
            <w:r w:rsidRPr="00A26AE6">
              <w:rPr>
                <w:rFonts w:ascii="Times New Roman" w:hAnsi="Times New Roman" w:cs="Times New Roman"/>
                <w:b/>
                <w:bCs/>
                <w:sz w:val="24"/>
                <w:szCs w:val="24"/>
                <w:lang w:eastAsia="ja-JP"/>
              </w:rPr>
              <w:lastRenderedPageBreak/>
              <w:t>4. Identificarea opţiunilor</w:t>
            </w:r>
          </w:p>
        </w:tc>
      </w:tr>
      <w:tr w:rsidR="009C07D5" w:rsidRPr="00A26AE6" w:rsidTr="00933690">
        <w:trPr>
          <w:trHeight w:val="188"/>
        </w:trPr>
        <w:tc>
          <w:tcPr>
            <w:tcW w:w="9351" w:type="dxa"/>
            <w:gridSpan w:val="2"/>
          </w:tcPr>
          <w:p w:rsidR="009C07D5" w:rsidRPr="00A26AE6" w:rsidRDefault="009C07D5" w:rsidP="00933690">
            <w:pPr>
              <w:spacing w:after="0" w:line="240" w:lineRule="auto"/>
              <w:jc w:val="both"/>
              <w:rPr>
                <w:rFonts w:ascii="Times New Roman" w:hAnsi="Times New Roman" w:cs="Times New Roman"/>
                <w:bCs/>
                <w:sz w:val="24"/>
                <w:szCs w:val="24"/>
                <w:lang w:val="ro-RO" w:eastAsia="ja-JP"/>
              </w:rPr>
            </w:pPr>
            <w:r w:rsidRPr="00A26AE6">
              <w:rPr>
                <w:rFonts w:ascii="Times New Roman" w:hAnsi="Times New Roman" w:cs="Times New Roman"/>
                <w:bCs/>
                <w:i/>
                <w:sz w:val="24"/>
                <w:szCs w:val="24"/>
                <w:lang w:val="ro-RO" w:eastAsia="ja-JP"/>
              </w:rPr>
              <w:t>Opţiunea 1. A nu face nimic.</w:t>
            </w:r>
            <w:r w:rsidRPr="00A26AE6">
              <w:rPr>
                <w:rFonts w:ascii="Times New Roman" w:hAnsi="Times New Roman" w:cs="Times New Roman"/>
                <w:bCs/>
                <w:sz w:val="24"/>
                <w:szCs w:val="24"/>
                <w:lang w:val="ro-RO" w:eastAsia="ja-JP"/>
              </w:rPr>
              <w:t xml:space="preserve"> </w:t>
            </w:r>
          </w:p>
          <w:p w:rsidR="009C07D5" w:rsidRPr="00A26AE6" w:rsidRDefault="009C07D5" w:rsidP="00933690">
            <w:pPr>
              <w:spacing w:after="0" w:line="240" w:lineRule="auto"/>
              <w:jc w:val="both"/>
              <w:rPr>
                <w:rFonts w:ascii="Times New Roman" w:hAnsi="Times New Roman" w:cs="Times New Roman"/>
                <w:bCs/>
                <w:sz w:val="24"/>
                <w:szCs w:val="24"/>
                <w:lang w:val="ro-RO" w:eastAsia="ja-JP"/>
              </w:rPr>
            </w:pPr>
            <w:r w:rsidRPr="00A26AE6">
              <w:rPr>
                <w:rFonts w:ascii="Times New Roman" w:hAnsi="Times New Roman" w:cs="Times New Roman"/>
                <w:bCs/>
                <w:sz w:val="24"/>
                <w:szCs w:val="24"/>
                <w:lang w:val="ro-RO" w:eastAsia="ja-JP"/>
              </w:rPr>
              <w:t xml:space="preserve">          </w:t>
            </w:r>
          </w:p>
          <w:p w:rsidR="009C07D5" w:rsidRPr="00A26AE6" w:rsidRDefault="009C07D5" w:rsidP="00933690">
            <w:pPr>
              <w:spacing w:after="0" w:line="240" w:lineRule="auto"/>
              <w:jc w:val="both"/>
              <w:rPr>
                <w:rFonts w:ascii="Times New Roman" w:hAnsi="Times New Roman" w:cs="Times New Roman"/>
                <w:bCs/>
                <w:sz w:val="24"/>
                <w:szCs w:val="24"/>
                <w:lang w:val="ro-RO" w:eastAsia="ja-JP"/>
              </w:rPr>
            </w:pPr>
            <w:r w:rsidRPr="00A26AE6">
              <w:rPr>
                <w:rFonts w:ascii="Times New Roman" w:hAnsi="Times New Roman" w:cs="Times New Roman"/>
                <w:bCs/>
                <w:sz w:val="24"/>
                <w:szCs w:val="24"/>
                <w:lang w:val="ro-RO" w:eastAsia="ja-JP"/>
              </w:rPr>
              <w:t>În cazul în care se va accepta opțiunea „a nu face nimic”, impactul poate fi caracterizat prin menținerea situației existente la moment.</w:t>
            </w:r>
          </w:p>
          <w:p w:rsidR="009C07D5" w:rsidRPr="00A26AE6" w:rsidRDefault="009C07D5" w:rsidP="00933690">
            <w:pPr>
              <w:spacing w:after="0" w:line="240" w:lineRule="auto"/>
              <w:jc w:val="both"/>
              <w:rPr>
                <w:rFonts w:ascii="Times New Roman" w:hAnsi="Times New Roman" w:cs="Times New Roman"/>
                <w:bCs/>
                <w:sz w:val="24"/>
                <w:szCs w:val="24"/>
                <w:lang w:val="ro-RO" w:eastAsia="ja-JP"/>
              </w:rPr>
            </w:pPr>
          </w:p>
          <w:p w:rsidR="009C07D5" w:rsidRPr="00A26AE6" w:rsidRDefault="009C07D5" w:rsidP="00933690">
            <w:pPr>
              <w:spacing w:after="0" w:line="240" w:lineRule="auto"/>
              <w:jc w:val="both"/>
              <w:rPr>
                <w:rFonts w:ascii="Times New Roman" w:hAnsi="Times New Roman" w:cs="Times New Roman"/>
                <w:bCs/>
                <w:sz w:val="24"/>
                <w:szCs w:val="24"/>
                <w:lang w:val="ro-RO" w:eastAsia="ja-JP"/>
              </w:rPr>
            </w:pPr>
            <w:r w:rsidRPr="00A26AE6">
              <w:rPr>
                <w:rFonts w:ascii="Times New Roman" w:hAnsi="Times New Roman" w:cs="Times New Roman"/>
                <w:bCs/>
                <w:i/>
                <w:sz w:val="24"/>
                <w:szCs w:val="24"/>
                <w:lang w:val="ro-RO" w:eastAsia="ja-JP"/>
              </w:rPr>
              <w:t>Opţiunea 2.</w:t>
            </w:r>
            <w:r w:rsidRPr="00A26AE6">
              <w:rPr>
                <w:rFonts w:ascii="Times New Roman" w:hAnsi="Times New Roman" w:cs="Times New Roman"/>
                <w:bCs/>
                <w:sz w:val="24"/>
                <w:szCs w:val="24"/>
                <w:lang w:val="ro-RO" w:eastAsia="ja-JP"/>
              </w:rPr>
              <w:t xml:space="preserve"> </w:t>
            </w:r>
            <w:r w:rsidRPr="00A26AE6">
              <w:rPr>
                <w:rFonts w:ascii="Times New Roman" w:hAnsi="Times New Roman" w:cs="Times New Roman"/>
                <w:bCs/>
                <w:i/>
                <w:sz w:val="24"/>
                <w:szCs w:val="24"/>
                <w:lang w:val="ro-RO" w:eastAsia="ja-JP"/>
              </w:rPr>
              <w:t>Revizuirea şi modificarea cadrului normativ actual în vederea extinderii/suplinirii listei mărfurilor de uz personal folosite ce cad sub interdicția de import şi comercializare.</w:t>
            </w:r>
          </w:p>
          <w:p w:rsidR="009C07D5" w:rsidRPr="00A26AE6" w:rsidRDefault="009C07D5" w:rsidP="00933690">
            <w:pPr>
              <w:spacing w:after="0" w:line="240" w:lineRule="auto"/>
              <w:jc w:val="both"/>
              <w:rPr>
                <w:rFonts w:ascii="Times New Roman" w:hAnsi="Times New Roman" w:cs="Times New Roman"/>
                <w:bCs/>
                <w:sz w:val="24"/>
                <w:szCs w:val="24"/>
                <w:lang w:val="ro-RO" w:eastAsia="ja-JP"/>
              </w:rPr>
            </w:pPr>
          </w:p>
          <w:p w:rsidR="009C07D5" w:rsidRPr="00A26AE6" w:rsidRDefault="009C07D5" w:rsidP="00933690">
            <w:pPr>
              <w:spacing w:after="0"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Conform opțiunii respective, se intenționează extinderea listei de produse de uz personal folosite pasibile de a fi importate, comercializate și distribuite gratuit pe teritoriul Republicii Moldova cu următoarele categorii de produse: încălțăminte, unele categorii de jucării</w:t>
            </w:r>
            <w:r>
              <w:rPr>
                <w:rFonts w:ascii="Times New Roman" w:hAnsi="Times New Roman" w:cs="Times New Roman"/>
                <w:sz w:val="24"/>
                <w:szCs w:val="24"/>
                <w:lang w:val="ro-RO"/>
              </w:rPr>
              <w:t xml:space="preserve"> şi îmbrăcăminte</w:t>
            </w:r>
            <w:r w:rsidRPr="00A26AE6">
              <w:rPr>
                <w:rFonts w:ascii="Times New Roman" w:hAnsi="Times New Roman" w:cs="Times New Roman"/>
                <w:sz w:val="24"/>
                <w:szCs w:val="24"/>
                <w:lang w:val="ro-RO"/>
              </w:rPr>
              <w:t xml:space="preserve">. </w:t>
            </w:r>
          </w:p>
          <w:p w:rsidR="009C07D5" w:rsidRPr="00A26AE6" w:rsidRDefault="009C07D5" w:rsidP="00933690">
            <w:pPr>
              <w:spacing w:after="0" w:line="240" w:lineRule="auto"/>
              <w:jc w:val="both"/>
              <w:rPr>
                <w:rFonts w:ascii="Times New Roman" w:hAnsi="Times New Roman" w:cs="Times New Roman"/>
                <w:sz w:val="24"/>
                <w:szCs w:val="24"/>
                <w:lang w:val="ro-RO"/>
              </w:rPr>
            </w:pPr>
          </w:p>
          <w:p w:rsidR="009C07D5" w:rsidRPr="00A26AE6" w:rsidRDefault="009C07D5" w:rsidP="00933690">
            <w:pPr>
              <w:spacing w:after="0" w:line="240" w:lineRule="auto"/>
              <w:jc w:val="both"/>
              <w:rPr>
                <w:rFonts w:ascii="Times New Roman" w:hAnsi="Times New Roman" w:cs="Times New Roman"/>
                <w:bCs/>
                <w:sz w:val="24"/>
                <w:szCs w:val="24"/>
                <w:lang w:val="ro-RO" w:eastAsia="ja-JP"/>
              </w:rPr>
            </w:pPr>
            <w:r w:rsidRPr="00A26AE6">
              <w:rPr>
                <w:rFonts w:ascii="Times New Roman" w:hAnsi="Times New Roman" w:cs="Times New Roman"/>
                <w:sz w:val="24"/>
                <w:szCs w:val="24"/>
                <w:lang w:val="ro-RO"/>
              </w:rPr>
              <w:t>Totodată, întru atingerea obiectivelor marcate care ar facilita supravegherea produselor respective se propune comercializarea acestora în pieţe şi magazine specializate în corespundere cu principiile concurenţei loiale, de protejare a pieţei, sănătăţii, securităţii şi intereselor economice ale consumatorilor, precum şi a mediului ambiant.</w:t>
            </w:r>
          </w:p>
          <w:p w:rsidR="009C07D5" w:rsidRPr="00A26AE6" w:rsidRDefault="009C07D5" w:rsidP="00933690">
            <w:pPr>
              <w:spacing w:after="0" w:line="240" w:lineRule="auto"/>
              <w:jc w:val="both"/>
              <w:rPr>
                <w:rFonts w:ascii="Times New Roman" w:hAnsi="Times New Roman" w:cs="Times New Roman"/>
                <w:bCs/>
                <w:sz w:val="24"/>
                <w:szCs w:val="24"/>
                <w:lang w:val="ro-RO" w:eastAsia="ja-JP"/>
              </w:rPr>
            </w:pPr>
          </w:p>
        </w:tc>
      </w:tr>
      <w:tr w:rsidR="009C07D5" w:rsidRPr="00A26AE6" w:rsidTr="00933690">
        <w:trPr>
          <w:trHeight w:val="268"/>
        </w:trPr>
        <w:tc>
          <w:tcPr>
            <w:tcW w:w="9351" w:type="dxa"/>
            <w:gridSpan w:val="2"/>
          </w:tcPr>
          <w:p w:rsidR="009C07D5" w:rsidRPr="00A26AE6" w:rsidRDefault="009C07D5" w:rsidP="00933690">
            <w:pPr>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5. Analiza şi compararea opţiunilor</w:t>
            </w:r>
          </w:p>
        </w:tc>
      </w:tr>
      <w:tr w:rsidR="009C07D5" w:rsidRPr="00A26AE6" w:rsidTr="00933690">
        <w:trPr>
          <w:trHeight w:val="170"/>
        </w:trPr>
        <w:tc>
          <w:tcPr>
            <w:tcW w:w="9351" w:type="dxa"/>
            <w:gridSpan w:val="2"/>
          </w:tcPr>
          <w:p w:rsidR="009C07D5" w:rsidRPr="00A26AE6" w:rsidRDefault="009C07D5" w:rsidP="00933690">
            <w:pPr>
              <w:rPr>
                <w:rFonts w:ascii="Times New Roman" w:hAnsi="Times New Roman" w:cs="Times New Roman"/>
                <w:bCs/>
                <w:sz w:val="24"/>
                <w:szCs w:val="24"/>
                <w:lang w:val="ro-RO"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3393"/>
              <w:gridCol w:w="3529"/>
            </w:tblGrid>
            <w:tr w:rsidR="009C07D5" w:rsidRPr="00A26AE6" w:rsidTr="00933690">
              <w:trPr>
                <w:trHeight w:val="389"/>
              </w:trPr>
              <w:tc>
                <w:tcPr>
                  <w:tcW w:w="2094" w:type="dxa"/>
                </w:tcPr>
                <w:p w:rsidR="009C07D5" w:rsidRPr="00A26AE6" w:rsidRDefault="009C07D5" w:rsidP="00933690">
                  <w:pPr>
                    <w:ind w:firstLine="337"/>
                    <w:rPr>
                      <w:rFonts w:ascii="Times New Roman" w:hAnsi="Times New Roman" w:cs="Times New Roman"/>
                      <w:b/>
                      <w:sz w:val="24"/>
                      <w:szCs w:val="24"/>
                    </w:rPr>
                  </w:pPr>
                  <w:r w:rsidRPr="00A26AE6">
                    <w:rPr>
                      <w:rFonts w:ascii="Times New Roman" w:hAnsi="Times New Roman" w:cs="Times New Roman"/>
                      <w:b/>
                      <w:sz w:val="24"/>
                      <w:szCs w:val="24"/>
                    </w:rPr>
                    <w:t xml:space="preserve">Opțiunea </w:t>
                  </w:r>
                </w:p>
              </w:tc>
              <w:tc>
                <w:tcPr>
                  <w:tcW w:w="3656" w:type="dxa"/>
                </w:tcPr>
                <w:p w:rsidR="009C07D5" w:rsidRPr="00A26AE6" w:rsidRDefault="009C07D5" w:rsidP="00933690">
                  <w:pPr>
                    <w:rPr>
                      <w:rFonts w:ascii="Times New Roman" w:hAnsi="Times New Roman" w:cs="Times New Roman"/>
                      <w:b/>
                      <w:sz w:val="24"/>
                      <w:szCs w:val="24"/>
                    </w:rPr>
                  </w:pPr>
                  <w:r w:rsidRPr="00A26AE6">
                    <w:rPr>
                      <w:rFonts w:ascii="Times New Roman" w:hAnsi="Times New Roman" w:cs="Times New Roman"/>
                      <w:b/>
                      <w:sz w:val="24"/>
                      <w:szCs w:val="24"/>
                    </w:rPr>
                    <w:t>Posibile avantaje</w:t>
                  </w:r>
                </w:p>
              </w:tc>
              <w:tc>
                <w:tcPr>
                  <w:tcW w:w="3821" w:type="dxa"/>
                </w:tcPr>
                <w:p w:rsidR="009C07D5" w:rsidRPr="00A26AE6" w:rsidRDefault="009C07D5" w:rsidP="00933690">
                  <w:pPr>
                    <w:rPr>
                      <w:rFonts w:ascii="Times New Roman" w:hAnsi="Times New Roman" w:cs="Times New Roman"/>
                      <w:b/>
                      <w:sz w:val="24"/>
                      <w:szCs w:val="24"/>
                    </w:rPr>
                  </w:pPr>
                  <w:r w:rsidRPr="00A26AE6">
                    <w:rPr>
                      <w:rFonts w:ascii="Times New Roman" w:hAnsi="Times New Roman" w:cs="Times New Roman"/>
                      <w:b/>
                      <w:sz w:val="24"/>
                      <w:szCs w:val="24"/>
                    </w:rPr>
                    <w:t>Posibile dezavantaje</w:t>
                  </w:r>
                </w:p>
              </w:tc>
            </w:tr>
            <w:tr w:rsidR="009C07D5" w:rsidRPr="00A26AE6" w:rsidTr="00933690">
              <w:tc>
                <w:tcPr>
                  <w:tcW w:w="2094" w:type="dxa"/>
                </w:tcPr>
                <w:p w:rsidR="009C07D5" w:rsidRPr="00A26AE6" w:rsidRDefault="009C07D5" w:rsidP="00933690">
                  <w:pPr>
                    <w:ind w:hanging="23"/>
                    <w:rPr>
                      <w:rFonts w:ascii="Times New Roman" w:hAnsi="Times New Roman" w:cs="Times New Roman"/>
                      <w:sz w:val="24"/>
                      <w:szCs w:val="24"/>
                    </w:rPr>
                  </w:pPr>
                  <w:r w:rsidRPr="00A26AE6">
                    <w:rPr>
                      <w:rFonts w:ascii="Times New Roman" w:hAnsi="Times New Roman" w:cs="Times New Roman"/>
                      <w:b/>
                      <w:sz w:val="24"/>
                      <w:szCs w:val="24"/>
                    </w:rPr>
                    <w:t>1.A nu face nimic</w:t>
                  </w:r>
                </w:p>
              </w:tc>
              <w:tc>
                <w:tcPr>
                  <w:tcW w:w="3656" w:type="dxa"/>
                </w:tcPr>
                <w:p w:rsidR="009C07D5" w:rsidRPr="00A26AE6" w:rsidRDefault="009C07D5" w:rsidP="00933690">
                  <w:pPr>
                    <w:spacing w:after="0" w:line="240" w:lineRule="auto"/>
                    <w:jc w:val="both"/>
                    <w:rPr>
                      <w:rFonts w:ascii="Times New Roman" w:hAnsi="Times New Roman" w:cs="Times New Roman"/>
                      <w:sz w:val="24"/>
                      <w:szCs w:val="24"/>
                    </w:rPr>
                  </w:pPr>
                  <w:r w:rsidRPr="00A26AE6">
                    <w:rPr>
                      <w:rFonts w:ascii="Times New Roman" w:hAnsi="Times New Roman" w:cs="Times New Roman"/>
                      <w:sz w:val="24"/>
                      <w:szCs w:val="24"/>
                    </w:rPr>
                    <w:t xml:space="preserve">Venituri la buget mai mari generate de taxele vamale colectate urmare </w:t>
                  </w:r>
                  <w:proofErr w:type="gramStart"/>
                  <w:r w:rsidRPr="00A26AE6">
                    <w:rPr>
                      <w:rFonts w:ascii="Times New Roman" w:hAnsi="Times New Roman" w:cs="Times New Roman"/>
                      <w:sz w:val="24"/>
                      <w:szCs w:val="24"/>
                    </w:rPr>
                    <w:t>a</w:t>
                  </w:r>
                  <w:proofErr w:type="gramEnd"/>
                  <w:r w:rsidRPr="00A26AE6">
                    <w:rPr>
                      <w:rFonts w:ascii="Times New Roman" w:hAnsi="Times New Roman" w:cs="Times New Roman"/>
                      <w:sz w:val="24"/>
                      <w:szCs w:val="24"/>
                    </w:rPr>
                    <w:t xml:space="preserve"> importului de haine noi care sunt mai scumpe și respectiv, baza de calcul a taxelor este mai mare.</w:t>
                  </w:r>
                </w:p>
                <w:p w:rsidR="009C07D5" w:rsidRPr="00A26AE6" w:rsidRDefault="009C07D5" w:rsidP="00933690">
                  <w:pPr>
                    <w:rPr>
                      <w:rFonts w:ascii="Times New Roman" w:hAnsi="Times New Roman" w:cs="Times New Roman"/>
                      <w:sz w:val="24"/>
                      <w:szCs w:val="24"/>
                    </w:rPr>
                  </w:pPr>
                </w:p>
                <w:p w:rsidR="009C07D5" w:rsidRPr="00A26AE6" w:rsidRDefault="009C07D5" w:rsidP="00933690">
                  <w:pPr>
                    <w:rPr>
                      <w:rFonts w:ascii="Times New Roman" w:hAnsi="Times New Roman" w:cs="Times New Roman"/>
                      <w:sz w:val="24"/>
                      <w:szCs w:val="24"/>
                    </w:rPr>
                  </w:pPr>
                </w:p>
              </w:tc>
              <w:tc>
                <w:tcPr>
                  <w:tcW w:w="3821" w:type="dxa"/>
                </w:tcPr>
                <w:p w:rsidR="009C07D5" w:rsidRPr="00A26AE6" w:rsidRDefault="009C07D5" w:rsidP="00933690">
                  <w:pPr>
                    <w:spacing w:line="240" w:lineRule="auto"/>
                    <w:jc w:val="both"/>
                    <w:rPr>
                      <w:rFonts w:ascii="Times New Roman" w:hAnsi="Times New Roman" w:cs="Times New Roman"/>
                      <w:sz w:val="24"/>
                      <w:szCs w:val="24"/>
                    </w:rPr>
                  </w:pPr>
                  <w:r w:rsidRPr="00A26AE6">
                    <w:rPr>
                      <w:rFonts w:ascii="Times New Roman" w:hAnsi="Times New Roman" w:cs="Times New Roman"/>
                      <w:sz w:val="24"/>
                      <w:szCs w:val="24"/>
                    </w:rPr>
                    <w:t>Perpetuarea situației existente la moment manifestată prin importuri ilegale și comerț cu produse foste în folosință necertificate corespunzător.</w:t>
                  </w:r>
                </w:p>
                <w:p w:rsidR="009C07D5" w:rsidRPr="00A26AE6" w:rsidRDefault="009C07D5" w:rsidP="00933690">
                  <w:pPr>
                    <w:pStyle w:val="ListParagraph"/>
                    <w:spacing w:after="0" w:line="240" w:lineRule="auto"/>
                    <w:ind w:left="0"/>
                    <w:jc w:val="both"/>
                    <w:rPr>
                      <w:rFonts w:ascii="Times New Roman" w:hAnsi="Times New Roman" w:cs="Times New Roman"/>
                      <w:b/>
                      <w:sz w:val="24"/>
                      <w:szCs w:val="24"/>
                      <w:lang w:val="ro-RO"/>
                    </w:rPr>
                  </w:pPr>
                  <w:r w:rsidRPr="00A26AE6">
                    <w:rPr>
                      <w:rFonts w:ascii="Times New Roman" w:hAnsi="Times New Roman" w:cs="Times New Roman"/>
                      <w:b/>
                      <w:sz w:val="24"/>
                      <w:szCs w:val="24"/>
                      <w:lang w:val="ro-RO"/>
                    </w:rPr>
                    <w:t xml:space="preserve">Prejudicierea bugetului național or, </w:t>
                  </w:r>
                  <w:r w:rsidRPr="00A26AE6">
                    <w:rPr>
                      <w:rFonts w:ascii="Times New Roman" w:hAnsi="Times New Roman" w:cs="Times New Roman"/>
                      <w:sz w:val="24"/>
                      <w:szCs w:val="24"/>
                      <w:lang w:val="ro-RO"/>
                    </w:rPr>
                    <w:t>în piețele din Republica Moldova sunt prezente mărfurile de uz personal folosite interzise de a fi importate și comercializate conform HG  nr. 427/2001. Astfel, această marfă este introdusă în mod clandestin în RM, fapt ce prejudiciază veniturile la bugetul național.</w:t>
                  </w:r>
                </w:p>
              </w:tc>
            </w:tr>
            <w:tr w:rsidR="009C07D5" w:rsidRPr="00A26AE6" w:rsidTr="00933690">
              <w:tc>
                <w:tcPr>
                  <w:tcW w:w="2094" w:type="dxa"/>
                </w:tcPr>
                <w:p w:rsidR="009C07D5" w:rsidRPr="00A26AE6" w:rsidRDefault="009C07D5" w:rsidP="00933690">
                  <w:pPr>
                    <w:rPr>
                      <w:rFonts w:ascii="Times New Roman" w:hAnsi="Times New Roman" w:cs="Times New Roman"/>
                      <w:b/>
                      <w:sz w:val="24"/>
                      <w:szCs w:val="24"/>
                      <w:lang w:val="ro-RO"/>
                    </w:rPr>
                  </w:pPr>
                  <w:r w:rsidRPr="00A26AE6">
                    <w:rPr>
                      <w:rFonts w:ascii="Times New Roman" w:hAnsi="Times New Roman" w:cs="Times New Roman"/>
                      <w:b/>
                      <w:sz w:val="24"/>
                      <w:szCs w:val="24"/>
                    </w:rPr>
                    <w:t xml:space="preserve">Opţiunea 2. Revizuirea şi modificarea </w:t>
                  </w:r>
                  <w:r w:rsidRPr="00A26AE6">
                    <w:rPr>
                      <w:rFonts w:ascii="Times New Roman" w:hAnsi="Times New Roman" w:cs="Times New Roman"/>
                      <w:b/>
                      <w:sz w:val="24"/>
                      <w:szCs w:val="24"/>
                    </w:rPr>
                    <w:lastRenderedPageBreak/>
                    <w:t>cadrului normativ actual în vederea extinderii/suplinirii listei mărfurilor de uz personal folosite ce cad sub interdicția de import şi comercializare.</w:t>
                  </w:r>
                </w:p>
              </w:tc>
              <w:tc>
                <w:tcPr>
                  <w:tcW w:w="3656" w:type="dxa"/>
                </w:tcPr>
                <w:p w:rsidR="009C07D5" w:rsidRPr="00A26AE6" w:rsidRDefault="009C07D5" w:rsidP="00933690">
                  <w:pPr>
                    <w:spacing w:line="240" w:lineRule="auto"/>
                    <w:jc w:val="both"/>
                    <w:rPr>
                      <w:rFonts w:ascii="Times New Roman" w:hAnsi="Times New Roman" w:cs="Times New Roman"/>
                      <w:b/>
                      <w:sz w:val="24"/>
                      <w:szCs w:val="24"/>
                      <w:lang w:val="ro-RO"/>
                    </w:rPr>
                  </w:pPr>
                  <w:r w:rsidRPr="00A26AE6">
                    <w:rPr>
                      <w:rFonts w:ascii="Times New Roman" w:hAnsi="Times New Roman" w:cs="Times New Roman"/>
                      <w:i/>
                      <w:sz w:val="24"/>
                      <w:szCs w:val="24"/>
                      <w:lang w:val="ro-RO"/>
                    </w:rPr>
                    <w:lastRenderedPageBreak/>
                    <w:t>Raționamente economice</w:t>
                  </w:r>
                  <w:r w:rsidRPr="00A26AE6">
                    <w:rPr>
                      <w:rFonts w:ascii="Times New Roman" w:hAnsi="Times New Roman" w:cs="Times New Roman"/>
                      <w:sz w:val="24"/>
                      <w:szCs w:val="24"/>
                      <w:lang w:val="ro-RO"/>
                    </w:rPr>
                    <w:t>.</w:t>
                  </w:r>
                  <w:r w:rsidRPr="00A26AE6">
                    <w:rPr>
                      <w:rFonts w:ascii="Times New Roman" w:hAnsi="Times New Roman" w:cs="Times New Roman"/>
                      <w:b/>
                      <w:sz w:val="24"/>
                      <w:szCs w:val="24"/>
                      <w:lang w:val="ro-RO"/>
                    </w:rPr>
                    <w:t xml:space="preserve"> </w:t>
                  </w:r>
                  <w:r w:rsidRPr="00A26AE6">
                    <w:rPr>
                      <w:rFonts w:ascii="Times New Roman" w:hAnsi="Times New Roman" w:cs="Times New Roman"/>
                      <w:sz w:val="24"/>
                      <w:szCs w:val="24"/>
                      <w:lang w:val="ro-RO"/>
                    </w:rPr>
                    <w:t xml:space="preserve">Excluderea interdicțiilor la importul și comercializare </w:t>
                  </w:r>
                  <w:r w:rsidRPr="00A26AE6">
                    <w:rPr>
                      <w:rFonts w:ascii="Times New Roman" w:hAnsi="Times New Roman" w:cs="Times New Roman"/>
                      <w:sz w:val="24"/>
                      <w:szCs w:val="24"/>
                      <w:lang w:val="ro-RO"/>
                    </w:rPr>
                    <w:lastRenderedPageBreak/>
                    <w:t>mărfurilor de uz personal folosite va permite suplinirea bugetului național, urmare a plății drepturilor de import de către antreprenori, care vor importa aceste mărfuri. De asemenea, se va dezvolta mediul de afaceri, lucru ce va permite crearea locurilor de muncă noi și plata contribuțiilor la bugetul de stat.</w:t>
                  </w:r>
                </w:p>
                <w:p w:rsidR="009C07D5" w:rsidRPr="00A26AE6" w:rsidRDefault="009C07D5" w:rsidP="00933690">
                  <w:pPr>
                    <w:spacing w:line="240" w:lineRule="auto"/>
                    <w:jc w:val="both"/>
                    <w:rPr>
                      <w:rFonts w:ascii="Times New Roman" w:hAnsi="Times New Roman" w:cs="Times New Roman"/>
                      <w:sz w:val="24"/>
                      <w:szCs w:val="24"/>
                      <w:lang w:val="ro-RO"/>
                    </w:rPr>
                  </w:pPr>
                  <w:r w:rsidRPr="00A26AE6">
                    <w:rPr>
                      <w:rFonts w:ascii="Times New Roman" w:hAnsi="Times New Roman" w:cs="Times New Roman"/>
                      <w:i/>
                      <w:sz w:val="24"/>
                      <w:szCs w:val="24"/>
                      <w:lang w:val="ro-RO"/>
                    </w:rPr>
                    <w:t>Raționamente sociale</w:t>
                  </w:r>
                  <w:r w:rsidRPr="00A26AE6">
                    <w:rPr>
                      <w:rFonts w:ascii="Times New Roman" w:hAnsi="Times New Roman" w:cs="Times New Roman"/>
                      <w:sz w:val="24"/>
                      <w:szCs w:val="24"/>
                      <w:lang w:val="ro-RO"/>
                    </w:rPr>
                    <w:t>. Cu toate că cetățenii Uniunii Europene au o capacitate financiară sporită, în statele membre este permis importul  și comercializarea mărfurilor de uz personal folosite, iar în Republica Moldova, unde salariu mediu este de câteva ori mai mic, importul și comercializarea mărfurilor de uz personal folosite este interzis. Prin urmare, considerăm că în actualele condiții economice, statul este obligat să întreprindă toate măsurile pentru a asigura cetățenii cu produse de o calitate înaltă la un preț redus.</w:t>
                  </w:r>
                </w:p>
                <w:p w:rsidR="009C07D5" w:rsidRPr="00A26AE6" w:rsidRDefault="009C07D5" w:rsidP="00933690">
                  <w:pPr>
                    <w:pStyle w:val="ListParagraph"/>
                    <w:spacing w:after="0" w:line="240" w:lineRule="auto"/>
                    <w:ind w:left="24"/>
                    <w:jc w:val="both"/>
                    <w:rPr>
                      <w:rFonts w:ascii="Times New Roman" w:hAnsi="Times New Roman" w:cs="Times New Roman"/>
                      <w:sz w:val="24"/>
                      <w:szCs w:val="24"/>
                      <w:lang w:val="ro-RO"/>
                    </w:rPr>
                  </w:pPr>
                  <w:r w:rsidRPr="00A26AE6">
                    <w:rPr>
                      <w:rFonts w:ascii="Times New Roman" w:hAnsi="Times New Roman" w:cs="Times New Roman"/>
                      <w:i/>
                      <w:sz w:val="24"/>
                      <w:szCs w:val="24"/>
                      <w:lang w:val="ro-RO"/>
                    </w:rPr>
                    <w:t>Drepturile consumatorilor.</w:t>
                  </w:r>
                  <w:r w:rsidRPr="00A26AE6">
                    <w:rPr>
                      <w:rFonts w:ascii="Times New Roman" w:hAnsi="Times New Roman" w:cs="Times New Roman"/>
                      <w:sz w:val="24"/>
                      <w:szCs w:val="24"/>
                      <w:lang w:val="ro-RO"/>
                    </w:rPr>
                    <w:t xml:space="preserve"> Interdicțiile menționate încalcă drepturile cetățenilor RM, care în calitate de consumatori nu au acces la mărfuri de uz personal folosite, ce sunt într-o stare bună, de o calitate superioară și la un preț redus. Respectiv, cetățenilor le sunt propuse doar mărfuri de uz personal noi, care sunt la un preț înalt, astfel, fiind lipsiți de posibilitatea de a alege dintre marfa folosită și cea nouă, având ca criteriu raportul dintre preț și calitate.</w:t>
                  </w:r>
                </w:p>
                <w:p w:rsidR="009C07D5" w:rsidRPr="00A26AE6" w:rsidRDefault="009C07D5" w:rsidP="00933690">
                  <w:pPr>
                    <w:spacing w:line="240" w:lineRule="auto"/>
                    <w:ind w:left="24" w:hanging="90"/>
                    <w:jc w:val="both"/>
                    <w:rPr>
                      <w:rFonts w:ascii="Times New Roman" w:hAnsi="Times New Roman" w:cs="Times New Roman"/>
                      <w:sz w:val="24"/>
                      <w:szCs w:val="24"/>
                      <w:lang w:val="ro-RO"/>
                    </w:rPr>
                  </w:pPr>
                </w:p>
                <w:p w:rsidR="009C07D5" w:rsidRPr="00A26AE6" w:rsidRDefault="009C07D5" w:rsidP="00933690">
                  <w:pPr>
                    <w:pStyle w:val="ListParagraph"/>
                    <w:spacing w:after="0" w:line="240" w:lineRule="auto"/>
                    <w:ind w:left="0"/>
                    <w:jc w:val="both"/>
                    <w:rPr>
                      <w:rFonts w:ascii="Times New Roman" w:hAnsi="Times New Roman" w:cs="Times New Roman"/>
                      <w:sz w:val="24"/>
                      <w:szCs w:val="24"/>
                    </w:rPr>
                  </w:pPr>
                  <w:r w:rsidRPr="00A26AE6">
                    <w:rPr>
                      <w:rFonts w:ascii="Times New Roman" w:hAnsi="Times New Roman" w:cs="Times New Roman"/>
                      <w:sz w:val="24"/>
                      <w:szCs w:val="24"/>
                      <w:lang w:val="ro-RO"/>
                    </w:rPr>
                    <w:lastRenderedPageBreak/>
                    <w:t>Facilitarea  supravegherii și monitorizării comerțului cu produse respective prin propunerea de a le comercializa doar în cadrul pieţelor şi magazinelor specializate în corespundere cu principiile concurenţei loiale, de protejare a pieţei, sănătăţii, securităţii şi intereselor economice ale consumatorilor, precum şi a mediului ambiant.</w:t>
                  </w:r>
                </w:p>
                <w:p w:rsidR="009C07D5" w:rsidRPr="00A26AE6" w:rsidRDefault="009C07D5" w:rsidP="00933690">
                  <w:pPr>
                    <w:spacing w:line="240" w:lineRule="auto"/>
                    <w:jc w:val="both"/>
                    <w:rPr>
                      <w:rFonts w:ascii="Times New Roman" w:hAnsi="Times New Roman" w:cs="Times New Roman"/>
                      <w:sz w:val="24"/>
                      <w:szCs w:val="24"/>
                    </w:rPr>
                  </w:pPr>
                </w:p>
              </w:tc>
              <w:tc>
                <w:tcPr>
                  <w:tcW w:w="3821" w:type="dxa"/>
                </w:tcPr>
                <w:p w:rsidR="009C07D5" w:rsidRPr="00A26AE6" w:rsidRDefault="009C07D5" w:rsidP="00933690">
                  <w:pPr>
                    <w:spacing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rPr>
                    <w:lastRenderedPageBreak/>
                    <w:t xml:space="preserve">Conform opiniei reprezentanților Serviciului Vamal, expusă în cadrul ședinței organizate la MEI </w:t>
                  </w:r>
                  <w:r w:rsidRPr="00A26AE6">
                    <w:rPr>
                      <w:rFonts w:ascii="Times New Roman" w:hAnsi="Times New Roman" w:cs="Times New Roman"/>
                      <w:sz w:val="24"/>
                      <w:szCs w:val="24"/>
                    </w:rPr>
                    <w:lastRenderedPageBreak/>
                    <w:t xml:space="preserve">pe data de 23.06.2017, </w:t>
                  </w:r>
                  <w:r w:rsidRPr="00A26AE6">
                    <w:rPr>
                      <w:rFonts w:ascii="Times New Roman" w:hAnsi="Times New Roman" w:cs="Times New Roman"/>
                      <w:sz w:val="24"/>
                      <w:szCs w:val="24"/>
                      <w:lang w:val="ro-RO"/>
                    </w:rPr>
                    <w:t xml:space="preserve">sub aspect economic, modificările respective vor duce la o scădere drastică </w:t>
                  </w:r>
                  <w:proofErr w:type="gramStart"/>
                  <w:r w:rsidRPr="00A26AE6">
                    <w:rPr>
                      <w:rFonts w:ascii="Times New Roman" w:hAnsi="Times New Roman" w:cs="Times New Roman"/>
                      <w:sz w:val="24"/>
                      <w:szCs w:val="24"/>
                      <w:lang w:val="ro-RO"/>
                    </w:rPr>
                    <w:t>a</w:t>
                  </w:r>
                  <w:proofErr w:type="gramEnd"/>
                  <w:r w:rsidRPr="00A26AE6">
                    <w:rPr>
                      <w:rFonts w:ascii="Times New Roman" w:hAnsi="Times New Roman" w:cs="Times New Roman"/>
                      <w:sz w:val="24"/>
                      <w:szCs w:val="24"/>
                      <w:lang w:val="ro-RO"/>
                    </w:rPr>
                    <w:t xml:space="preserve"> importurilor de mărfuri noi, astfel facilitîndu-i pe unii, îi dezavantajăm pe alții.</w:t>
                  </w:r>
                </w:p>
                <w:p w:rsidR="009C07D5" w:rsidRPr="00A26AE6" w:rsidRDefault="009C07D5" w:rsidP="00933690">
                  <w:pPr>
                    <w:spacing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Mărfurile uzate sunt importate deja cu originea țării de unde au fost colectate, deci nu trebuie să se respecte nici o regulă de origine și în cazul dat nu se achită taxele vamale doar TVA și procedurile vamale. Mărfurile uzate sunt mult mai ieftine decît mărfurile noi, astfel baza de calcul scade dramatic.</w:t>
                  </w:r>
                </w:p>
                <w:p w:rsidR="009C07D5" w:rsidRPr="00A26AE6" w:rsidRDefault="009C07D5" w:rsidP="00933690">
                  <w:pPr>
                    <w:spacing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Un cod (nomenclatura combinată a mărfurilor) separat pentru jucării uzate nu este. Toate jucăriile se plasează la codul 9503, în care nu este specificat dacă jucăriile sunt noi sau vechi.</w:t>
                  </w:r>
                </w:p>
                <w:p w:rsidR="009C07D5" w:rsidRPr="00A26AE6" w:rsidRDefault="009C07D5" w:rsidP="00933690">
                  <w:pPr>
                    <w:spacing w:line="240" w:lineRule="auto"/>
                    <w:jc w:val="both"/>
                    <w:rPr>
                      <w:rFonts w:ascii="Times New Roman" w:hAnsi="Times New Roman" w:cs="Times New Roman"/>
                      <w:sz w:val="24"/>
                      <w:szCs w:val="24"/>
                      <w:lang w:val="ro-RO"/>
                    </w:rPr>
                  </w:pPr>
                </w:p>
                <w:p w:rsidR="009C07D5" w:rsidRPr="00A26AE6" w:rsidRDefault="009C07D5" w:rsidP="00933690">
                  <w:pPr>
                    <w:spacing w:line="240" w:lineRule="auto"/>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Dacă se va permite importul încălțămintei uzate apar următoarele constrîngeri în administrarea vamală: determinarea gradului de uzură de către inspectorul, efectuarea expertizelor la fiecare pereche de încălțăminte separat.</w:t>
                  </w:r>
                </w:p>
                <w:p w:rsidR="009C07D5" w:rsidRPr="00A26AE6" w:rsidRDefault="009C07D5" w:rsidP="00933690">
                  <w:pPr>
                    <w:spacing w:line="240" w:lineRule="auto"/>
                    <w:jc w:val="both"/>
                    <w:rPr>
                      <w:rFonts w:ascii="Times New Roman" w:hAnsi="Times New Roman" w:cs="Times New Roman"/>
                      <w:sz w:val="24"/>
                      <w:szCs w:val="24"/>
                      <w:lang w:val="ro-RO"/>
                    </w:rPr>
                  </w:pPr>
                </w:p>
                <w:p w:rsidR="009C07D5" w:rsidRPr="00A26AE6" w:rsidRDefault="009C07D5" w:rsidP="00933690">
                  <w:pPr>
                    <w:spacing w:line="240" w:lineRule="auto"/>
                    <w:jc w:val="both"/>
                    <w:rPr>
                      <w:rFonts w:ascii="Times New Roman" w:hAnsi="Times New Roman" w:cs="Times New Roman"/>
                      <w:sz w:val="24"/>
                      <w:szCs w:val="24"/>
                    </w:rPr>
                  </w:pPr>
                </w:p>
              </w:tc>
            </w:tr>
          </w:tbl>
          <w:p w:rsidR="009C07D5" w:rsidRPr="00A26AE6" w:rsidRDefault="009C07D5" w:rsidP="00933690">
            <w:pPr>
              <w:rPr>
                <w:rFonts w:ascii="Times New Roman" w:hAnsi="Times New Roman" w:cs="Times New Roman"/>
                <w:bCs/>
                <w:sz w:val="24"/>
                <w:szCs w:val="24"/>
                <w:lang w:eastAsia="ja-JP"/>
              </w:rPr>
            </w:pPr>
          </w:p>
          <w:p w:rsidR="009C07D5" w:rsidRDefault="009C07D5" w:rsidP="00933690">
            <w:pPr>
              <w:spacing w:after="0" w:line="240" w:lineRule="auto"/>
              <w:jc w:val="both"/>
              <w:rPr>
                <w:rFonts w:ascii="Times New Roman" w:hAnsi="Times New Roman" w:cs="Times New Roman"/>
                <w:bCs/>
                <w:sz w:val="24"/>
                <w:szCs w:val="24"/>
                <w:lang w:eastAsia="ja-JP"/>
              </w:rPr>
            </w:pPr>
            <w:r w:rsidRPr="00A26AE6">
              <w:rPr>
                <w:rFonts w:ascii="Times New Roman" w:hAnsi="Times New Roman" w:cs="Times New Roman"/>
                <w:bCs/>
                <w:sz w:val="24"/>
                <w:szCs w:val="24"/>
                <w:lang w:eastAsia="ja-JP"/>
              </w:rPr>
              <w:t xml:space="preserve">Urmare a motivelor expuse, opțiunea privind </w:t>
            </w:r>
            <w:r w:rsidRPr="00A26AE6">
              <w:rPr>
                <w:rFonts w:ascii="Times New Roman" w:hAnsi="Times New Roman" w:cs="Times New Roman"/>
                <w:sz w:val="24"/>
                <w:szCs w:val="24"/>
              </w:rPr>
              <w:t>revizuirea şi modificarea cadrului normativ actual în vederea extinderii/suplinirii listei mărfurilor de uz personal folosite ce cad sub interdicția de import şi comercializare</w:t>
            </w:r>
            <w:r w:rsidRPr="00A26AE6">
              <w:rPr>
                <w:rFonts w:ascii="Times New Roman" w:hAnsi="Times New Roman" w:cs="Times New Roman"/>
                <w:bCs/>
                <w:sz w:val="24"/>
                <w:szCs w:val="24"/>
                <w:lang w:eastAsia="ja-JP"/>
              </w:rPr>
              <w:t xml:space="preserve">, se propune ca cea mai optimă soluţie la problemele identificate în procesul de analiză. </w:t>
            </w:r>
          </w:p>
          <w:p w:rsidR="009C07D5" w:rsidRPr="00A26AE6" w:rsidRDefault="009C07D5" w:rsidP="00933690">
            <w:pPr>
              <w:spacing w:after="0" w:line="240" w:lineRule="auto"/>
              <w:jc w:val="both"/>
              <w:rPr>
                <w:rFonts w:ascii="Times New Roman" w:hAnsi="Times New Roman" w:cs="Times New Roman"/>
                <w:bCs/>
                <w:sz w:val="24"/>
                <w:szCs w:val="24"/>
                <w:lang w:val="ro-RO" w:eastAsia="ja-JP"/>
              </w:rPr>
            </w:pPr>
          </w:p>
        </w:tc>
      </w:tr>
      <w:tr w:rsidR="009C07D5" w:rsidRPr="00A26AE6" w:rsidTr="00933690">
        <w:trPr>
          <w:trHeight w:val="170"/>
        </w:trPr>
        <w:tc>
          <w:tcPr>
            <w:tcW w:w="9351" w:type="dxa"/>
            <w:gridSpan w:val="2"/>
          </w:tcPr>
          <w:p w:rsidR="009C07D5" w:rsidRPr="00A26AE6" w:rsidRDefault="009C07D5" w:rsidP="00933690">
            <w:pPr>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lastRenderedPageBreak/>
              <w:t>6. Implementarea și monitorizarea (se completează pentru analiza complexă)</w:t>
            </w:r>
          </w:p>
        </w:tc>
      </w:tr>
      <w:tr w:rsidR="009C07D5" w:rsidRPr="00A26AE6" w:rsidTr="00933690">
        <w:trPr>
          <w:trHeight w:val="107"/>
        </w:trPr>
        <w:tc>
          <w:tcPr>
            <w:tcW w:w="9351" w:type="dxa"/>
            <w:gridSpan w:val="2"/>
          </w:tcPr>
          <w:p w:rsidR="009C07D5" w:rsidRPr="00D71D40" w:rsidRDefault="009C07D5" w:rsidP="00933690">
            <w:pPr>
              <w:tabs>
                <w:tab w:val="right" w:pos="9072"/>
              </w:tabs>
              <w:rPr>
                <w:rFonts w:ascii="Times New Roman" w:hAnsi="Times New Roman" w:cs="Times New Roman"/>
                <w:bCs/>
                <w:sz w:val="24"/>
                <w:szCs w:val="24"/>
                <w:lang w:val="ro-RO" w:eastAsia="ja-JP"/>
              </w:rPr>
            </w:pPr>
            <w:r w:rsidRPr="00D71D40">
              <w:rPr>
                <w:rFonts w:ascii="Times New Roman" w:hAnsi="Times New Roman" w:cs="Times New Roman"/>
                <w:bCs/>
                <w:sz w:val="24"/>
                <w:szCs w:val="24"/>
                <w:lang w:val="ro-RO" w:eastAsia="ja-JP"/>
              </w:rPr>
              <w:t>Nu este relevantă pentru această analiză.</w:t>
            </w:r>
            <w:r w:rsidRPr="00D71D40">
              <w:rPr>
                <w:rFonts w:ascii="Times New Roman" w:hAnsi="Times New Roman" w:cs="Times New Roman"/>
                <w:bCs/>
                <w:sz w:val="24"/>
                <w:szCs w:val="24"/>
                <w:lang w:val="ro-RO" w:eastAsia="ja-JP"/>
              </w:rPr>
              <w:tab/>
            </w:r>
          </w:p>
          <w:p w:rsidR="009C07D5" w:rsidRPr="00D71D40" w:rsidRDefault="009C07D5" w:rsidP="00933690">
            <w:pPr>
              <w:spacing w:after="0" w:line="240" w:lineRule="auto"/>
              <w:jc w:val="both"/>
              <w:rPr>
                <w:rFonts w:ascii="Times New Roman" w:hAnsi="Times New Roman" w:cs="Times New Roman"/>
                <w:bCs/>
                <w:sz w:val="24"/>
                <w:szCs w:val="24"/>
                <w:lang w:eastAsia="ja-JP"/>
              </w:rPr>
            </w:pPr>
            <w:r w:rsidRPr="00D71D40">
              <w:rPr>
                <w:rFonts w:ascii="Times New Roman" w:hAnsi="Times New Roman" w:cs="Times New Roman"/>
                <w:bCs/>
                <w:sz w:val="24"/>
                <w:szCs w:val="24"/>
                <w:lang w:val="ro-RO" w:eastAsia="ja-JP"/>
              </w:rPr>
              <w:t>Totodată, prin pct.3 din proiect se propune ca Agenția Naț</w:t>
            </w:r>
            <w:r>
              <w:rPr>
                <w:rFonts w:ascii="Times New Roman" w:hAnsi="Times New Roman" w:cs="Times New Roman"/>
                <w:bCs/>
                <w:sz w:val="24"/>
                <w:szCs w:val="24"/>
                <w:lang w:val="ro-RO" w:eastAsia="ja-JP"/>
              </w:rPr>
              <w:t>ională pentru Sănătate Publică</w:t>
            </w:r>
            <w:r w:rsidRPr="00D71D40">
              <w:rPr>
                <w:rFonts w:ascii="Times New Roman" w:hAnsi="Times New Roman" w:cs="Times New Roman"/>
                <w:bCs/>
                <w:sz w:val="24"/>
                <w:szCs w:val="24"/>
                <w:lang w:val="ro-RO" w:eastAsia="ja-JP"/>
              </w:rPr>
              <w:t xml:space="preserve"> </w:t>
            </w:r>
            <w:r>
              <w:rPr>
                <w:rFonts w:ascii="Times New Roman" w:hAnsi="Times New Roman" w:cs="Times New Roman"/>
                <w:bCs/>
                <w:sz w:val="24"/>
                <w:szCs w:val="24"/>
                <w:lang w:val="ro-RO" w:eastAsia="ja-JP"/>
              </w:rPr>
              <w:t>s</w:t>
            </w:r>
            <w:r w:rsidRPr="00D71D40">
              <w:rPr>
                <w:rFonts w:ascii="Times New Roman" w:eastAsia="Times New Roman" w:hAnsi="Times New Roman" w:cs="Times New Roman"/>
                <w:bCs/>
                <w:color w:val="000000" w:themeColor="text1"/>
                <w:sz w:val="26"/>
                <w:szCs w:val="26"/>
                <w:lang w:eastAsia="ru-RU"/>
              </w:rPr>
              <w:t xml:space="preserve">a </w:t>
            </w:r>
            <w:r>
              <w:rPr>
                <w:rFonts w:ascii="Times New Roman" w:eastAsia="Times New Roman" w:hAnsi="Times New Roman" w:cs="Times New Roman"/>
                <w:bCs/>
                <w:sz w:val="26"/>
                <w:szCs w:val="26"/>
                <w:lang w:eastAsia="ru-RU"/>
              </w:rPr>
              <w:t>dispună</w:t>
            </w:r>
            <w:r w:rsidRPr="00D71D40">
              <w:rPr>
                <w:rFonts w:ascii="Times New Roman" w:eastAsia="Times New Roman" w:hAnsi="Times New Roman" w:cs="Times New Roman"/>
                <w:bCs/>
                <w:sz w:val="26"/>
                <w:szCs w:val="26"/>
                <w:lang w:eastAsia="ru-RU"/>
              </w:rPr>
              <w:t xml:space="preserve"> fără întârziere, aplicând principiul precauţiei, măsurile necesare de sănătate publică în cazul apariţiei unei boli, izbucniri sau a unui element de risc pentru sănătatea publică,</w:t>
            </w:r>
            <w:r w:rsidRPr="00D71D40">
              <w:rPr>
                <w:rFonts w:ascii="Times New Roman" w:hAnsi="Times New Roman" w:cs="Times New Roman"/>
                <w:sz w:val="26"/>
                <w:szCs w:val="26"/>
              </w:rPr>
              <w:t xml:space="preserve"> </w:t>
            </w:r>
            <w:r w:rsidRPr="00D71D40">
              <w:rPr>
                <w:rFonts w:ascii="Times New Roman" w:eastAsia="Times New Roman" w:hAnsi="Times New Roman" w:cs="Times New Roman"/>
                <w:bCs/>
                <w:sz w:val="26"/>
                <w:szCs w:val="26"/>
                <w:lang w:eastAsia="ru-RU"/>
              </w:rPr>
              <w:t>ca urmare a utilizării mărfurilor de uz personal folosite (second hand).</w:t>
            </w:r>
          </w:p>
        </w:tc>
      </w:tr>
      <w:tr w:rsidR="009C07D5" w:rsidRPr="00A26AE6" w:rsidTr="00933690">
        <w:trPr>
          <w:trHeight w:val="178"/>
        </w:trPr>
        <w:tc>
          <w:tcPr>
            <w:tcW w:w="9351" w:type="dxa"/>
            <w:gridSpan w:val="2"/>
          </w:tcPr>
          <w:p w:rsidR="009C07D5" w:rsidRPr="00A26AE6" w:rsidRDefault="009C07D5" w:rsidP="00933690">
            <w:pPr>
              <w:rPr>
                <w:rFonts w:ascii="Times New Roman" w:hAnsi="Times New Roman" w:cs="Times New Roman"/>
                <w:b/>
                <w:bCs/>
                <w:sz w:val="24"/>
                <w:szCs w:val="24"/>
                <w:lang w:val="ro-RO" w:eastAsia="ja-JP"/>
              </w:rPr>
            </w:pPr>
            <w:r w:rsidRPr="00A26AE6">
              <w:rPr>
                <w:rFonts w:ascii="Times New Roman" w:hAnsi="Times New Roman" w:cs="Times New Roman"/>
                <w:b/>
                <w:bCs/>
                <w:sz w:val="24"/>
                <w:szCs w:val="24"/>
                <w:lang w:val="ro-RO" w:eastAsia="ja-JP"/>
              </w:rPr>
              <w:t>7. Consultarea</w:t>
            </w:r>
          </w:p>
        </w:tc>
      </w:tr>
      <w:tr w:rsidR="009C07D5" w:rsidRPr="00A26AE6" w:rsidTr="00933690">
        <w:trPr>
          <w:trHeight w:val="107"/>
        </w:trPr>
        <w:tc>
          <w:tcPr>
            <w:tcW w:w="9351" w:type="dxa"/>
            <w:gridSpan w:val="2"/>
          </w:tcPr>
          <w:p w:rsidR="009C07D5" w:rsidRPr="00A26AE6" w:rsidRDefault="009C07D5" w:rsidP="00933690">
            <w:pPr>
              <w:pStyle w:val="NoSpacing"/>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De menționat, că un grup de importatori ai produselor respective s-au adresat cu un demers către Prim - ministru în vederea permiterii importului de încălțăminte vizată și a unor categorii de jucării destinate copiilor peste 3 ani. Ca rezultat au fost organizate cîteva ședințe de lucru pe platforma Consiliului Economic privind abordarea subiectului dat, în cadrul cărora majoritatea participanților au susținut inițiativa importatorilor.</w:t>
            </w:r>
          </w:p>
          <w:p w:rsidR="009C07D5" w:rsidRPr="00A26AE6" w:rsidRDefault="009C07D5" w:rsidP="00933690">
            <w:pPr>
              <w:pStyle w:val="NoSpacing"/>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Consecutiv, în adresa Ministerului Economiei și Infrastructurii a fost remisă indicația Guvernului de a examina suplimentar solicitarea mediului de afaceri cu înaintarea după caz a proiectului de amendamente la Hotărîrea Guvernului în cauză.  În cadrul ședinței de lucru convocată la minister cu participarea reprezentanților de la instituțiile interesate (Serviciul Vamal, Serviciul Fiscal de Stat, Ministerul Sănătății, Muncii și Protecției Sociale, Agenția Protecția Consumatorilor, etc.) s-au constatat unele probleme de administrare vamală și fiscală în cazul extinderii produselor second hand pasibile de fi introduse în țară și comercializate pe piața internă de consum. Urmare abordărilor s-a convenit asupra examinării repetate a subiectului dat de către instituțiile de resort cu expunerea în scris a viziunii oficiale și arg</w:t>
            </w:r>
            <w:r>
              <w:rPr>
                <w:rFonts w:ascii="Times New Roman" w:hAnsi="Times New Roman" w:cs="Times New Roman"/>
                <w:sz w:val="24"/>
                <w:szCs w:val="24"/>
                <w:lang w:val="ro-RO"/>
              </w:rPr>
              <w:t>umentate a fiecărei instituții.</w:t>
            </w:r>
          </w:p>
          <w:p w:rsidR="009C07D5" w:rsidRPr="00A26AE6" w:rsidRDefault="009C07D5" w:rsidP="00933690">
            <w:pPr>
              <w:pStyle w:val="NoSpacing"/>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lastRenderedPageBreak/>
              <w:t xml:space="preserve">Astfel, Ministerul Sănătății, Muncii și Protecției Sociale remarcă despre îmbunătățirea condițiilor de realizare a produselor second hand pe piața internă (autorizarea sanitară a importului pe loturi de marfă în baza certificatelor de prelucrare chimică a produselor vizate, lipsa de maladii infecțioase prevăzute de Regulamentul sanitar, autorizarea sanitară a depozitelor și locurilor de vînzare, instruirea comercianților în materie de igienă). Plus la aceasta, s-au redus cazurile de afecțiuni prin nozologii caracteristice acestor grupe de produse (micoze, stări alergice, afecțiuni a tractului locomotor). Reieșind din cele expuse, Ministerul Sănătății, Muncii și Protecției Sociale prin Serviciul de Supraveghere de Stat a Sănătății Publice  </w:t>
            </w:r>
            <w:r w:rsidRPr="00A26AE6">
              <w:rPr>
                <w:rFonts w:ascii="Times New Roman" w:hAnsi="Times New Roman" w:cs="Times New Roman"/>
                <w:sz w:val="24"/>
                <w:szCs w:val="24"/>
                <w:u w:val="single"/>
                <w:lang w:val="ro-RO"/>
              </w:rPr>
              <w:t>susține</w:t>
            </w:r>
            <w:r w:rsidRPr="00A26AE6">
              <w:rPr>
                <w:rFonts w:ascii="Times New Roman" w:hAnsi="Times New Roman" w:cs="Times New Roman"/>
                <w:sz w:val="24"/>
                <w:szCs w:val="24"/>
                <w:lang w:val="ro-RO"/>
              </w:rPr>
              <w:t xml:space="preserve"> inițiativa privind permiterea importului de încălțăminte uzată cu asumarea responsabilității de monitorizare permanentă a circulației/consumului mărfurilor second hand, în special a încălțămintei. Totodată, își menține  poziția, că lenjeria de corp și anumite jucării destinate copiilor pînă la 3 ani prezintă factor de ri</w:t>
            </w:r>
            <w:r>
              <w:rPr>
                <w:rFonts w:ascii="Times New Roman" w:hAnsi="Times New Roman" w:cs="Times New Roman"/>
                <w:sz w:val="24"/>
                <w:szCs w:val="24"/>
                <w:lang w:val="ro-RO"/>
              </w:rPr>
              <w:t>sc pentru transmiterea bolilor.</w:t>
            </w:r>
          </w:p>
          <w:p w:rsidR="009C07D5" w:rsidRPr="00A26AE6" w:rsidRDefault="009C07D5" w:rsidP="00933690">
            <w:pPr>
              <w:pStyle w:val="NoSpacing"/>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Cu opinie pozitivă a reacționat și Primăria mun. Chișinău (Direcția generală comerț, alimentație publică și prestări servicii), menționând că, potrivit prevederilor Legii nr. 231/2010 cu privire la comerțul interior aceste mărfuri trebuie să se vîndă în piețe și magazine specializate, care ar  facilita supravegherea produselor respective. În acest context, s-a evocat activitatea pieței Second Hand amplasată pe str. Tăbăcăria Veche, 25.</w:t>
            </w:r>
          </w:p>
          <w:p w:rsidR="009C07D5" w:rsidRPr="00A26AE6" w:rsidRDefault="009C07D5" w:rsidP="00933690">
            <w:pPr>
              <w:pStyle w:val="NoSpacing"/>
              <w:jc w:val="both"/>
              <w:rPr>
                <w:rFonts w:ascii="Times New Roman" w:hAnsi="Times New Roman" w:cs="Times New Roman"/>
                <w:i/>
                <w:sz w:val="24"/>
                <w:szCs w:val="24"/>
                <w:lang w:val="ro-RO"/>
              </w:rPr>
            </w:pPr>
            <w:r w:rsidRPr="00A26AE6">
              <w:rPr>
                <w:rFonts w:ascii="Times New Roman" w:hAnsi="Times New Roman" w:cs="Times New Roman"/>
                <w:sz w:val="24"/>
                <w:szCs w:val="24"/>
                <w:lang w:val="ro-RO"/>
              </w:rPr>
              <w:t xml:space="preserve">Serviciul Vamal relatează, că sub aspect de administrare este complicat de stabilit gradul de uzură a produselor, care ar fi necesar de cunoscut pentru a nu admite importul unor mărfuri fără valoare. Totodată, mărfurile declarate la poziția tarifară 6309 (îmbrăcăminte și încălțăminte uzată) prezintă un risc sporit de declarare neautentică prin nedeclararea totală (cantitativ), clasificare eronată, introducerea mărfurilor prohibite sau introducerea mărfurilor noi sub acoperirea celor uzate. </w:t>
            </w:r>
          </w:p>
          <w:p w:rsidR="009C07D5" w:rsidRPr="00A26AE6" w:rsidRDefault="009C07D5" w:rsidP="00933690">
            <w:pPr>
              <w:pStyle w:val="NoSpacing"/>
              <w:jc w:val="both"/>
              <w:rPr>
                <w:rFonts w:ascii="Times New Roman" w:hAnsi="Times New Roman" w:cs="Times New Roman"/>
                <w:sz w:val="24"/>
                <w:szCs w:val="24"/>
                <w:lang w:val="ro-RO"/>
              </w:rPr>
            </w:pPr>
            <w:r w:rsidRPr="00A26AE6">
              <w:rPr>
                <w:rFonts w:ascii="Times New Roman" w:hAnsi="Times New Roman" w:cs="Times New Roman"/>
                <w:sz w:val="24"/>
                <w:szCs w:val="24"/>
                <w:lang w:val="ro-RO"/>
              </w:rPr>
              <w:t>Ca consecință a generalizării opiniilor parvenite de la instituțiile de resort asupra extinderii importului de produse second hand și reieșind din:</w:t>
            </w:r>
          </w:p>
          <w:p w:rsidR="009C07D5" w:rsidRPr="00A26AE6" w:rsidRDefault="009C07D5" w:rsidP="009C07D5">
            <w:pPr>
              <w:pStyle w:val="NoSpacing"/>
              <w:numPr>
                <w:ilvl w:val="0"/>
                <w:numId w:val="1"/>
              </w:numPr>
              <w:spacing w:before="0"/>
              <w:jc w:val="both"/>
              <w:rPr>
                <w:rFonts w:ascii="Times New Roman" w:hAnsi="Times New Roman" w:cs="Times New Roman"/>
                <w:i/>
                <w:sz w:val="24"/>
                <w:szCs w:val="24"/>
                <w:lang w:val="ro-RO"/>
              </w:rPr>
            </w:pPr>
            <w:r w:rsidRPr="00A26AE6">
              <w:rPr>
                <w:rFonts w:ascii="Times New Roman" w:hAnsi="Times New Roman" w:cs="Times New Roman"/>
                <w:sz w:val="24"/>
                <w:szCs w:val="24"/>
                <w:lang w:val="ro-RO"/>
              </w:rPr>
              <w:t>practica statelor UE care denotă prezența pe piață a  încălțămintei uzate și a unor jucării în magazine specializate,</w:t>
            </w:r>
          </w:p>
          <w:p w:rsidR="009C07D5" w:rsidRPr="00A26AE6" w:rsidRDefault="009C07D5" w:rsidP="009C07D5">
            <w:pPr>
              <w:pStyle w:val="NoSpacing"/>
              <w:numPr>
                <w:ilvl w:val="0"/>
                <w:numId w:val="1"/>
              </w:numPr>
              <w:spacing w:before="0"/>
              <w:jc w:val="both"/>
              <w:rPr>
                <w:rFonts w:ascii="Times New Roman" w:hAnsi="Times New Roman" w:cs="Times New Roman"/>
                <w:i/>
                <w:sz w:val="24"/>
                <w:szCs w:val="24"/>
                <w:lang w:val="ro-RO"/>
              </w:rPr>
            </w:pPr>
            <w:r w:rsidRPr="00A26AE6">
              <w:rPr>
                <w:rFonts w:ascii="Times New Roman" w:hAnsi="Times New Roman" w:cs="Times New Roman"/>
                <w:sz w:val="24"/>
                <w:szCs w:val="24"/>
                <w:lang w:val="ro-RO"/>
              </w:rPr>
              <w:t>veniturile modeste ale majorității cetățenilor din țară,</w:t>
            </w:r>
          </w:p>
          <w:p w:rsidR="009C07D5" w:rsidRPr="00A26AE6" w:rsidRDefault="009C07D5" w:rsidP="009C07D5">
            <w:pPr>
              <w:pStyle w:val="NoSpacing"/>
              <w:numPr>
                <w:ilvl w:val="0"/>
                <w:numId w:val="1"/>
              </w:numPr>
              <w:spacing w:before="0"/>
              <w:jc w:val="both"/>
              <w:rPr>
                <w:rFonts w:ascii="Times New Roman" w:hAnsi="Times New Roman" w:cs="Times New Roman"/>
                <w:i/>
                <w:sz w:val="24"/>
                <w:szCs w:val="24"/>
                <w:lang w:val="ro-RO"/>
              </w:rPr>
            </w:pPr>
            <w:r w:rsidRPr="00A26AE6">
              <w:rPr>
                <w:rFonts w:ascii="Times New Roman" w:hAnsi="Times New Roman" w:cs="Times New Roman"/>
                <w:sz w:val="24"/>
                <w:szCs w:val="24"/>
                <w:lang w:val="ro-RO"/>
              </w:rPr>
              <w:t>necesitatea sporirii acumulărilor la buget și prin prisma indicației Guvernului,</w:t>
            </w:r>
          </w:p>
          <w:p w:rsidR="009C07D5" w:rsidRPr="00A26AE6" w:rsidRDefault="009C07D5" w:rsidP="00933690">
            <w:pPr>
              <w:jc w:val="both"/>
              <w:rPr>
                <w:rFonts w:ascii="Times New Roman" w:hAnsi="Times New Roman" w:cs="Times New Roman"/>
                <w:bCs/>
                <w:sz w:val="24"/>
                <w:szCs w:val="24"/>
                <w:lang w:val="ro-RO" w:eastAsia="ja-JP"/>
              </w:rPr>
            </w:pPr>
            <w:r w:rsidRPr="00A26AE6">
              <w:rPr>
                <w:rFonts w:ascii="Times New Roman" w:hAnsi="Times New Roman" w:cs="Times New Roman"/>
                <w:bCs/>
                <w:sz w:val="24"/>
                <w:szCs w:val="24"/>
                <w:lang w:val="ro-RO" w:eastAsia="ja-JP"/>
              </w:rPr>
              <w:t xml:space="preserve">Ministerul Economiei și Infrastructurii propune </w:t>
            </w:r>
            <w:r w:rsidRPr="00A26AE6">
              <w:rPr>
                <w:rFonts w:ascii="Times New Roman" w:hAnsi="Times New Roman" w:cs="Times New Roman"/>
                <w:sz w:val="24"/>
                <w:szCs w:val="24"/>
              </w:rPr>
              <w:t>revizuirea prin modificare și completare a cadrului normativ ce reglementează importul și comercializarea produselor foste în folosință (second hand).</w:t>
            </w:r>
          </w:p>
        </w:tc>
      </w:tr>
    </w:tbl>
    <w:p w:rsidR="009C07D5" w:rsidRPr="00A26AE6" w:rsidRDefault="009C07D5" w:rsidP="009C07D5">
      <w:pPr>
        <w:ind w:firstLine="709"/>
        <w:rPr>
          <w:rFonts w:ascii="Times New Roman" w:eastAsia="MS Mincho" w:hAnsi="Times New Roman" w:cs="Times New Roman"/>
          <w:bCs/>
          <w:sz w:val="24"/>
          <w:szCs w:val="24"/>
          <w:lang w:val="ro-RO" w:eastAsia="ja-JP"/>
        </w:rPr>
      </w:pPr>
    </w:p>
    <w:p w:rsidR="009C07D5" w:rsidRPr="00A26AE6" w:rsidRDefault="009C07D5" w:rsidP="009C07D5">
      <w:pPr>
        <w:tabs>
          <w:tab w:val="left" w:pos="709"/>
        </w:tabs>
        <w:spacing w:after="0" w:line="240" w:lineRule="auto"/>
        <w:ind w:right="-142"/>
        <w:jc w:val="both"/>
        <w:rPr>
          <w:rFonts w:ascii="Times New Roman" w:eastAsia="Times New Roman" w:hAnsi="Times New Roman" w:cs="Times New Roman"/>
          <w:i/>
          <w:sz w:val="24"/>
          <w:szCs w:val="24"/>
          <w:lang w:eastAsia="ro-RO"/>
        </w:rPr>
      </w:pPr>
      <w:r w:rsidRPr="00A26AE6">
        <w:rPr>
          <w:rFonts w:ascii="Times New Roman" w:eastAsia="Calibri" w:hAnsi="Times New Roman" w:cs="Times New Roman"/>
          <w:sz w:val="24"/>
          <w:szCs w:val="24"/>
        </w:rPr>
        <w:t xml:space="preserve">       </w:t>
      </w:r>
    </w:p>
    <w:p w:rsidR="00303909" w:rsidRDefault="00303909"/>
    <w:sectPr w:rsidR="00303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B63652"/>
    <w:multiLevelType w:val="hybridMultilevel"/>
    <w:tmpl w:val="C85E4F0E"/>
    <w:lvl w:ilvl="0" w:tplc="44BA24C4">
      <w:numFmt w:val="bullet"/>
      <w:lvlText w:val="-"/>
      <w:lvlJc w:val="left"/>
      <w:pPr>
        <w:ind w:left="720" w:hanging="360"/>
      </w:pPr>
      <w:rPr>
        <w:rFonts w:ascii="Times New Roman" w:eastAsiaTheme="minorHAnsi"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D5"/>
    <w:rsid w:val="00303909"/>
    <w:rsid w:val="009C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DE335-192C-4F8E-A05C-D81A96FA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uiPriority w:val="34"/>
    <w:qFormat/>
    <w:rsid w:val="009C07D5"/>
    <w:pPr>
      <w:ind w:left="720"/>
      <w:contextualSpacing/>
    </w:pPr>
  </w:style>
  <w:style w:type="paragraph" w:styleId="NormalWeb">
    <w:name w:val="Normal (Web)"/>
    <w:basedOn w:val="Normal"/>
    <w:uiPriority w:val="99"/>
    <w:unhideWhenUsed/>
    <w:rsid w:val="009C07D5"/>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9C07D5"/>
    <w:pPr>
      <w:spacing w:after="0" w:line="240" w:lineRule="auto"/>
      <w:jc w:val="center"/>
    </w:pPr>
    <w:rPr>
      <w:rFonts w:ascii="Times New Roman" w:eastAsia="Times New Roman" w:hAnsi="Times New Roman" w:cs="Times New Roman"/>
      <w:b/>
      <w:bCs/>
      <w:sz w:val="24"/>
      <w:szCs w:val="24"/>
    </w:rPr>
  </w:style>
  <w:style w:type="paragraph" w:customStyle="1" w:styleId="cb">
    <w:name w:val="cb"/>
    <w:basedOn w:val="Normal"/>
    <w:rsid w:val="009C07D5"/>
    <w:pPr>
      <w:spacing w:after="0" w:line="240" w:lineRule="auto"/>
      <w:jc w:val="center"/>
    </w:pPr>
    <w:rPr>
      <w:rFonts w:ascii="Times New Roman" w:eastAsia="Times New Roman" w:hAnsi="Times New Roman" w:cs="Times New Roman"/>
      <w:b/>
      <w:bCs/>
      <w:sz w:val="24"/>
      <w:szCs w:val="24"/>
      <w:lang w:val="ru-RU" w:eastAsia="ru-RU"/>
    </w:rPr>
  </w:style>
  <w:style w:type="table" w:styleId="TableGrid">
    <w:name w:val="Table Grid"/>
    <w:basedOn w:val="TableNormal"/>
    <w:uiPriority w:val="59"/>
    <w:rsid w:val="009C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07D5"/>
    <w:pPr>
      <w:spacing w:before="100"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1</cp:revision>
  <dcterms:created xsi:type="dcterms:W3CDTF">2019-09-27T07:04:00Z</dcterms:created>
  <dcterms:modified xsi:type="dcterms:W3CDTF">2019-09-27T07:05:00Z</dcterms:modified>
</cp:coreProperties>
</file>