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5F" w:rsidRPr="00AF5B3E" w:rsidRDefault="004E135F" w:rsidP="004E135F">
      <w:pPr>
        <w:ind w:left="-425" w:right="175"/>
        <w:jc w:val="right"/>
        <w:rPr>
          <w:sz w:val="28"/>
          <w:szCs w:val="28"/>
        </w:rPr>
      </w:pPr>
      <w:r w:rsidRPr="00AF5B3E">
        <w:rPr>
          <w:sz w:val="28"/>
          <w:szCs w:val="28"/>
        </w:rPr>
        <w:t>Proiect</w:t>
      </w:r>
    </w:p>
    <w:p w:rsidR="004E135F" w:rsidRPr="00AF5B3E" w:rsidRDefault="004E135F" w:rsidP="004E135F">
      <w:pPr>
        <w:ind w:left="-425" w:right="175"/>
        <w:jc w:val="center"/>
        <w:rPr>
          <w:b/>
          <w:sz w:val="28"/>
          <w:szCs w:val="28"/>
        </w:rPr>
      </w:pPr>
    </w:p>
    <w:p w:rsidR="004E135F" w:rsidRPr="00AF5B3E" w:rsidRDefault="004E135F" w:rsidP="0048763B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F5B3E">
        <w:rPr>
          <w:rFonts w:ascii="Times New Roman" w:hAnsi="Times New Roman" w:cs="Times New Roman"/>
          <w:color w:val="auto"/>
          <w:sz w:val="28"/>
          <w:szCs w:val="28"/>
        </w:rPr>
        <w:t>GUVERNUL REPUBLICII MOLDOVA</w:t>
      </w:r>
    </w:p>
    <w:p w:rsidR="008F5D9F" w:rsidRPr="00AF5B3E" w:rsidRDefault="008F5D9F" w:rsidP="0048763B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</w:p>
    <w:p w:rsidR="004E135F" w:rsidRPr="00AF5B3E" w:rsidRDefault="004E135F" w:rsidP="008F5D9F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en-US"/>
        </w:rPr>
      </w:pPr>
      <w:r w:rsidRPr="00AF5B3E">
        <w:rPr>
          <w:rFonts w:ascii="Times New Roman" w:hAnsi="Times New Roman" w:cs="Times New Roman"/>
          <w:color w:val="auto"/>
        </w:rPr>
        <w:t>H O T Ă R Î R E  nr. ____</w:t>
      </w:r>
    </w:p>
    <w:p w:rsidR="008F5D9F" w:rsidRPr="00AF5B3E" w:rsidRDefault="008F5D9F" w:rsidP="0048763B">
      <w:pPr>
        <w:rPr>
          <w:sz w:val="28"/>
          <w:szCs w:val="28"/>
        </w:rPr>
      </w:pPr>
    </w:p>
    <w:p w:rsidR="004E135F" w:rsidRPr="00AF5B3E" w:rsidRDefault="004E135F" w:rsidP="008F5D9F">
      <w:pPr>
        <w:jc w:val="center"/>
        <w:rPr>
          <w:sz w:val="28"/>
          <w:szCs w:val="28"/>
        </w:rPr>
      </w:pPr>
      <w:r w:rsidRPr="00AF5B3E">
        <w:rPr>
          <w:sz w:val="28"/>
          <w:szCs w:val="28"/>
        </w:rPr>
        <w:t>din ___________ 2019</w:t>
      </w:r>
    </w:p>
    <w:p w:rsidR="008F5D9F" w:rsidRPr="00AF5B3E" w:rsidRDefault="008F5D9F" w:rsidP="008F5D9F">
      <w:pPr>
        <w:jc w:val="center"/>
        <w:rPr>
          <w:sz w:val="28"/>
          <w:szCs w:val="28"/>
        </w:rPr>
      </w:pPr>
    </w:p>
    <w:p w:rsidR="004E135F" w:rsidRPr="00AF5B3E" w:rsidRDefault="008F5D9F" w:rsidP="008F5D9F">
      <w:pPr>
        <w:jc w:val="center"/>
        <w:rPr>
          <w:sz w:val="28"/>
          <w:szCs w:val="28"/>
        </w:rPr>
      </w:pPr>
      <w:r w:rsidRPr="00AF5B3E">
        <w:rPr>
          <w:sz w:val="28"/>
          <w:szCs w:val="28"/>
        </w:rPr>
        <w:t>mun. Chişinău</w:t>
      </w:r>
    </w:p>
    <w:p w:rsidR="004E135F" w:rsidRPr="00AF5B3E" w:rsidRDefault="004E135F" w:rsidP="004E135F">
      <w:pPr>
        <w:ind w:left="-425" w:right="175"/>
        <w:jc w:val="center"/>
        <w:rPr>
          <w:b/>
          <w:sz w:val="28"/>
          <w:szCs w:val="28"/>
        </w:rPr>
      </w:pPr>
    </w:p>
    <w:p w:rsidR="008F5D9F" w:rsidRPr="00AF5B3E" w:rsidRDefault="004E135F" w:rsidP="004E135F">
      <w:pPr>
        <w:pStyle w:val="tt"/>
        <w:ind w:left="-284" w:firstLine="284"/>
        <w:rPr>
          <w:sz w:val="28"/>
          <w:szCs w:val="28"/>
        </w:rPr>
      </w:pPr>
      <w:r w:rsidRPr="00AF5B3E">
        <w:rPr>
          <w:sz w:val="28"/>
          <w:szCs w:val="28"/>
        </w:rPr>
        <w:t xml:space="preserve">Cu privire la eliberarea  unor bunuri </w:t>
      </w:r>
    </w:p>
    <w:p w:rsidR="004E135F" w:rsidRPr="00AF5B3E" w:rsidRDefault="004E135F" w:rsidP="004E135F">
      <w:pPr>
        <w:pStyle w:val="tt"/>
        <w:ind w:left="-284" w:firstLine="284"/>
        <w:rPr>
          <w:sz w:val="28"/>
          <w:szCs w:val="28"/>
        </w:rPr>
      </w:pPr>
      <w:r w:rsidRPr="00AF5B3E">
        <w:rPr>
          <w:sz w:val="28"/>
          <w:szCs w:val="28"/>
        </w:rPr>
        <w:t xml:space="preserve">din rezervele materiale </w:t>
      </w:r>
      <w:r w:rsidR="00805B10" w:rsidRPr="00AF5B3E">
        <w:rPr>
          <w:sz w:val="28"/>
          <w:szCs w:val="28"/>
        </w:rPr>
        <w:t>d</w:t>
      </w:r>
      <w:r w:rsidRPr="00AF5B3E">
        <w:rPr>
          <w:sz w:val="28"/>
          <w:szCs w:val="28"/>
        </w:rPr>
        <w:t>e stat</w:t>
      </w:r>
    </w:p>
    <w:p w:rsidR="004E135F" w:rsidRDefault="004E135F" w:rsidP="004E135F">
      <w:pPr>
        <w:ind w:left="-425" w:right="175"/>
        <w:jc w:val="center"/>
        <w:rPr>
          <w:b/>
          <w:sz w:val="28"/>
          <w:szCs w:val="28"/>
          <w:u w:val="single"/>
        </w:rPr>
      </w:pPr>
    </w:p>
    <w:p w:rsidR="001072BC" w:rsidRPr="00AF5B3E" w:rsidRDefault="001072BC" w:rsidP="004E135F">
      <w:pPr>
        <w:ind w:left="-425" w:right="175"/>
        <w:jc w:val="center"/>
        <w:rPr>
          <w:b/>
          <w:sz w:val="28"/>
          <w:szCs w:val="28"/>
          <w:u w:val="single"/>
        </w:rPr>
      </w:pPr>
    </w:p>
    <w:p w:rsidR="004E135F" w:rsidRPr="00CE5177" w:rsidRDefault="00CE5177" w:rsidP="00CE5177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E135F" w:rsidRPr="00CE5177">
        <w:rPr>
          <w:sz w:val="28"/>
          <w:szCs w:val="28"/>
        </w:rPr>
        <w:t xml:space="preserve">În temeiul art. </w:t>
      </w:r>
      <w:r w:rsidR="00AB640A" w:rsidRPr="00CE5177">
        <w:rPr>
          <w:sz w:val="28"/>
          <w:szCs w:val="28"/>
        </w:rPr>
        <w:t>8</w:t>
      </w:r>
      <w:r w:rsidR="004E135F" w:rsidRPr="00CE5177">
        <w:rPr>
          <w:sz w:val="28"/>
          <w:szCs w:val="28"/>
        </w:rPr>
        <w:t xml:space="preserve"> din Legea nr. 589</w:t>
      </w:r>
      <w:r w:rsidR="00AB640A" w:rsidRPr="00CE5177">
        <w:rPr>
          <w:sz w:val="28"/>
          <w:szCs w:val="28"/>
        </w:rPr>
        <w:t>/</w:t>
      </w:r>
      <w:r w:rsidR="004E135F" w:rsidRPr="00CE5177">
        <w:rPr>
          <w:sz w:val="28"/>
          <w:szCs w:val="28"/>
        </w:rPr>
        <w:t>1995 privind rezervele materiale de stat şi de mobilizare (Monitorul Oficial al Republicii Moldova, 1996, nr.</w:t>
      </w:r>
      <w:r w:rsidR="0061353B" w:rsidRPr="00CE5177">
        <w:rPr>
          <w:b/>
          <w:sz w:val="28"/>
          <w:szCs w:val="28"/>
        </w:rPr>
        <w:t xml:space="preserve"> </w:t>
      </w:r>
      <w:r w:rsidR="004E135F" w:rsidRPr="00CE5177">
        <w:rPr>
          <w:sz w:val="28"/>
          <w:szCs w:val="28"/>
        </w:rPr>
        <w:t>11-12, art.</w:t>
      </w:r>
      <w:r w:rsidR="0061353B" w:rsidRPr="00CE5177">
        <w:rPr>
          <w:b/>
          <w:sz w:val="28"/>
          <w:szCs w:val="28"/>
        </w:rPr>
        <w:t xml:space="preserve"> </w:t>
      </w:r>
      <w:r w:rsidR="001072BC">
        <w:rPr>
          <w:sz w:val="28"/>
          <w:szCs w:val="28"/>
        </w:rPr>
        <w:t>114)</w:t>
      </w:r>
      <w:r w:rsidR="00DE0511">
        <w:rPr>
          <w:sz w:val="28"/>
          <w:szCs w:val="28"/>
        </w:rPr>
        <w:t>,</w:t>
      </w:r>
      <w:r w:rsidR="004E135F" w:rsidRPr="00CE5177">
        <w:rPr>
          <w:sz w:val="28"/>
          <w:szCs w:val="28"/>
        </w:rPr>
        <w:t xml:space="preserve"> </w:t>
      </w:r>
      <w:r w:rsidR="00DE0511" w:rsidRPr="00716BB6">
        <w:rPr>
          <w:sz w:val="28"/>
          <w:szCs w:val="28"/>
          <w:lang w:val="ro-MO"/>
        </w:rPr>
        <w:t>cu modificările ulterioare</w:t>
      </w:r>
      <w:r w:rsidR="00DE0511">
        <w:rPr>
          <w:sz w:val="28"/>
          <w:szCs w:val="28"/>
          <w:lang w:val="ro-MO"/>
        </w:rPr>
        <w:t>,</w:t>
      </w:r>
      <w:r w:rsidR="00DE0511" w:rsidRPr="00CE5177">
        <w:rPr>
          <w:color w:val="000000"/>
          <w:sz w:val="28"/>
          <w:szCs w:val="28"/>
        </w:rPr>
        <w:t xml:space="preserve"> </w:t>
      </w:r>
      <w:r w:rsidR="003658C3" w:rsidRPr="00CE5177">
        <w:rPr>
          <w:color w:val="000000"/>
          <w:sz w:val="28"/>
          <w:szCs w:val="28"/>
        </w:rPr>
        <w:t>Guvernul</w:t>
      </w:r>
      <w:r w:rsidR="003135EF" w:rsidRPr="00CE5177">
        <w:rPr>
          <w:b/>
          <w:color w:val="000000"/>
          <w:sz w:val="28"/>
          <w:szCs w:val="28"/>
        </w:rPr>
        <w:t xml:space="preserve"> </w:t>
      </w:r>
      <w:r w:rsidR="00AF5B3E" w:rsidRPr="00CE5177">
        <w:rPr>
          <w:b/>
          <w:color w:val="000000"/>
          <w:sz w:val="28"/>
          <w:szCs w:val="28"/>
        </w:rPr>
        <w:t>HOTĂRĂŞTE:</w:t>
      </w:r>
    </w:p>
    <w:p w:rsidR="00614073" w:rsidRPr="00AF5B3E" w:rsidRDefault="00AF5B3E" w:rsidP="007B5E55">
      <w:pPr>
        <w:jc w:val="both"/>
        <w:rPr>
          <w:sz w:val="28"/>
          <w:szCs w:val="28"/>
        </w:rPr>
      </w:pPr>
      <w:r w:rsidRPr="00AF5B3E">
        <w:rPr>
          <w:sz w:val="28"/>
          <w:szCs w:val="28"/>
        </w:rPr>
        <w:tab/>
      </w:r>
      <w:r w:rsidR="007B5E55" w:rsidRPr="003135EF">
        <w:rPr>
          <w:b/>
          <w:sz w:val="28"/>
          <w:szCs w:val="28"/>
        </w:rPr>
        <w:t>1.</w:t>
      </w:r>
      <w:r w:rsidR="007B5E55" w:rsidRPr="00AF5B3E">
        <w:rPr>
          <w:sz w:val="28"/>
          <w:szCs w:val="28"/>
        </w:rPr>
        <w:t xml:space="preserve"> </w:t>
      </w:r>
      <w:r w:rsidR="003658C3" w:rsidRPr="00AF5B3E">
        <w:rPr>
          <w:sz w:val="28"/>
          <w:szCs w:val="28"/>
        </w:rPr>
        <w:t>Agenţia Rezerve Materiale din subordinea</w:t>
      </w:r>
      <w:r w:rsidR="00AB640A" w:rsidRPr="00AF5B3E">
        <w:rPr>
          <w:sz w:val="28"/>
          <w:szCs w:val="28"/>
        </w:rPr>
        <w:t xml:space="preserve"> Ministerului Afacerilor Interne va elibera</w:t>
      </w:r>
      <w:r w:rsidR="007A376E" w:rsidRPr="00AF5B3E">
        <w:rPr>
          <w:sz w:val="28"/>
          <w:szCs w:val="28"/>
        </w:rPr>
        <w:t xml:space="preserve"> din rezervele materiale de stat</w:t>
      </w:r>
      <w:r w:rsidR="00AB640A" w:rsidRPr="00AF5B3E">
        <w:rPr>
          <w:sz w:val="28"/>
          <w:szCs w:val="28"/>
        </w:rPr>
        <w:t>, cu titlu de deblocare</w:t>
      </w:r>
      <w:r w:rsidR="007A376E" w:rsidRPr="00AF5B3E">
        <w:rPr>
          <w:sz w:val="28"/>
          <w:szCs w:val="28"/>
        </w:rPr>
        <w:t xml:space="preserve">, </w:t>
      </w:r>
      <w:r w:rsidR="007B26A0" w:rsidRPr="00AF5B3E">
        <w:rPr>
          <w:sz w:val="28"/>
          <w:szCs w:val="28"/>
        </w:rPr>
        <w:t xml:space="preserve">Consiliului raional Ocniţa </w:t>
      </w:r>
      <w:r w:rsidR="00DD3129">
        <w:rPr>
          <w:sz w:val="28"/>
          <w:szCs w:val="28"/>
        </w:rPr>
        <w:t xml:space="preserve">bunuri materiale pentru reparaţia acoperişului </w:t>
      </w:r>
      <w:r w:rsidR="007B26A0">
        <w:rPr>
          <w:sz w:val="28"/>
          <w:szCs w:val="28"/>
        </w:rPr>
        <w:t xml:space="preserve">deteriorat al </w:t>
      </w:r>
      <w:r w:rsidR="00614073" w:rsidRPr="00AF5B3E">
        <w:rPr>
          <w:sz w:val="28"/>
          <w:szCs w:val="28"/>
        </w:rPr>
        <w:t>blocului de locuit</w:t>
      </w:r>
      <w:r w:rsidR="00E417CA" w:rsidRPr="00AF5B3E">
        <w:rPr>
          <w:sz w:val="28"/>
          <w:szCs w:val="28"/>
        </w:rPr>
        <w:t xml:space="preserve"> din </w:t>
      </w:r>
      <w:r w:rsidR="00DD3129">
        <w:rPr>
          <w:sz w:val="28"/>
          <w:szCs w:val="28"/>
        </w:rPr>
        <w:t xml:space="preserve">str. Prieteniei, 136 din </w:t>
      </w:r>
      <w:r w:rsidR="00E417CA" w:rsidRPr="00AF5B3E">
        <w:rPr>
          <w:sz w:val="28"/>
          <w:szCs w:val="28"/>
        </w:rPr>
        <w:t>oraşul Otaci</w:t>
      </w:r>
      <w:r w:rsidR="007B26A0">
        <w:rPr>
          <w:sz w:val="28"/>
          <w:szCs w:val="28"/>
        </w:rPr>
        <w:t>,</w:t>
      </w:r>
      <w:r w:rsidR="00E417CA" w:rsidRPr="00AF5B3E">
        <w:rPr>
          <w:sz w:val="28"/>
          <w:szCs w:val="28"/>
        </w:rPr>
        <w:t xml:space="preserve"> </w:t>
      </w:r>
      <w:r w:rsidR="00A41216">
        <w:rPr>
          <w:sz w:val="28"/>
          <w:szCs w:val="28"/>
        </w:rPr>
        <w:t xml:space="preserve">în sumă de </w:t>
      </w:r>
      <w:r w:rsidR="002E7E0C" w:rsidRPr="00C90192">
        <w:rPr>
          <w:sz w:val="28"/>
          <w:szCs w:val="28"/>
        </w:rPr>
        <w:t>68</w:t>
      </w:r>
      <w:r w:rsidR="00A41216" w:rsidRPr="00C90192">
        <w:rPr>
          <w:sz w:val="28"/>
          <w:szCs w:val="28"/>
        </w:rPr>
        <w:t>,</w:t>
      </w:r>
      <w:r w:rsidR="002E7E0C" w:rsidRPr="00C90192">
        <w:rPr>
          <w:sz w:val="28"/>
          <w:szCs w:val="28"/>
        </w:rPr>
        <w:t>075 mii</w:t>
      </w:r>
      <w:r w:rsidR="00A41216">
        <w:rPr>
          <w:sz w:val="28"/>
          <w:szCs w:val="28"/>
        </w:rPr>
        <w:t xml:space="preserve"> lei </w:t>
      </w:r>
      <w:r w:rsidR="00E417CA" w:rsidRPr="00AF5B3E">
        <w:rPr>
          <w:sz w:val="28"/>
          <w:szCs w:val="28"/>
        </w:rPr>
        <w:t xml:space="preserve">şi Consiliului raional </w:t>
      </w:r>
      <w:r w:rsidR="00DD3129">
        <w:rPr>
          <w:sz w:val="28"/>
          <w:szCs w:val="28"/>
        </w:rPr>
        <w:t xml:space="preserve">Glodeni, </w:t>
      </w:r>
      <w:r w:rsidR="00A41216">
        <w:rPr>
          <w:sz w:val="28"/>
          <w:szCs w:val="28"/>
        </w:rPr>
        <w:t xml:space="preserve">în sumă de </w:t>
      </w:r>
      <w:r w:rsidR="002E7E0C" w:rsidRPr="00C90192">
        <w:rPr>
          <w:sz w:val="28"/>
          <w:szCs w:val="28"/>
        </w:rPr>
        <w:t>473</w:t>
      </w:r>
      <w:r w:rsidR="00A41216" w:rsidRPr="00C90192">
        <w:rPr>
          <w:sz w:val="28"/>
          <w:szCs w:val="28"/>
        </w:rPr>
        <w:t>,</w:t>
      </w:r>
      <w:r w:rsidR="002E7E0C" w:rsidRPr="00C90192">
        <w:rPr>
          <w:sz w:val="28"/>
          <w:szCs w:val="28"/>
        </w:rPr>
        <w:t>275</w:t>
      </w:r>
      <w:r w:rsidR="00A41216">
        <w:rPr>
          <w:sz w:val="28"/>
          <w:szCs w:val="28"/>
        </w:rPr>
        <w:t xml:space="preserve"> </w:t>
      </w:r>
      <w:r w:rsidR="002E7E0C">
        <w:rPr>
          <w:sz w:val="28"/>
          <w:szCs w:val="28"/>
        </w:rPr>
        <w:t xml:space="preserve">mii </w:t>
      </w:r>
      <w:r w:rsidR="00A41216">
        <w:rPr>
          <w:sz w:val="28"/>
          <w:szCs w:val="28"/>
        </w:rPr>
        <w:t>lei</w:t>
      </w:r>
      <w:r w:rsidR="007B5E55" w:rsidRPr="00AF5B3E">
        <w:rPr>
          <w:sz w:val="28"/>
          <w:szCs w:val="28"/>
        </w:rPr>
        <w:t>,</w:t>
      </w:r>
      <w:r w:rsidR="008C21FD" w:rsidRPr="00AF5B3E">
        <w:rPr>
          <w:sz w:val="28"/>
          <w:szCs w:val="28"/>
        </w:rPr>
        <w:t xml:space="preserve"> </w:t>
      </w:r>
      <w:r w:rsidR="00DD3129">
        <w:rPr>
          <w:sz w:val="28"/>
          <w:szCs w:val="28"/>
        </w:rPr>
        <w:t>pentru lichidarea consecinţelor calamităţilor naturale din 02.07.2019</w:t>
      </w:r>
      <w:r w:rsidR="008C21FD" w:rsidRPr="00AF5B3E">
        <w:rPr>
          <w:sz w:val="28"/>
          <w:szCs w:val="28"/>
        </w:rPr>
        <w:t>,</w:t>
      </w:r>
      <w:r w:rsidR="00E105CA" w:rsidRPr="00AF5B3E">
        <w:rPr>
          <w:sz w:val="28"/>
          <w:szCs w:val="28"/>
        </w:rPr>
        <w:t xml:space="preserve"> în sumă </w:t>
      </w:r>
      <w:r w:rsidR="005D3BE1">
        <w:rPr>
          <w:sz w:val="28"/>
          <w:szCs w:val="28"/>
        </w:rPr>
        <w:t xml:space="preserve">totală </w:t>
      </w:r>
      <w:r w:rsidR="00E105CA" w:rsidRPr="00AF5B3E">
        <w:rPr>
          <w:sz w:val="28"/>
          <w:szCs w:val="28"/>
        </w:rPr>
        <w:t xml:space="preserve">de </w:t>
      </w:r>
      <w:r w:rsidR="00DD3129">
        <w:rPr>
          <w:sz w:val="28"/>
          <w:szCs w:val="28"/>
        </w:rPr>
        <w:t xml:space="preserve">541,350 mii </w:t>
      </w:r>
      <w:r w:rsidR="00E105CA" w:rsidRPr="00AF5B3E">
        <w:rPr>
          <w:sz w:val="28"/>
          <w:szCs w:val="28"/>
        </w:rPr>
        <w:t xml:space="preserve">lei, </w:t>
      </w:r>
      <w:r w:rsidR="008C21FD" w:rsidRPr="00AF5B3E">
        <w:rPr>
          <w:sz w:val="28"/>
          <w:szCs w:val="28"/>
        </w:rPr>
        <w:t>conform anexei.</w:t>
      </w:r>
    </w:p>
    <w:p w:rsidR="00BF515F" w:rsidRPr="00AF5B3E" w:rsidRDefault="00BF515F" w:rsidP="003135EF">
      <w:pPr>
        <w:ind w:firstLine="708"/>
        <w:jc w:val="both"/>
        <w:rPr>
          <w:sz w:val="28"/>
          <w:szCs w:val="28"/>
        </w:rPr>
      </w:pPr>
      <w:r w:rsidRPr="003135EF">
        <w:rPr>
          <w:b/>
          <w:sz w:val="28"/>
          <w:szCs w:val="28"/>
        </w:rPr>
        <w:t>2.</w:t>
      </w:r>
      <w:r w:rsidR="00F1341B" w:rsidRPr="00AF5B3E">
        <w:rPr>
          <w:sz w:val="28"/>
          <w:szCs w:val="28"/>
        </w:rPr>
        <w:t xml:space="preserve"> Ministerul Finanţelor va ac</w:t>
      </w:r>
      <w:r w:rsidR="00BA2883" w:rsidRPr="00AF5B3E">
        <w:rPr>
          <w:sz w:val="28"/>
          <w:szCs w:val="28"/>
        </w:rPr>
        <w:t>hita Agenţiei Rezerve Materiale</w:t>
      </w:r>
      <w:r w:rsidR="00F1341B" w:rsidRPr="00AF5B3E">
        <w:rPr>
          <w:sz w:val="28"/>
          <w:szCs w:val="28"/>
        </w:rPr>
        <w:t xml:space="preserve"> din fondul de intervenţie al Guvernului,</w:t>
      </w:r>
      <w:r w:rsidR="00B5134B" w:rsidRPr="00AF5B3E">
        <w:rPr>
          <w:sz w:val="28"/>
          <w:szCs w:val="28"/>
        </w:rPr>
        <w:t xml:space="preserve"> costul bunurilor eliberate din rezervele materiale de stat</w:t>
      </w:r>
      <w:r w:rsidR="003135EF">
        <w:rPr>
          <w:sz w:val="28"/>
          <w:szCs w:val="28"/>
        </w:rPr>
        <w:t>, cu titlu de deblocare,</w:t>
      </w:r>
      <w:r w:rsidR="00B5134B" w:rsidRPr="00AF5B3E">
        <w:rPr>
          <w:sz w:val="28"/>
          <w:szCs w:val="28"/>
        </w:rPr>
        <w:t xml:space="preserve"> în sumă de </w:t>
      </w:r>
      <w:r w:rsidR="00651603">
        <w:rPr>
          <w:sz w:val="28"/>
          <w:szCs w:val="28"/>
        </w:rPr>
        <w:t>541</w:t>
      </w:r>
      <w:r w:rsidR="003135EF" w:rsidRPr="00F073C7">
        <w:rPr>
          <w:sz w:val="28"/>
          <w:szCs w:val="28"/>
        </w:rPr>
        <w:t>,</w:t>
      </w:r>
      <w:r w:rsidR="00651603">
        <w:rPr>
          <w:sz w:val="28"/>
          <w:szCs w:val="28"/>
        </w:rPr>
        <w:t>350</w:t>
      </w:r>
      <w:r w:rsidR="0048763B" w:rsidRPr="00AF5B3E">
        <w:rPr>
          <w:sz w:val="28"/>
          <w:szCs w:val="28"/>
        </w:rPr>
        <w:t xml:space="preserve"> </w:t>
      </w:r>
      <w:r w:rsidR="00534A52">
        <w:rPr>
          <w:sz w:val="28"/>
          <w:szCs w:val="28"/>
        </w:rPr>
        <w:t xml:space="preserve">mii </w:t>
      </w:r>
      <w:r w:rsidR="0048763B" w:rsidRPr="00AF5B3E">
        <w:rPr>
          <w:sz w:val="28"/>
          <w:szCs w:val="28"/>
        </w:rPr>
        <w:t>lei</w:t>
      </w:r>
      <w:r w:rsidR="00236A67" w:rsidRPr="00AF5B3E">
        <w:rPr>
          <w:sz w:val="28"/>
          <w:szCs w:val="28"/>
        </w:rPr>
        <w:t xml:space="preserve">, mijloace care </w:t>
      </w:r>
      <w:r w:rsidR="003135EF">
        <w:rPr>
          <w:sz w:val="28"/>
          <w:szCs w:val="28"/>
        </w:rPr>
        <w:t>urmează a fi utilizate pentru</w:t>
      </w:r>
      <w:r w:rsidR="00236A67" w:rsidRPr="00AF5B3E">
        <w:rPr>
          <w:sz w:val="28"/>
          <w:szCs w:val="28"/>
        </w:rPr>
        <w:t xml:space="preserve"> completarea rezervelor materiale de stat</w:t>
      </w:r>
      <w:r w:rsidR="0048763B" w:rsidRPr="00AF5B3E">
        <w:rPr>
          <w:sz w:val="28"/>
          <w:szCs w:val="28"/>
        </w:rPr>
        <w:t>.</w:t>
      </w:r>
    </w:p>
    <w:p w:rsidR="00B5134B" w:rsidRPr="00AF5B3E" w:rsidRDefault="00B5134B" w:rsidP="003135EF">
      <w:pPr>
        <w:ind w:firstLine="708"/>
        <w:jc w:val="both"/>
        <w:rPr>
          <w:sz w:val="28"/>
          <w:szCs w:val="28"/>
        </w:rPr>
      </w:pPr>
      <w:r w:rsidRPr="003135EF">
        <w:rPr>
          <w:b/>
          <w:sz w:val="28"/>
          <w:szCs w:val="28"/>
        </w:rPr>
        <w:t>3.</w:t>
      </w:r>
      <w:r w:rsidRPr="00AF5B3E">
        <w:rPr>
          <w:sz w:val="28"/>
          <w:szCs w:val="28"/>
        </w:rPr>
        <w:t xml:space="preserve"> </w:t>
      </w:r>
      <w:r w:rsidR="00D806B4">
        <w:rPr>
          <w:sz w:val="28"/>
          <w:szCs w:val="28"/>
        </w:rPr>
        <w:t>C</w:t>
      </w:r>
      <w:r w:rsidR="00884E6E" w:rsidRPr="00AF5B3E">
        <w:rPr>
          <w:sz w:val="28"/>
          <w:szCs w:val="28"/>
        </w:rPr>
        <w:t>onsili</w:t>
      </w:r>
      <w:r w:rsidR="00D806B4">
        <w:rPr>
          <w:sz w:val="28"/>
          <w:szCs w:val="28"/>
        </w:rPr>
        <w:t>ul</w:t>
      </w:r>
      <w:r w:rsidR="00884E6E" w:rsidRPr="00AF5B3E">
        <w:rPr>
          <w:sz w:val="28"/>
          <w:szCs w:val="28"/>
        </w:rPr>
        <w:t xml:space="preserve"> raional Ocniţa</w:t>
      </w:r>
      <w:r w:rsidR="008C21FD" w:rsidRPr="00AF5B3E">
        <w:rPr>
          <w:sz w:val="28"/>
          <w:szCs w:val="28"/>
        </w:rPr>
        <w:t xml:space="preserve"> şi </w:t>
      </w:r>
      <w:r w:rsidR="00D806B4">
        <w:rPr>
          <w:sz w:val="28"/>
          <w:szCs w:val="28"/>
        </w:rPr>
        <w:t xml:space="preserve">Consiliul raional </w:t>
      </w:r>
      <w:r w:rsidR="00651603">
        <w:rPr>
          <w:sz w:val="28"/>
          <w:szCs w:val="28"/>
        </w:rPr>
        <w:t>Glodeni</w:t>
      </w:r>
      <w:r w:rsidR="008C21FD" w:rsidRPr="00AF5B3E">
        <w:rPr>
          <w:sz w:val="28"/>
          <w:szCs w:val="28"/>
        </w:rPr>
        <w:t>,</w:t>
      </w:r>
      <w:r w:rsidRPr="00AF5B3E">
        <w:rPr>
          <w:sz w:val="28"/>
          <w:szCs w:val="28"/>
        </w:rPr>
        <w:t xml:space="preserve"> </w:t>
      </w:r>
      <w:r w:rsidR="00D806B4">
        <w:rPr>
          <w:sz w:val="28"/>
          <w:szCs w:val="28"/>
        </w:rPr>
        <w:t>vor</w:t>
      </w:r>
      <w:r w:rsidRPr="00AF5B3E">
        <w:rPr>
          <w:sz w:val="28"/>
          <w:szCs w:val="28"/>
        </w:rPr>
        <w:t xml:space="preserve"> întreprind</w:t>
      </w:r>
      <w:r w:rsidR="00D806B4">
        <w:rPr>
          <w:sz w:val="28"/>
          <w:szCs w:val="28"/>
        </w:rPr>
        <w:t>e</w:t>
      </w:r>
      <w:r w:rsidRPr="00AF5B3E">
        <w:rPr>
          <w:sz w:val="28"/>
          <w:szCs w:val="28"/>
        </w:rPr>
        <w:t xml:space="preserve"> măsuri </w:t>
      </w:r>
      <w:r w:rsidR="00DD6EDD">
        <w:rPr>
          <w:sz w:val="28"/>
          <w:szCs w:val="28"/>
        </w:rPr>
        <w:t>privind</w:t>
      </w:r>
      <w:r w:rsidRPr="00AF5B3E">
        <w:rPr>
          <w:sz w:val="28"/>
          <w:szCs w:val="28"/>
        </w:rPr>
        <w:t xml:space="preserve"> recepţionarea, </w:t>
      </w:r>
      <w:r w:rsidR="00884E6E" w:rsidRPr="00AF5B3E">
        <w:rPr>
          <w:sz w:val="28"/>
          <w:szCs w:val="28"/>
        </w:rPr>
        <w:t>distribuirea</w:t>
      </w:r>
      <w:r w:rsidRPr="00AF5B3E">
        <w:rPr>
          <w:sz w:val="28"/>
          <w:szCs w:val="28"/>
        </w:rPr>
        <w:t xml:space="preserve"> şi monitorizarea utilizării</w:t>
      </w:r>
      <w:r w:rsidR="00CD1A88" w:rsidRPr="00AF5B3E">
        <w:rPr>
          <w:sz w:val="28"/>
          <w:szCs w:val="28"/>
        </w:rPr>
        <w:t xml:space="preserve"> conform destinaţiei a bunurilor eliberate din rezervele materiale de stat.</w:t>
      </w:r>
    </w:p>
    <w:p w:rsidR="006978F6" w:rsidRPr="00AF5B3E" w:rsidRDefault="006978F6" w:rsidP="006978F6">
      <w:pPr>
        <w:ind w:firstLine="708"/>
        <w:jc w:val="both"/>
        <w:rPr>
          <w:sz w:val="28"/>
          <w:szCs w:val="28"/>
        </w:rPr>
      </w:pPr>
      <w:r w:rsidRPr="003135EF">
        <w:rPr>
          <w:b/>
          <w:sz w:val="28"/>
          <w:szCs w:val="28"/>
        </w:rPr>
        <w:t>4.</w:t>
      </w:r>
      <w:r w:rsidR="00544471" w:rsidRPr="00AF5B3E">
        <w:rPr>
          <w:sz w:val="28"/>
          <w:szCs w:val="28"/>
        </w:rPr>
        <w:t xml:space="preserve"> </w:t>
      </w:r>
      <w:r w:rsidRPr="00AF5B3E">
        <w:rPr>
          <w:sz w:val="28"/>
          <w:szCs w:val="28"/>
        </w:rPr>
        <w:t xml:space="preserve">Inspectoratul </w:t>
      </w:r>
      <w:r w:rsidR="00544471" w:rsidRPr="00AF5B3E">
        <w:rPr>
          <w:sz w:val="28"/>
          <w:szCs w:val="28"/>
        </w:rPr>
        <w:t>G</w:t>
      </w:r>
      <w:r w:rsidRPr="00AF5B3E">
        <w:rPr>
          <w:sz w:val="28"/>
          <w:szCs w:val="28"/>
        </w:rPr>
        <w:t>eneral pentru Situaţii de Urgenţă al M</w:t>
      </w:r>
      <w:r w:rsidR="00BB5400">
        <w:rPr>
          <w:sz w:val="28"/>
          <w:szCs w:val="28"/>
        </w:rPr>
        <w:t>inisterului Afacerilor Interne</w:t>
      </w:r>
      <w:r w:rsidRPr="00AF5B3E">
        <w:rPr>
          <w:sz w:val="28"/>
          <w:szCs w:val="28"/>
        </w:rPr>
        <w:t xml:space="preserve"> va asigura transportarea </w:t>
      </w:r>
      <w:r w:rsidR="003135EF">
        <w:rPr>
          <w:sz w:val="28"/>
          <w:szCs w:val="28"/>
        </w:rPr>
        <w:t xml:space="preserve">către destinatari a </w:t>
      </w:r>
      <w:r w:rsidRPr="00AF5B3E">
        <w:rPr>
          <w:sz w:val="28"/>
          <w:szCs w:val="28"/>
        </w:rPr>
        <w:t>bunurilor, eliberate din rezervele</w:t>
      </w:r>
      <w:r w:rsidR="00544471" w:rsidRPr="00AF5B3E">
        <w:rPr>
          <w:sz w:val="28"/>
          <w:szCs w:val="28"/>
        </w:rPr>
        <w:t xml:space="preserve"> materiale</w:t>
      </w:r>
      <w:r w:rsidRPr="00AF5B3E">
        <w:rPr>
          <w:sz w:val="28"/>
          <w:szCs w:val="28"/>
        </w:rPr>
        <w:t xml:space="preserve"> de stat.</w:t>
      </w:r>
    </w:p>
    <w:p w:rsidR="00CD1A88" w:rsidRPr="00AF5B3E" w:rsidRDefault="006978F6" w:rsidP="003135EF">
      <w:pPr>
        <w:ind w:firstLine="708"/>
        <w:jc w:val="both"/>
        <w:rPr>
          <w:sz w:val="28"/>
          <w:szCs w:val="28"/>
        </w:rPr>
      </w:pPr>
      <w:r w:rsidRPr="003135EF">
        <w:rPr>
          <w:b/>
          <w:sz w:val="28"/>
          <w:szCs w:val="28"/>
        </w:rPr>
        <w:t>5.</w:t>
      </w:r>
      <w:r w:rsidRPr="00AF5B3E">
        <w:rPr>
          <w:sz w:val="28"/>
          <w:szCs w:val="28"/>
        </w:rPr>
        <w:t xml:space="preserve"> </w:t>
      </w:r>
      <w:r w:rsidR="00CD1A88" w:rsidRPr="00AF5B3E">
        <w:rPr>
          <w:sz w:val="28"/>
          <w:szCs w:val="28"/>
        </w:rPr>
        <w:t>Controlul asupra executării prezentei hotăr</w:t>
      </w:r>
      <w:r w:rsidR="003135EF">
        <w:rPr>
          <w:sz w:val="28"/>
          <w:szCs w:val="28"/>
        </w:rPr>
        <w:t>â</w:t>
      </w:r>
      <w:r w:rsidR="00CD1A88" w:rsidRPr="00AF5B3E">
        <w:rPr>
          <w:sz w:val="28"/>
          <w:szCs w:val="28"/>
        </w:rPr>
        <w:t>ri se pune în sarcina Ministerului Afacerilor Interne.</w:t>
      </w:r>
    </w:p>
    <w:p w:rsidR="00EE44BD" w:rsidRDefault="00EE44BD">
      <w:pPr>
        <w:rPr>
          <w:sz w:val="28"/>
          <w:szCs w:val="28"/>
        </w:rPr>
      </w:pPr>
    </w:p>
    <w:p w:rsidR="002933D0" w:rsidRDefault="002933D0">
      <w:pPr>
        <w:rPr>
          <w:sz w:val="28"/>
          <w:szCs w:val="28"/>
        </w:rPr>
      </w:pPr>
    </w:p>
    <w:p w:rsidR="00651603" w:rsidRPr="00AF5B3E" w:rsidRDefault="00651603">
      <w:pPr>
        <w:rPr>
          <w:sz w:val="28"/>
          <w:szCs w:val="28"/>
        </w:rPr>
      </w:pPr>
    </w:p>
    <w:p w:rsidR="006C1675" w:rsidRPr="00AF5B3E" w:rsidRDefault="006C1675" w:rsidP="003135EF">
      <w:pPr>
        <w:ind w:firstLine="708"/>
        <w:rPr>
          <w:b/>
          <w:sz w:val="28"/>
          <w:szCs w:val="28"/>
        </w:rPr>
      </w:pPr>
      <w:r w:rsidRPr="00AF5B3E">
        <w:rPr>
          <w:b/>
          <w:sz w:val="28"/>
          <w:szCs w:val="28"/>
        </w:rPr>
        <w:t>Prim-ministru</w:t>
      </w:r>
      <w:r w:rsidR="003135EF">
        <w:rPr>
          <w:b/>
          <w:sz w:val="28"/>
          <w:szCs w:val="28"/>
        </w:rPr>
        <w:tab/>
      </w:r>
      <w:r w:rsidR="003135EF">
        <w:rPr>
          <w:b/>
          <w:sz w:val="28"/>
          <w:szCs w:val="28"/>
        </w:rPr>
        <w:tab/>
      </w:r>
      <w:r w:rsidR="003135EF">
        <w:rPr>
          <w:b/>
          <w:sz w:val="28"/>
          <w:szCs w:val="28"/>
        </w:rPr>
        <w:tab/>
      </w:r>
      <w:r w:rsidR="003135EF">
        <w:rPr>
          <w:b/>
          <w:sz w:val="28"/>
          <w:szCs w:val="28"/>
        </w:rPr>
        <w:tab/>
      </w:r>
      <w:r w:rsidR="003135EF">
        <w:rPr>
          <w:b/>
          <w:sz w:val="28"/>
          <w:szCs w:val="28"/>
        </w:rPr>
        <w:tab/>
      </w:r>
      <w:r w:rsidR="003135EF">
        <w:rPr>
          <w:b/>
          <w:sz w:val="28"/>
          <w:szCs w:val="28"/>
        </w:rPr>
        <w:tab/>
      </w:r>
      <w:r w:rsidR="003135EF">
        <w:rPr>
          <w:b/>
          <w:sz w:val="28"/>
          <w:szCs w:val="28"/>
        </w:rPr>
        <w:tab/>
      </w:r>
      <w:r w:rsidR="00884E6E" w:rsidRPr="00AF5B3E">
        <w:rPr>
          <w:b/>
          <w:sz w:val="28"/>
          <w:szCs w:val="28"/>
        </w:rPr>
        <w:t>Maia SANDU</w:t>
      </w:r>
    </w:p>
    <w:p w:rsidR="006C1675" w:rsidRPr="00AF5B3E" w:rsidRDefault="006C1675">
      <w:pPr>
        <w:rPr>
          <w:b/>
          <w:sz w:val="28"/>
          <w:szCs w:val="28"/>
        </w:rPr>
      </w:pPr>
    </w:p>
    <w:p w:rsidR="006C1675" w:rsidRPr="00AF5B3E" w:rsidRDefault="006C1675" w:rsidP="003135EF">
      <w:pPr>
        <w:ind w:firstLine="708"/>
        <w:rPr>
          <w:sz w:val="28"/>
          <w:szCs w:val="28"/>
        </w:rPr>
      </w:pPr>
      <w:r w:rsidRPr="00AF5B3E">
        <w:rPr>
          <w:sz w:val="28"/>
          <w:szCs w:val="28"/>
        </w:rPr>
        <w:t>Contrasemnează:</w:t>
      </w:r>
    </w:p>
    <w:p w:rsidR="003135EF" w:rsidRPr="003135EF" w:rsidRDefault="003135EF" w:rsidP="003135EF">
      <w:pPr>
        <w:ind w:firstLine="708"/>
        <w:rPr>
          <w:sz w:val="16"/>
          <w:szCs w:val="16"/>
        </w:rPr>
      </w:pPr>
    </w:p>
    <w:p w:rsidR="006C1675" w:rsidRPr="00AF5B3E" w:rsidRDefault="00651603" w:rsidP="003135EF">
      <w:pPr>
        <w:ind w:firstLine="708"/>
        <w:rPr>
          <w:sz w:val="28"/>
          <w:szCs w:val="28"/>
        </w:rPr>
      </w:pPr>
      <w:r>
        <w:rPr>
          <w:sz w:val="28"/>
          <w:szCs w:val="28"/>
        </w:rPr>
        <w:t>M</w:t>
      </w:r>
      <w:r w:rsidR="006C1675" w:rsidRPr="00AF5B3E">
        <w:rPr>
          <w:sz w:val="28"/>
          <w:szCs w:val="28"/>
        </w:rPr>
        <w:t>inistr</w:t>
      </w:r>
      <w:r w:rsidR="008D1B0B">
        <w:rPr>
          <w:sz w:val="28"/>
          <w:szCs w:val="28"/>
        </w:rPr>
        <w:t>u</w:t>
      </w:r>
      <w:r w:rsidR="00D02E7B" w:rsidRPr="00AF5B3E">
        <w:rPr>
          <w:sz w:val="28"/>
          <w:szCs w:val="28"/>
        </w:rPr>
        <w:t xml:space="preserve">l </w:t>
      </w:r>
      <w:r w:rsidR="008D1B0B">
        <w:rPr>
          <w:sz w:val="28"/>
          <w:szCs w:val="28"/>
        </w:rPr>
        <w:t>afacerilor i</w:t>
      </w:r>
      <w:r w:rsidR="006C1675" w:rsidRPr="00AF5B3E">
        <w:rPr>
          <w:sz w:val="28"/>
          <w:szCs w:val="28"/>
        </w:rPr>
        <w:t>nterne</w:t>
      </w:r>
      <w:r w:rsidR="003135EF">
        <w:rPr>
          <w:sz w:val="28"/>
          <w:szCs w:val="28"/>
        </w:rPr>
        <w:tab/>
      </w:r>
      <w:r w:rsidR="003135EF">
        <w:rPr>
          <w:sz w:val="28"/>
          <w:szCs w:val="28"/>
        </w:rPr>
        <w:tab/>
      </w:r>
      <w:r w:rsidR="003135EF">
        <w:rPr>
          <w:sz w:val="28"/>
          <w:szCs w:val="28"/>
        </w:rPr>
        <w:tab/>
      </w:r>
      <w:r w:rsidR="003135EF">
        <w:rPr>
          <w:sz w:val="28"/>
          <w:szCs w:val="28"/>
        </w:rPr>
        <w:tab/>
      </w:r>
      <w:r w:rsidR="003135EF">
        <w:rPr>
          <w:sz w:val="28"/>
          <w:szCs w:val="28"/>
        </w:rPr>
        <w:tab/>
      </w:r>
      <w:r w:rsidR="00D02E7B" w:rsidRPr="00AF5B3E">
        <w:rPr>
          <w:sz w:val="28"/>
          <w:szCs w:val="28"/>
        </w:rPr>
        <w:t>Andrei NĂSTASE</w:t>
      </w:r>
    </w:p>
    <w:p w:rsidR="00D02E7B" w:rsidRPr="00AF5B3E" w:rsidRDefault="00D02E7B" w:rsidP="00A77269"/>
    <w:p w:rsidR="006C1675" w:rsidRPr="00AF5B3E" w:rsidRDefault="003135EF" w:rsidP="003135E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02E7B" w:rsidRPr="00AF5B3E">
        <w:rPr>
          <w:sz w:val="28"/>
          <w:szCs w:val="28"/>
        </w:rPr>
        <w:t>Ministrul</w:t>
      </w:r>
      <w:r w:rsidR="006C1675" w:rsidRPr="00AF5B3E">
        <w:rPr>
          <w:sz w:val="28"/>
          <w:szCs w:val="28"/>
        </w:rPr>
        <w:t xml:space="preserve"> </w:t>
      </w:r>
      <w:r w:rsidR="008D1B0B">
        <w:rPr>
          <w:sz w:val="28"/>
          <w:szCs w:val="28"/>
        </w:rPr>
        <w:t>f</w:t>
      </w:r>
      <w:r w:rsidR="006C1675" w:rsidRPr="00AF5B3E">
        <w:rPr>
          <w:sz w:val="28"/>
          <w:szCs w:val="28"/>
        </w:rPr>
        <w:t>inanţelor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2E7B" w:rsidRPr="00AF5B3E">
        <w:rPr>
          <w:sz w:val="28"/>
          <w:szCs w:val="28"/>
        </w:rPr>
        <w:t xml:space="preserve">Natalia GAVRILIŢA  </w:t>
      </w:r>
    </w:p>
    <w:p w:rsidR="002A42F8" w:rsidRPr="00AF5B3E" w:rsidRDefault="002A42F8" w:rsidP="0048763B">
      <w:pPr>
        <w:tabs>
          <w:tab w:val="left" w:pos="7338"/>
        </w:tabs>
        <w:rPr>
          <w:sz w:val="28"/>
          <w:szCs w:val="28"/>
        </w:rPr>
      </w:pPr>
    </w:p>
    <w:p w:rsidR="00651603" w:rsidRDefault="00651603" w:rsidP="00CE5177">
      <w:pPr>
        <w:pStyle w:val="a3"/>
        <w:spacing w:after="0"/>
        <w:ind w:left="6372"/>
        <w:rPr>
          <w:rFonts w:ascii="Times New Roman" w:hAnsi="Times New Roman"/>
          <w:sz w:val="28"/>
          <w:szCs w:val="28"/>
          <w:lang w:val="en-US"/>
        </w:rPr>
      </w:pPr>
    </w:p>
    <w:p w:rsidR="008C21FD" w:rsidRPr="00AF5B3E" w:rsidRDefault="008C21FD" w:rsidP="00CE5177">
      <w:pPr>
        <w:pStyle w:val="a3"/>
        <w:spacing w:after="0"/>
        <w:ind w:left="6372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F5B3E">
        <w:rPr>
          <w:rFonts w:ascii="Times New Roman" w:hAnsi="Times New Roman"/>
          <w:sz w:val="28"/>
          <w:szCs w:val="28"/>
          <w:lang w:val="en-US"/>
        </w:rPr>
        <w:t>Anexă</w:t>
      </w:r>
      <w:proofErr w:type="spellEnd"/>
    </w:p>
    <w:p w:rsidR="008C21FD" w:rsidRPr="00AF5B3E" w:rsidRDefault="008C21FD" w:rsidP="00CE5177">
      <w:pPr>
        <w:pStyle w:val="a3"/>
        <w:spacing w:after="0"/>
        <w:ind w:left="6372"/>
        <w:rPr>
          <w:rFonts w:ascii="Times New Roman" w:hAnsi="Times New Roman"/>
          <w:sz w:val="28"/>
          <w:szCs w:val="28"/>
        </w:rPr>
      </w:pPr>
      <w:proofErr w:type="gramStart"/>
      <w:r w:rsidRPr="00AF5B3E">
        <w:rPr>
          <w:rFonts w:ascii="Times New Roman" w:hAnsi="Times New Roman"/>
          <w:sz w:val="28"/>
          <w:szCs w:val="28"/>
          <w:lang w:val="en-US"/>
        </w:rPr>
        <w:t>la</w:t>
      </w:r>
      <w:proofErr w:type="gramEnd"/>
      <w:r w:rsidRPr="00AF5B3E">
        <w:rPr>
          <w:rFonts w:ascii="Times New Roman" w:hAnsi="Times New Roman"/>
          <w:sz w:val="28"/>
          <w:szCs w:val="28"/>
          <w:lang w:val="en-US"/>
        </w:rPr>
        <w:t xml:space="preserve"> Hot</w:t>
      </w:r>
      <w:proofErr w:type="spellStart"/>
      <w:r w:rsidRPr="00AF5B3E">
        <w:rPr>
          <w:rFonts w:ascii="Times New Roman" w:hAnsi="Times New Roman"/>
          <w:sz w:val="28"/>
          <w:szCs w:val="28"/>
        </w:rPr>
        <w:t>ăr</w:t>
      </w:r>
      <w:r w:rsidR="00CE5177">
        <w:rPr>
          <w:rFonts w:ascii="Times New Roman" w:hAnsi="Times New Roman"/>
          <w:sz w:val="28"/>
          <w:szCs w:val="28"/>
        </w:rPr>
        <w:t>â</w:t>
      </w:r>
      <w:r w:rsidRPr="00AF5B3E">
        <w:rPr>
          <w:rFonts w:ascii="Times New Roman" w:hAnsi="Times New Roman"/>
          <w:sz w:val="28"/>
          <w:szCs w:val="28"/>
        </w:rPr>
        <w:t>rea</w:t>
      </w:r>
      <w:proofErr w:type="spellEnd"/>
      <w:r w:rsidRPr="00AF5B3E">
        <w:rPr>
          <w:rFonts w:ascii="Times New Roman" w:hAnsi="Times New Roman"/>
          <w:sz w:val="28"/>
          <w:szCs w:val="28"/>
        </w:rPr>
        <w:t xml:space="preserve"> Guvernului</w:t>
      </w:r>
    </w:p>
    <w:p w:rsidR="008C21FD" w:rsidRPr="00AF5B3E" w:rsidRDefault="004E0CE0" w:rsidP="00CE5177">
      <w:pPr>
        <w:pStyle w:val="a3"/>
        <w:spacing w:after="0"/>
        <w:ind w:left="6372"/>
        <w:rPr>
          <w:rFonts w:ascii="Times New Roman" w:hAnsi="Times New Roman"/>
          <w:sz w:val="28"/>
          <w:szCs w:val="28"/>
        </w:rPr>
      </w:pPr>
      <w:r w:rsidRPr="00AF5B3E">
        <w:rPr>
          <w:rFonts w:ascii="Times New Roman" w:hAnsi="Times New Roman"/>
          <w:sz w:val="28"/>
          <w:szCs w:val="28"/>
        </w:rPr>
        <w:t>nr._____din</w:t>
      </w:r>
      <w:r w:rsidR="00CE5177">
        <w:rPr>
          <w:rFonts w:ascii="Times New Roman" w:hAnsi="Times New Roman"/>
          <w:sz w:val="28"/>
          <w:szCs w:val="28"/>
        </w:rPr>
        <w:t>__</w:t>
      </w:r>
      <w:r w:rsidRPr="00AF5B3E">
        <w:rPr>
          <w:rFonts w:ascii="Times New Roman" w:hAnsi="Times New Roman"/>
          <w:sz w:val="28"/>
          <w:szCs w:val="28"/>
        </w:rPr>
        <w:t>_____2019</w:t>
      </w:r>
    </w:p>
    <w:p w:rsidR="008C21FD" w:rsidRPr="00AF5B3E" w:rsidRDefault="008C21FD" w:rsidP="004E0CE0">
      <w:pPr>
        <w:pStyle w:val="a3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6EC3" w:rsidRDefault="008C21FD" w:rsidP="004E0CE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5B3E">
        <w:rPr>
          <w:rFonts w:ascii="Times New Roman" w:hAnsi="Times New Roman"/>
          <w:b/>
          <w:sz w:val="28"/>
          <w:szCs w:val="28"/>
        </w:rPr>
        <w:t xml:space="preserve">Lista bunurilor </w:t>
      </w:r>
    </w:p>
    <w:p w:rsidR="008C21FD" w:rsidRPr="00AF5B3E" w:rsidRDefault="00946EC3" w:rsidP="004E0CE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8C21FD" w:rsidRPr="00AF5B3E">
        <w:rPr>
          <w:rFonts w:ascii="Times New Roman" w:hAnsi="Times New Roman"/>
          <w:b/>
          <w:sz w:val="28"/>
          <w:szCs w:val="28"/>
        </w:rPr>
        <w:t>liberate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C21FD" w:rsidRPr="00AF5B3E">
        <w:rPr>
          <w:rFonts w:ascii="Times New Roman" w:hAnsi="Times New Roman"/>
          <w:b/>
          <w:sz w:val="28"/>
          <w:szCs w:val="28"/>
        </w:rPr>
        <w:t>din rezervele materiale de stat</w:t>
      </w:r>
    </w:p>
    <w:p w:rsidR="008C21FD" w:rsidRPr="00AF5B3E" w:rsidRDefault="008C21FD" w:rsidP="004E0CE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207" w:type="dxa"/>
        <w:tblInd w:w="-176" w:type="dxa"/>
        <w:tblLayout w:type="fixed"/>
        <w:tblLook w:val="01E0"/>
      </w:tblPr>
      <w:tblGrid>
        <w:gridCol w:w="569"/>
        <w:gridCol w:w="1842"/>
        <w:gridCol w:w="2268"/>
        <w:gridCol w:w="1134"/>
        <w:gridCol w:w="992"/>
        <w:gridCol w:w="1417"/>
        <w:gridCol w:w="1985"/>
      </w:tblGrid>
      <w:tr w:rsidR="004F7A4B" w:rsidRPr="00DF2268" w:rsidTr="007D1E1D">
        <w:trPr>
          <w:trHeight w:val="7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d/o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</w:p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bunurilor materiale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Unit.</w:t>
            </w:r>
          </w:p>
          <w:p w:rsidR="004F7A4B" w:rsidRPr="00DF2268" w:rsidRDefault="004F7A4B" w:rsidP="00B30B79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de măsură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268">
              <w:rPr>
                <w:rFonts w:ascii="Times New Roman" w:hAnsi="Times New Roman"/>
                <w:b/>
                <w:sz w:val="24"/>
                <w:szCs w:val="24"/>
              </w:rPr>
              <w:t>Cantitatea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3" w:rsidRDefault="002B5DC0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Preţul</w:t>
            </w:r>
          </w:p>
          <w:p w:rsidR="004F7A4B" w:rsidRPr="00DF2268" w:rsidRDefault="002A6ED3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B5DC0">
              <w:rPr>
                <w:rFonts w:ascii="Times New Roman" w:hAnsi="Times New Roman"/>
                <w:b/>
                <w:sz w:val="24"/>
                <w:szCs w:val="24"/>
              </w:rPr>
              <w:t>lei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3" w:rsidRDefault="008D1763" w:rsidP="004E0CE0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Costul</w:t>
            </w:r>
            <w:r w:rsidR="002A6E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F7A4B" w:rsidRPr="00DF2268" w:rsidRDefault="002A6ED3" w:rsidP="002A6ED3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(mii</w:t>
            </w:r>
            <w:r w:rsidR="008D1763">
              <w:rPr>
                <w:rFonts w:ascii="Times New Roman" w:hAnsi="Times New Roman"/>
                <w:b/>
                <w:sz w:val="24"/>
                <w:szCs w:val="24"/>
              </w:rPr>
              <w:t xml:space="preserve"> lei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F7A4B" w:rsidRPr="00DF2268" w:rsidTr="007D1E1D">
        <w:trPr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4E0CE0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9B69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9B69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9B69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4B" w:rsidRPr="00DF2268" w:rsidRDefault="004F7A4B" w:rsidP="009B69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4B" w:rsidRPr="00DF2268" w:rsidRDefault="008D1763" w:rsidP="004F7A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4B" w:rsidRPr="00DF2268" w:rsidRDefault="008D1763" w:rsidP="00B30B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13AEB" w:rsidRPr="00DF2268" w:rsidTr="007D1E1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624D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 xml:space="preserve">Consiliul raional </w:t>
            </w:r>
            <w:proofErr w:type="spellStart"/>
            <w:r w:rsidRPr="00DF2268">
              <w:rPr>
                <w:rFonts w:ascii="Times New Roman" w:hAnsi="Times New Roman"/>
                <w:sz w:val="24"/>
                <w:szCs w:val="24"/>
                <w:lang w:val="en-US"/>
              </w:rPr>
              <w:t>Ocniţa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Default="00A13AEB" w:rsidP="000D0EF4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Foi ondulate pentru acoperiş</w:t>
            </w:r>
            <w:r>
              <w:rPr>
                <w:rFonts w:ascii="Times New Roman" w:hAnsi="Times New Roman"/>
                <w:sz w:val="24"/>
                <w:szCs w:val="24"/>
              </w:rPr>
              <w:t>uri</w:t>
            </w:r>
          </w:p>
          <w:p w:rsidR="00A13AEB" w:rsidRPr="00DF2268" w:rsidRDefault="00A13AEB" w:rsidP="000D0EF4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0D0EF4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Cherestea</w:t>
            </w:r>
          </w:p>
          <w:p w:rsidR="00A13AEB" w:rsidRPr="00DF2268" w:rsidRDefault="00A13AEB" w:rsidP="000D0EF4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foi</w:t>
            </w:r>
          </w:p>
          <w:p w:rsidR="00A13AEB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A13AE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268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DF2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A13AEB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A13AE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F22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EB" w:rsidRDefault="00A13AEB" w:rsidP="000D0EF4">
            <w:r>
              <w:t>150,00 lei</w:t>
            </w:r>
          </w:p>
          <w:p w:rsidR="00A13AEB" w:rsidRDefault="00A13AEB" w:rsidP="000D0EF4">
            <w:pPr>
              <w:rPr>
                <w:sz w:val="32"/>
                <w:szCs w:val="32"/>
              </w:rPr>
            </w:pPr>
          </w:p>
          <w:p w:rsidR="00A13AEB" w:rsidRDefault="00A13AEB" w:rsidP="000D0EF4"/>
          <w:p w:rsidR="00A13AEB" w:rsidRPr="00DF2268" w:rsidRDefault="00A13AEB" w:rsidP="000D0EF4">
            <w:r>
              <w:t>3550</w:t>
            </w:r>
            <w:r>
              <w:t>,00 lei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EB" w:rsidRPr="00DF2268" w:rsidRDefault="00A13AEB" w:rsidP="000D0EF4">
            <w:pPr>
              <w:rPr>
                <w:rFonts w:eastAsia="Calibri"/>
              </w:rPr>
            </w:pPr>
            <w:r>
              <w:rPr>
                <w:rFonts w:eastAsia="Calibri"/>
              </w:rPr>
              <w:t>45,000</w:t>
            </w:r>
            <w:r w:rsidRPr="00DF2268">
              <w:rPr>
                <w:rFonts w:eastAsia="Calibri"/>
              </w:rPr>
              <w:t xml:space="preserve"> lei</w:t>
            </w:r>
          </w:p>
          <w:p w:rsidR="00A13AEB" w:rsidRDefault="00A13AEB" w:rsidP="000D0EF4">
            <w:pPr>
              <w:rPr>
                <w:rFonts w:eastAsia="Calibri"/>
                <w:sz w:val="32"/>
                <w:szCs w:val="32"/>
              </w:rPr>
            </w:pPr>
          </w:p>
          <w:p w:rsidR="00A13AEB" w:rsidRPr="00DF2268" w:rsidRDefault="00A13AEB" w:rsidP="000D0EF4">
            <w:pPr>
              <w:rPr>
                <w:rFonts w:eastAsia="Calibri"/>
              </w:rPr>
            </w:pPr>
          </w:p>
          <w:p w:rsidR="00A13AEB" w:rsidRPr="00DF2268" w:rsidRDefault="00A13AEB" w:rsidP="000D0EF4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</w:rPr>
              <w:t>07</w:t>
            </w:r>
            <w:r>
              <w:rPr>
                <w:rFonts w:eastAsia="Calibri"/>
              </w:rPr>
              <w:t xml:space="preserve">5 </w:t>
            </w:r>
            <w:r w:rsidRPr="00DF2268">
              <w:rPr>
                <w:rFonts w:eastAsia="Calibri"/>
              </w:rPr>
              <w:t>lei</w:t>
            </w:r>
          </w:p>
          <w:p w:rsidR="00A13AEB" w:rsidRPr="00DF2268" w:rsidRDefault="00A13AEB" w:rsidP="000D0EF4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AEB" w:rsidRPr="00DF2268" w:rsidTr="007D1E1D">
        <w:trPr>
          <w:trHeight w:val="17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A13AEB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 xml:space="preserve">Consiliul raional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Glodeni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Default="00A13AEB" w:rsidP="00624D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Foi ondulate pentru acoperiş</w:t>
            </w:r>
            <w:r>
              <w:rPr>
                <w:rFonts w:ascii="Times New Roman" w:hAnsi="Times New Roman"/>
                <w:sz w:val="24"/>
                <w:szCs w:val="24"/>
              </w:rPr>
              <w:t>uri</w:t>
            </w:r>
          </w:p>
          <w:p w:rsidR="00A13AEB" w:rsidRPr="00DF2268" w:rsidRDefault="00A13AEB" w:rsidP="00624D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624D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Ţiglă metalică</w:t>
            </w:r>
          </w:p>
          <w:p w:rsidR="00A13AEB" w:rsidRPr="00DF2268" w:rsidRDefault="00A13AEB" w:rsidP="00624D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foi</w:t>
            </w:r>
          </w:p>
          <w:p w:rsidR="00A13AEB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68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DF2268" w:rsidRDefault="002A6ED3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2786</w:t>
            </w:r>
          </w:p>
          <w:p w:rsidR="00A13AEB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AEB" w:rsidRPr="00DF2268" w:rsidRDefault="002A6ED3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EB" w:rsidRDefault="00A13AEB" w:rsidP="008D1763">
            <w:r>
              <w:t>150,00 lei</w:t>
            </w:r>
          </w:p>
          <w:p w:rsidR="00A13AEB" w:rsidRDefault="00A13AEB" w:rsidP="008D1763">
            <w:pPr>
              <w:rPr>
                <w:sz w:val="32"/>
                <w:szCs w:val="32"/>
              </w:rPr>
            </w:pPr>
          </w:p>
          <w:p w:rsidR="00A13AEB" w:rsidRDefault="00A13AEB" w:rsidP="008D1763"/>
          <w:p w:rsidR="00A13AEB" w:rsidRPr="00DF2268" w:rsidRDefault="00A13AEB" w:rsidP="008D1763">
            <w:r>
              <w:t>125,00 lei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EB" w:rsidRPr="00DF2268" w:rsidRDefault="002A6ED3" w:rsidP="008D1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417,900 </w:t>
            </w:r>
            <w:r w:rsidR="00A13AEB" w:rsidRPr="00DF2268">
              <w:rPr>
                <w:rFonts w:eastAsia="Calibri"/>
              </w:rPr>
              <w:t>lei</w:t>
            </w:r>
          </w:p>
          <w:p w:rsidR="00A13AEB" w:rsidRDefault="00A13AEB" w:rsidP="008D1763">
            <w:pPr>
              <w:rPr>
                <w:rFonts w:eastAsia="Calibri"/>
                <w:sz w:val="32"/>
                <w:szCs w:val="32"/>
              </w:rPr>
            </w:pPr>
          </w:p>
          <w:p w:rsidR="00A13AEB" w:rsidRPr="00DF2268" w:rsidRDefault="00A13AEB" w:rsidP="008D1763">
            <w:pPr>
              <w:rPr>
                <w:rFonts w:eastAsia="Calibri"/>
              </w:rPr>
            </w:pPr>
          </w:p>
          <w:p w:rsidR="00A13AEB" w:rsidRPr="00DF2268" w:rsidRDefault="002A6ED3" w:rsidP="008D1763">
            <w:pPr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  <w:r w:rsidR="00A13AEB">
              <w:rPr>
                <w:rFonts w:eastAsia="Calibri"/>
              </w:rPr>
              <w:t>,</w:t>
            </w:r>
            <w:r>
              <w:rPr>
                <w:rFonts w:eastAsia="Calibri"/>
              </w:rPr>
              <w:t>37</w:t>
            </w:r>
            <w:r w:rsidR="00A13AEB">
              <w:rPr>
                <w:rFonts w:eastAsia="Calibri"/>
              </w:rPr>
              <w:t xml:space="preserve">5 </w:t>
            </w:r>
            <w:r w:rsidR="00A13AEB" w:rsidRPr="00DF2268">
              <w:rPr>
                <w:rFonts w:eastAsia="Calibri"/>
              </w:rPr>
              <w:t>lei</w:t>
            </w:r>
          </w:p>
          <w:p w:rsidR="00A13AEB" w:rsidRPr="00DF2268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AEB" w:rsidRPr="00484D6E" w:rsidTr="007D1E1D">
        <w:trPr>
          <w:trHeight w:val="5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484D6E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484D6E" w:rsidRDefault="00A13AEB" w:rsidP="00624DE3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4D6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Total</w:t>
            </w:r>
            <w:r w:rsidRPr="00484D6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484D6E" w:rsidRDefault="00A13AEB" w:rsidP="00624DE3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484D6E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EB" w:rsidRPr="00484D6E" w:rsidRDefault="00A13AEB" w:rsidP="00624DE3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EB" w:rsidRPr="00484D6E" w:rsidRDefault="00A13AEB" w:rsidP="00624DE3">
            <w:pPr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EB" w:rsidRPr="00164C65" w:rsidRDefault="002A6ED3" w:rsidP="002A6ED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541</w:t>
            </w:r>
            <w:r w:rsidR="00A13AEB" w:rsidRPr="00164C65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350</w:t>
            </w:r>
            <w:r w:rsidR="00A13AEB" w:rsidRPr="00164C65">
              <w:rPr>
                <w:rFonts w:eastAsia="Calibri"/>
                <w:b/>
              </w:rPr>
              <w:t xml:space="preserve"> lei</w:t>
            </w:r>
          </w:p>
        </w:tc>
      </w:tr>
    </w:tbl>
    <w:p w:rsidR="008C21FD" w:rsidRPr="00DF2268" w:rsidRDefault="008C21FD" w:rsidP="00624DE3">
      <w:pPr>
        <w:pStyle w:val="a3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C21FD" w:rsidRPr="00DF2268" w:rsidRDefault="008C21FD" w:rsidP="008C21FD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8C21FD" w:rsidRPr="00DF2268" w:rsidRDefault="008C21FD" w:rsidP="008C21FD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B30B79" w:rsidRPr="00DF2268" w:rsidRDefault="00B30B79" w:rsidP="002A42F8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B30B79" w:rsidRPr="00DF2268" w:rsidRDefault="00B30B79" w:rsidP="002A42F8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A42F8" w:rsidRPr="00AF5B3E" w:rsidRDefault="002A42F8" w:rsidP="002A42F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2A42F8" w:rsidRPr="00AF5B3E" w:rsidSect="003135EF">
      <w:pgSz w:w="11906" w:h="16838"/>
      <w:pgMar w:top="709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B6C2E7B6"/>
    <w:lvl w:ilvl="0" w:tplc="BF2A339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4667709"/>
    <w:multiLevelType w:val="hybridMultilevel"/>
    <w:tmpl w:val="DBA27966"/>
    <w:lvl w:ilvl="0" w:tplc="2BEE9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0D6E12"/>
    <w:multiLevelType w:val="hybridMultilevel"/>
    <w:tmpl w:val="210E65FC"/>
    <w:lvl w:ilvl="0" w:tplc="ABC40D2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8931739"/>
    <w:multiLevelType w:val="hybridMultilevel"/>
    <w:tmpl w:val="26B44C0E"/>
    <w:lvl w:ilvl="0" w:tplc="EBB4E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42A44"/>
    <w:multiLevelType w:val="hybridMultilevel"/>
    <w:tmpl w:val="B554EE6C"/>
    <w:lvl w:ilvl="0" w:tplc="1798A566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E135F"/>
    <w:rsid w:val="000060E9"/>
    <w:rsid w:val="000100B0"/>
    <w:rsid w:val="00042D18"/>
    <w:rsid w:val="00074119"/>
    <w:rsid w:val="000D3991"/>
    <w:rsid w:val="001072BC"/>
    <w:rsid w:val="00126A7A"/>
    <w:rsid w:val="00145B36"/>
    <w:rsid w:val="00164C65"/>
    <w:rsid w:val="001A3D94"/>
    <w:rsid w:val="001A6BEA"/>
    <w:rsid w:val="001C1463"/>
    <w:rsid w:val="001D3D6E"/>
    <w:rsid w:val="001E2AB4"/>
    <w:rsid w:val="001F7812"/>
    <w:rsid w:val="002041A5"/>
    <w:rsid w:val="00217959"/>
    <w:rsid w:val="00222DB9"/>
    <w:rsid w:val="00236A67"/>
    <w:rsid w:val="00267365"/>
    <w:rsid w:val="00272D14"/>
    <w:rsid w:val="00276F67"/>
    <w:rsid w:val="002933D0"/>
    <w:rsid w:val="00297EAB"/>
    <w:rsid w:val="002A42F8"/>
    <w:rsid w:val="002A6ED3"/>
    <w:rsid w:val="002B5DC0"/>
    <w:rsid w:val="002B67C4"/>
    <w:rsid w:val="002C0F98"/>
    <w:rsid w:val="002D2AC6"/>
    <w:rsid w:val="002E7E0C"/>
    <w:rsid w:val="00307F8C"/>
    <w:rsid w:val="003135EF"/>
    <w:rsid w:val="00345A00"/>
    <w:rsid w:val="0036035B"/>
    <w:rsid w:val="00363364"/>
    <w:rsid w:val="003658C3"/>
    <w:rsid w:val="00375CD9"/>
    <w:rsid w:val="00382504"/>
    <w:rsid w:val="003A462A"/>
    <w:rsid w:val="003E2655"/>
    <w:rsid w:val="00443EB5"/>
    <w:rsid w:val="00446490"/>
    <w:rsid w:val="00467577"/>
    <w:rsid w:val="004743CB"/>
    <w:rsid w:val="00480CE5"/>
    <w:rsid w:val="00484D6E"/>
    <w:rsid w:val="004851F5"/>
    <w:rsid w:val="0048763B"/>
    <w:rsid w:val="00492807"/>
    <w:rsid w:val="004C0F2E"/>
    <w:rsid w:val="004C3B2B"/>
    <w:rsid w:val="004C5568"/>
    <w:rsid w:val="004E0CE0"/>
    <w:rsid w:val="004E135F"/>
    <w:rsid w:val="004F7A4B"/>
    <w:rsid w:val="00534A52"/>
    <w:rsid w:val="00544471"/>
    <w:rsid w:val="00597016"/>
    <w:rsid w:val="005D15D8"/>
    <w:rsid w:val="005D3BE1"/>
    <w:rsid w:val="005D7AF1"/>
    <w:rsid w:val="005F31C4"/>
    <w:rsid w:val="005F4FE2"/>
    <w:rsid w:val="00601614"/>
    <w:rsid w:val="00603BE5"/>
    <w:rsid w:val="0061353B"/>
    <w:rsid w:val="00614073"/>
    <w:rsid w:val="00624DE3"/>
    <w:rsid w:val="00626104"/>
    <w:rsid w:val="00651603"/>
    <w:rsid w:val="006978F6"/>
    <w:rsid w:val="006B37A0"/>
    <w:rsid w:val="006B6C84"/>
    <w:rsid w:val="006B7DF0"/>
    <w:rsid w:val="006C1675"/>
    <w:rsid w:val="006C52DC"/>
    <w:rsid w:val="006C7304"/>
    <w:rsid w:val="006D6F54"/>
    <w:rsid w:val="007002FC"/>
    <w:rsid w:val="00766AC8"/>
    <w:rsid w:val="007706AB"/>
    <w:rsid w:val="0078672F"/>
    <w:rsid w:val="007936A7"/>
    <w:rsid w:val="00797398"/>
    <w:rsid w:val="007A0F7A"/>
    <w:rsid w:val="007A376E"/>
    <w:rsid w:val="007A3CF9"/>
    <w:rsid w:val="007B26A0"/>
    <w:rsid w:val="007B5E55"/>
    <w:rsid w:val="007C2C60"/>
    <w:rsid w:val="007C6CC1"/>
    <w:rsid w:val="007C7D9A"/>
    <w:rsid w:val="007D1E1D"/>
    <w:rsid w:val="007E03E1"/>
    <w:rsid w:val="00805B10"/>
    <w:rsid w:val="0082634B"/>
    <w:rsid w:val="00836C5E"/>
    <w:rsid w:val="00837726"/>
    <w:rsid w:val="00850A32"/>
    <w:rsid w:val="0086768D"/>
    <w:rsid w:val="00875E6E"/>
    <w:rsid w:val="008803D3"/>
    <w:rsid w:val="00884E6E"/>
    <w:rsid w:val="008B0753"/>
    <w:rsid w:val="008B20A1"/>
    <w:rsid w:val="008C21C2"/>
    <w:rsid w:val="008C21FD"/>
    <w:rsid w:val="008D1763"/>
    <w:rsid w:val="008D1B0B"/>
    <w:rsid w:val="008F5D9F"/>
    <w:rsid w:val="00903576"/>
    <w:rsid w:val="00905F68"/>
    <w:rsid w:val="00946EC3"/>
    <w:rsid w:val="009532D5"/>
    <w:rsid w:val="0095450A"/>
    <w:rsid w:val="009802D9"/>
    <w:rsid w:val="009A023D"/>
    <w:rsid w:val="009B1A93"/>
    <w:rsid w:val="009B46AD"/>
    <w:rsid w:val="009B65AC"/>
    <w:rsid w:val="009C4011"/>
    <w:rsid w:val="00A04063"/>
    <w:rsid w:val="00A13AEB"/>
    <w:rsid w:val="00A37B65"/>
    <w:rsid w:val="00A41216"/>
    <w:rsid w:val="00A77269"/>
    <w:rsid w:val="00A850ED"/>
    <w:rsid w:val="00A90428"/>
    <w:rsid w:val="00AB640A"/>
    <w:rsid w:val="00AC2DAD"/>
    <w:rsid w:val="00AC4E50"/>
    <w:rsid w:val="00AD16E2"/>
    <w:rsid w:val="00AF5B3E"/>
    <w:rsid w:val="00B02C12"/>
    <w:rsid w:val="00B30B79"/>
    <w:rsid w:val="00B46ACA"/>
    <w:rsid w:val="00B5134B"/>
    <w:rsid w:val="00B643B3"/>
    <w:rsid w:val="00B87C52"/>
    <w:rsid w:val="00B91FE2"/>
    <w:rsid w:val="00BA2883"/>
    <w:rsid w:val="00BB5400"/>
    <w:rsid w:val="00BE21DE"/>
    <w:rsid w:val="00BF515F"/>
    <w:rsid w:val="00C00C81"/>
    <w:rsid w:val="00C21A54"/>
    <w:rsid w:val="00C30CFF"/>
    <w:rsid w:val="00C40864"/>
    <w:rsid w:val="00C43477"/>
    <w:rsid w:val="00C72530"/>
    <w:rsid w:val="00C76412"/>
    <w:rsid w:val="00C806C9"/>
    <w:rsid w:val="00C8085D"/>
    <w:rsid w:val="00C83702"/>
    <w:rsid w:val="00C872CE"/>
    <w:rsid w:val="00C90192"/>
    <w:rsid w:val="00CD0FEE"/>
    <w:rsid w:val="00CD1A88"/>
    <w:rsid w:val="00CE5177"/>
    <w:rsid w:val="00CE65FB"/>
    <w:rsid w:val="00CF20FD"/>
    <w:rsid w:val="00CF737F"/>
    <w:rsid w:val="00D02E7B"/>
    <w:rsid w:val="00D221A2"/>
    <w:rsid w:val="00D43C3F"/>
    <w:rsid w:val="00D806B4"/>
    <w:rsid w:val="00D87AAF"/>
    <w:rsid w:val="00DA2F10"/>
    <w:rsid w:val="00DC6CD6"/>
    <w:rsid w:val="00DC77C0"/>
    <w:rsid w:val="00DD3129"/>
    <w:rsid w:val="00DD4AD1"/>
    <w:rsid w:val="00DD6EDD"/>
    <w:rsid w:val="00DD7AFC"/>
    <w:rsid w:val="00DE0511"/>
    <w:rsid w:val="00DE6DDC"/>
    <w:rsid w:val="00DF2268"/>
    <w:rsid w:val="00E105CA"/>
    <w:rsid w:val="00E249EE"/>
    <w:rsid w:val="00E36F91"/>
    <w:rsid w:val="00E417CA"/>
    <w:rsid w:val="00E72E04"/>
    <w:rsid w:val="00E9453D"/>
    <w:rsid w:val="00EA49A5"/>
    <w:rsid w:val="00EE181D"/>
    <w:rsid w:val="00EE44BD"/>
    <w:rsid w:val="00F073C7"/>
    <w:rsid w:val="00F1341B"/>
    <w:rsid w:val="00F238B0"/>
    <w:rsid w:val="00F27BFD"/>
    <w:rsid w:val="00F31660"/>
    <w:rsid w:val="00F33FDB"/>
    <w:rsid w:val="00F57B86"/>
    <w:rsid w:val="00F855E6"/>
    <w:rsid w:val="00F96135"/>
    <w:rsid w:val="00FD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1">
    <w:name w:val="heading 1"/>
    <w:basedOn w:val="a"/>
    <w:next w:val="a"/>
    <w:link w:val="10"/>
    <w:uiPriority w:val="9"/>
    <w:qFormat/>
    <w:rsid w:val="004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1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t">
    <w:name w:val="tt"/>
    <w:basedOn w:val="a"/>
    <w:uiPriority w:val="99"/>
    <w:semiHidden/>
    <w:rsid w:val="004E135F"/>
    <w:pPr>
      <w:jc w:val="center"/>
    </w:pPr>
    <w:rPr>
      <w:b/>
      <w:bCs/>
    </w:rPr>
  </w:style>
  <w:style w:type="paragraph" w:customStyle="1" w:styleId="cb">
    <w:name w:val="cb"/>
    <w:basedOn w:val="a"/>
    <w:uiPriority w:val="99"/>
    <w:semiHidden/>
    <w:rsid w:val="004E135F"/>
    <w:pPr>
      <w:jc w:val="center"/>
    </w:pPr>
    <w:rPr>
      <w:b/>
      <w:bCs/>
    </w:rPr>
  </w:style>
  <w:style w:type="paragraph" w:styleId="a3">
    <w:name w:val="Body Text"/>
    <w:basedOn w:val="a"/>
    <w:link w:val="a4"/>
    <w:uiPriority w:val="99"/>
    <w:unhideWhenUsed/>
    <w:rsid w:val="006C1675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6C1675"/>
    <w:rPr>
      <w:rFonts w:ascii="Calibri" w:eastAsia="Calibri" w:hAnsi="Calibri" w:cs="Times New Roman"/>
      <w:lang w:eastAsia="ro-RO"/>
    </w:rPr>
  </w:style>
  <w:style w:type="paragraph" w:styleId="a5">
    <w:name w:val="No Spacing"/>
    <w:uiPriority w:val="1"/>
    <w:qFormat/>
    <w:rsid w:val="006C1675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6C1675"/>
    <w:pPr>
      <w:ind w:left="720"/>
      <w:contextualSpacing/>
    </w:pPr>
    <w:rPr>
      <w:lang w:eastAsia="ru-RU"/>
    </w:rPr>
  </w:style>
  <w:style w:type="paragraph" w:customStyle="1" w:styleId="msolistparagraph0">
    <w:name w:val="msolistparagraph"/>
    <w:basedOn w:val="a"/>
    <w:uiPriority w:val="34"/>
    <w:semiHidden/>
    <w:qFormat/>
    <w:rsid w:val="006C1675"/>
    <w:pPr>
      <w:ind w:left="720"/>
      <w:contextualSpacing/>
    </w:pPr>
  </w:style>
  <w:style w:type="table" w:customStyle="1" w:styleId="TabelNormal">
    <w:name w:val="Tabel Normal"/>
    <w:uiPriority w:val="99"/>
    <w:semiHidden/>
    <w:rsid w:val="006C1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9B65AC"/>
    <w:rPr>
      <w:color w:val="0000FF"/>
      <w:u w:val="single"/>
    </w:rPr>
  </w:style>
  <w:style w:type="character" w:customStyle="1" w:styleId="hps">
    <w:name w:val="hps"/>
    <w:basedOn w:val="a0"/>
    <w:rsid w:val="009B65AC"/>
  </w:style>
  <w:style w:type="character" w:customStyle="1" w:styleId="apple-converted-space">
    <w:name w:val="apple-converted-space"/>
    <w:basedOn w:val="a0"/>
    <w:rsid w:val="009B65AC"/>
  </w:style>
  <w:style w:type="table" w:styleId="a8">
    <w:name w:val="Table Grid"/>
    <w:basedOn w:val="a1"/>
    <w:rsid w:val="002A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D3DA-0114-4B95-B113-98892A28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user-nb</cp:lastModifiedBy>
  <cp:revision>18</cp:revision>
  <cp:lastPrinted>2019-08-06T08:50:00Z</cp:lastPrinted>
  <dcterms:created xsi:type="dcterms:W3CDTF">2019-09-03T07:08:00Z</dcterms:created>
  <dcterms:modified xsi:type="dcterms:W3CDTF">2019-09-03T07:42:00Z</dcterms:modified>
</cp:coreProperties>
</file>