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  <w:r w:rsidRPr="00721A01">
        <w:rPr>
          <w:color w:val="000000"/>
          <w:sz w:val="28"/>
          <w:szCs w:val="28"/>
          <w:lang w:val="ro-RO"/>
        </w:rPr>
        <w:t xml:space="preserve">Anexa nr.2 </w:t>
      </w: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  <w:r w:rsidRPr="00721A01">
        <w:rPr>
          <w:color w:val="000000"/>
          <w:sz w:val="28"/>
          <w:szCs w:val="28"/>
          <w:lang w:val="ro-RO"/>
        </w:rPr>
        <w:t>la Ho</w:t>
      </w:r>
      <w:r w:rsidR="001A090D" w:rsidRPr="00721A01">
        <w:rPr>
          <w:color w:val="000000"/>
          <w:sz w:val="28"/>
          <w:szCs w:val="28"/>
          <w:lang w:val="ro-RO"/>
        </w:rPr>
        <w:t>t</w:t>
      </w:r>
      <w:r w:rsidRPr="00721A01">
        <w:rPr>
          <w:color w:val="000000"/>
          <w:sz w:val="28"/>
          <w:szCs w:val="28"/>
          <w:lang w:val="ro-RO"/>
        </w:rPr>
        <w:t>ărîrea Guvernului nr.      din     20</w:t>
      </w:r>
      <w:r w:rsidR="00CC2173">
        <w:rPr>
          <w:color w:val="000000"/>
          <w:sz w:val="28"/>
          <w:szCs w:val="28"/>
          <w:lang w:val="ro-RO"/>
        </w:rPr>
        <w:t>20</w:t>
      </w:r>
    </w:p>
    <w:p w:rsidR="007E040A" w:rsidRPr="00721A01" w:rsidRDefault="007E040A" w:rsidP="003667E7">
      <w:pPr>
        <w:jc w:val="center"/>
        <w:rPr>
          <w:b/>
          <w:bCs/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center"/>
        <w:rPr>
          <w:color w:val="000000"/>
          <w:sz w:val="28"/>
          <w:szCs w:val="28"/>
          <w:lang w:val="ro-RO"/>
        </w:rPr>
      </w:pPr>
      <w:r w:rsidRPr="00721A01">
        <w:rPr>
          <w:b/>
          <w:bCs/>
          <w:color w:val="000000"/>
          <w:sz w:val="28"/>
          <w:szCs w:val="28"/>
          <w:lang w:val="ro-RO"/>
        </w:rPr>
        <w:t>Structura </w:t>
      </w:r>
      <w:r w:rsidRPr="00721A01">
        <w:rPr>
          <w:b/>
          <w:bCs/>
          <w:color w:val="000000"/>
          <w:sz w:val="28"/>
          <w:szCs w:val="28"/>
          <w:lang w:val="ro-RO"/>
        </w:rPr>
        <w:br/>
        <w:t>aparatului central al Casei Naţionale de Asigurări Sociale</w:t>
      </w:r>
    </w:p>
    <w:p w:rsidR="00814E2C" w:rsidRPr="00721A01" w:rsidRDefault="001661F9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>Conducerea</w:t>
      </w:r>
    </w:p>
    <w:p w:rsidR="007E040A" w:rsidRPr="00721A01" w:rsidRDefault="007E040A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 xml:space="preserve">Direcţia planificare bugetară </w:t>
      </w:r>
    </w:p>
    <w:p w:rsidR="00814E2C" w:rsidRPr="00721A01" w:rsidRDefault="00814E2C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Secţia prognozarea bugetului </w:t>
      </w:r>
    </w:p>
    <w:p w:rsidR="00814E2C" w:rsidRPr="00721A01" w:rsidRDefault="00814E2C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Secţia analiza executării bugetului asigurărilor sociale de stat </w:t>
      </w:r>
    </w:p>
    <w:p w:rsidR="007E040A" w:rsidRPr="00721A01" w:rsidRDefault="007E040A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 xml:space="preserve">Direcţia </w:t>
      </w:r>
      <w:r w:rsidR="000F303B" w:rsidRPr="00721A01">
        <w:rPr>
          <w:b/>
          <w:color w:val="000000"/>
          <w:sz w:val="28"/>
          <w:szCs w:val="28"/>
          <w:lang w:val="ro-RO"/>
        </w:rPr>
        <w:t>generală administrarea plăților și plătitorilor</w:t>
      </w:r>
    </w:p>
    <w:p w:rsidR="000F303B" w:rsidRPr="00721A01" w:rsidRDefault="000F303B" w:rsidP="003667E7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</w:t>
      </w:r>
      <w:r w:rsidR="007E040A" w:rsidRPr="00721A01">
        <w:rPr>
          <w:color w:val="000000"/>
          <w:sz w:val="28"/>
          <w:szCs w:val="28"/>
          <w:lang w:val="ro-RO" w:eastAsia="en-US"/>
        </w:rPr>
        <w:t>ecţia metodologi</w:t>
      </w:r>
      <w:r w:rsidRPr="00721A01">
        <w:rPr>
          <w:color w:val="000000"/>
          <w:sz w:val="28"/>
          <w:szCs w:val="28"/>
          <w:lang w:val="ro-RO" w:eastAsia="en-US"/>
        </w:rPr>
        <w:t>e evidență plăți și plătitori</w:t>
      </w:r>
    </w:p>
    <w:p w:rsidR="000F303B" w:rsidRPr="00721A01" w:rsidRDefault="000F303B" w:rsidP="003667E7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Direcția sistematizare rapoarte și informații</w:t>
      </w:r>
    </w:p>
    <w:p w:rsidR="007E040A" w:rsidRPr="00721A01" w:rsidRDefault="000F303B" w:rsidP="003667E7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  <w:lang w:val="ro-RO" w:eastAsia="en-US"/>
        </w:rPr>
      </w:pPr>
      <w:r w:rsidRPr="00721A01">
        <w:rPr>
          <w:b/>
          <w:color w:val="000000"/>
          <w:sz w:val="28"/>
          <w:szCs w:val="28"/>
          <w:lang w:val="ro-RO"/>
        </w:rPr>
        <w:t>Direcţia generală evidența individuală a contribuțiilor</w:t>
      </w:r>
    </w:p>
    <w:p w:rsidR="000F303B" w:rsidRPr="00721A01" w:rsidRDefault="000F303B" w:rsidP="003667E7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 gestionarea conturilor persoanelor asigurate</w:t>
      </w:r>
    </w:p>
    <w:p w:rsidR="007E040A" w:rsidRPr="00721A01" w:rsidRDefault="000F303B" w:rsidP="003667E7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</w:t>
      </w:r>
      <w:r w:rsidR="007E040A" w:rsidRPr="00721A01">
        <w:rPr>
          <w:color w:val="000000"/>
          <w:sz w:val="28"/>
          <w:szCs w:val="28"/>
          <w:lang w:val="ro-RO" w:eastAsia="en-US"/>
        </w:rPr>
        <w:t>ecţia registrul evidenţei individuale</w:t>
      </w:r>
    </w:p>
    <w:p w:rsidR="007E040A" w:rsidRPr="00721A01" w:rsidRDefault="007E040A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 xml:space="preserve">Direcţia </w:t>
      </w:r>
      <w:r w:rsidR="00FF41B6" w:rsidRPr="00721A01">
        <w:rPr>
          <w:b/>
          <w:color w:val="000000"/>
          <w:sz w:val="28"/>
          <w:szCs w:val="28"/>
          <w:lang w:val="ro-RO"/>
        </w:rPr>
        <w:t xml:space="preserve">generală </w:t>
      </w:r>
      <w:r w:rsidRPr="00721A01">
        <w:rPr>
          <w:b/>
          <w:color w:val="000000"/>
          <w:sz w:val="28"/>
          <w:szCs w:val="28"/>
          <w:lang w:val="ro-RO"/>
        </w:rPr>
        <w:t xml:space="preserve">pensii şi alocaţii 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supravegherea aplicării legislaţiei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Nord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supravegherea aplicării legislaţiei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Centru</w:t>
      </w:r>
    </w:p>
    <w:p w:rsidR="00FF41B6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supravegherea aplicării legislaţiei Sud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metodologie şi implementarea cadrului normativ</w:t>
      </w:r>
    </w:p>
    <w:p w:rsidR="007E040A" w:rsidRPr="00721A01" w:rsidRDefault="007E040A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 xml:space="preserve">Direcţia </w:t>
      </w:r>
      <w:r w:rsidR="00477D4B" w:rsidRPr="00721A01">
        <w:rPr>
          <w:b/>
          <w:color w:val="000000"/>
          <w:sz w:val="28"/>
          <w:szCs w:val="28"/>
          <w:lang w:val="ro-RO"/>
        </w:rPr>
        <w:t>generală indemnizații ș</w:t>
      </w:r>
      <w:r w:rsidR="00FF41B6" w:rsidRPr="00721A01">
        <w:rPr>
          <w:b/>
          <w:color w:val="000000"/>
          <w:sz w:val="28"/>
          <w:szCs w:val="28"/>
          <w:lang w:val="ro-RO"/>
        </w:rPr>
        <w:t xml:space="preserve">i alte </w:t>
      </w:r>
      <w:r w:rsidRPr="00721A01">
        <w:rPr>
          <w:b/>
          <w:color w:val="000000"/>
          <w:sz w:val="28"/>
          <w:szCs w:val="28"/>
          <w:lang w:val="ro-RO"/>
        </w:rPr>
        <w:t>prestaţii sociale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indemnizaţii familiilor cu copii </w:t>
      </w:r>
    </w:p>
    <w:p w:rsidR="00FF41B6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indemnizaţii pentru incapacitate temporară de muncă 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ajutoare şi compensaţii</w:t>
      </w:r>
    </w:p>
    <w:p w:rsidR="007E040A" w:rsidRPr="00721A01" w:rsidRDefault="007E040A" w:rsidP="003667E7">
      <w:pPr>
        <w:ind w:left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 xml:space="preserve">Direcţia </w:t>
      </w:r>
      <w:r w:rsidR="00FF41B6" w:rsidRPr="00721A01">
        <w:rPr>
          <w:b/>
          <w:color w:val="000000"/>
          <w:sz w:val="28"/>
          <w:szCs w:val="28"/>
          <w:lang w:val="ro-RO"/>
        </w:rPr>
        <w:t xml:space="preserve">generală </w:t>
      </w:r>
      <w:r w:rsidRPr="00721A01">
        <w:rPr>
          <w:b/>
          <w:color w:val="000000"/>
          <w:sz w:val="28"/>
          <w:szCs w:val="28"/>
          <w:lang w:val="ro-RO" w:eastAsia="en-US"/>
        </w:rPr>
        <w:t>gestionarea conturilor beneficiarilor de pensii, alocaţii şi prestaţii sociale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 gestionarea conturilor beneficiarilor de pensii şi alocaţii </w:t>
      </w:r>
    </w:p>
    <w:p w:rsidR="00FF41B6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 gestionarea conturilor beneficiarilor de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indemnizații familiilor cu copii</w:t>
      </w:r>
    </w:p>
    <w:p w:rsidR="00814E2C" w:rsidRPr="00721A01" w:rsidRDefault="00FF41B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 gestionarea conturilor beneficiarilor de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indemnizaţii pentru incapacitate temporară de muncă</w:t>
      </w:r>
    </w:p>
    <w:p w:rsidR="00814E2C" w:rsidRPr="00721A01" w:rsidRDefault="00FF41B6" w:rsidP="003667E7">
      <w:pPr>
        <w:autoSpaceDE w:val="0"/>
        <w:autoSpaceDN w:val="0"/>
        <w:adjustRightInd w:val="0"/>
        <w:ind w:left="270" w:firstLine="14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 gestionarea conturilor beneficiarilor de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ajutoare, compensaţii și alte prestații sociale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</w:t>
      </w:r>
    </w:p>
    <w:p w:rsidR="00FF41B6" w:rsidRPr="00721A01" w:rsidRDefault="00FF41B6" w:rsidP="003667E7">
      <w:pPr>
        <w:autoSpaceDE w:val="0"/>
        <w:autoSpaceDN w:val="0"/>
        <w:adjustRightInd w:val="0"/>
        <w:ind w:left="270" w:firstLine="14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Direcția gestionarea conturilor beneficiarilor de pensii externe și celor condamnați</w:t>
      </w:r>
    </w:p>
    <w:p w:rsidR="00814E2C" w:rsidRPr="00721A01" w:rsidRDefault="00FF41B6" w:rsidP="003667E7">
      <w:pPr>
        <w:autoSpaceDE w:val="0"/>
        <w:autoSpaceDN w:val="0"/>
        <w:adjustRightInd w:val="0"/>
        <w:ind w:left="57" w:firstLine="227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gestionarea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datelor, analiză și monitorizarea plății prestațiilor sociale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</w:t>
      </w:r>
    </w:p>
    <w:p w:rsidR="007E040A" w:rsidRPr="00721A01" w:rsidRDefault="007E040A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 xml:space="preserve">Direcţia </w:t>
      </w:r>
      <w:r w:rsidR="00823E9D" w:rsidRPr="00721A01">
        <w:rPr>
          <w:b/>
          <w:color w:val="000000"/>
          <w:sz w:val="28"/>
          <w:szCs w:val="28"/>
          <w:lang w:val="ro-RO"/>
        </w:rPr>
        <w:t>generală relații</w:t>
      </w:r>
      <w:r w:rsidR="0086432F">
        <w:rPr>
          <w:b/>
          <w:color w:val="000000"/>
          <w:sz w:val="28"/>
          <w:szCs w:val="28"/>
          <w:lang w:val="ro-RO"/>
        </w:rPr>
        <w:t xml:space="preserve"> internaţionale</w:t>
      </w:r>
      <w:r w:rsidRPr="00721A01">
        <w:rPr>
          <w:b/>
          <w:color w:val="000000"/>
          <w:sz w:val="28"/>
          <w:szCs w:val="28"/>
          <w:lang w:val="ro-RO"/>
        </w:rPr>
        <w:t xml:space="preserve"> </w:t>
      </w:r>
    </w:p>
    <w:p w:rsidR="00F20166" w:rsidRPr="00721A01" w:rsidRDefault="00F20166" w:rsidP="003667E7">
      <w:pPr>
        <w:autoSpaceDE w:val="0"/>
        <w:autoSpaceDN w:val="0"/>
        <w:adjustRightInd w:val="0"/>
        <w:ind w:firstLine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legislaţia aplicabilă şi cooperare</w:t>
      </w:r>
    </w:p>
    <w:p w:rsidR="00823E9D" w:rsidRPr="00721A01" w:rsidRDefault="00F20166" w:rsidP="003667E7">
      <w:pPr>
        <w:ind w:firstLine="270"/>
        <w:rPr>
          <w:b/>
          <w:color w:val="000000"/>
          <w:sz w:val="28"/>
          <w:szCs w:val="28"/>
          <w:lang w:val="ro-RO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pensii externe</w:t>
      </w:r>
    </w:p>
    <w:p w:rsidR="00814E2C" w:rsidRPr="00721A01" w:rsidRDefault="00814E2C" w:rsidP="003667E7">
      <w:pPr>
        <w:autoSpaceDE w:val="0"/>
        <w:autoSpaceDN w:val="0"/>
        <w:adjustRightInd w:val="0"/>
        <w:ind w:firstLine="284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Direcţia analiza şi </w:t>
      </w:r>
      <w:r w:rsidR="00F20166"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>monitorizarea</w:t>
      </w: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 </w:t>
      </w:r>
      <w:r w:rsidR="00765D18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implementării </w:t>
      </w: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politicilor </w:t>
      </w:r>
    </w:p>
    <w:p w:rsidR="007E040A" w:rsidRPr="00721A01" w:rsidRDefault="007E040A" w:rsidP="003667E7">
      <w:pPr>
        <w:ind w:firstLine="284"/>
        <w:rPr>
          <w:b/>
          <w:sz w:val="28"/>
          <w:szCs w:val="28"/>
          <w:lang w:val="ro-RO"/>
        </w:rPr>
      </w:pPr>
      <w:r w:rsidRPr="00721A01">
        <w:rPr>
          <w:b/>
          <w:sz w:val="28"/>
          <w:szCs w:val="28"/>
          <w:lang w:val="ro-RO"/>
        </w:rPr>
        <w:t xml:space="preserve">Direcţia </w:t>
      </w:r>
      <w:r w:rsidR="00F20166" w:rsidRPr="00721A01">
        <w:rPr>
          <w:b/>
          <w:sz w:val="28"/>
          <w:szCs w:val="28"/>
          <w:lang w:val="ro-RO"/>
        </w:rPr>
        <w:t xml:space="preserve">generală </w:t>
      </w:r>
      <w:r w:rsidRPr="00721A01">
        <w:rPr>
          <w:b/>
          <w:sz w:val="28"/>
          <w:szCs w:val="28"/>
          <w:lang w:val="ro-RO"/>
        </w:rPr>
        <w:t>audit intern</w:t>
      </w:r>
    </w:p>
    <w:p w:rsidR="00F20166" w:rsidRPr="00721A01" w:rsidRDefault="00F20166" w:rsidP="003667E7">
      <w:pPr>
        <w:autoSpaceDE w:val="0"/>
        <w:autoSpaceDN w:val="0"/>
        <w:adjustRightInd w:val="0"/>
        <w:ind w:firstLine="284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ecţia audit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sisteme operaționale</w:t>
      </w:r>
    </w:p>
    <w:p w:rsidR="00814E2C" w:rsidRPr="00721A01" w:rsidRDefault="00F20166" w:rsidP="003667E7">
      <w:pPr>
        <w:autoSpaceDE w:val="0"/>
        <w:autoSpaceDN w:val="0"/>
        <w:adjustRightInd w:val="0"/>
        <w:ind w:firstLine="284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cţia 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audit sisteme manageriale și de suport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</w:t>
      </w:r>
    </w:p>
    <w:p w:rsidR="007E040A" w:rsidRPr="00721A01" w:rsidRDefault="00814E2C" w:rsidP="003667E7">
      <w:pPr>
        <w:ind w:firstLine="284"/>
        <w:rPr>
          <w:b/>
          <w:color w:val="000000"/>
          <w:sz w:val="28"/>
          <w:szCs w:val="28"/>
          <w:lang w:val="ro-RO"/>
        </w:rPr>
      </w:pPr>
      <w:r w:rsidRPr="00721A01">
        <w:rPr>
          <w:b/>
          <w:color w:val="000000"/>
          <w:sz w:val="28"/>
          <w:szCs w:val="28"/>
          <w:lang w:val="ro-RO"/>
        </w:rPr>
        <w:t>Direcţia</w:t>
      </w:r>
      <w:r w:rsidR="00F20166" w:rsidRPr="00721A01">
        <w:rPr>
          <w:b/>
          <w:color w:val="000000"/>
          <w:sz w:val="28"/>
          <w:szCs w:val="28"/>
          <w:lang w:val="ro-RO"/>
        </w:rPr>
        <w:t xml:space="preserve"> generală</w:t>
      </w:r>
      <w:r w:rsidRPr="00721A01">
        <w:rPr>
          <w:b/>
          <w:color w:val="000000"/>
          <w:sz w:val="28"/>
          <w:szCs w:val="28"/>
          <w:lang w:val="ro-RO"/>
        </w:rPr>
        <w:t xml:space="preserve"> finanţe</w:t>
      </w:r>
    </w:p>
    <w:p w:rsidR="00814E2C" w:rsidRPr="00721A01" w:rsidRDefault="00F20166" w:rsidP="003667E7">
      <w:pPr>
        <w:autoSpaceDE w:val="0"/>
        <w:autoSpaceDN w:val="0"/>
        <w:adjustRightInd w:val="0"/>
        <w:ind w:firstLine="284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evidenţa veniturilor şi cheltuielilor la plata drepturilor sociale </w:t>
      </w:r>
    </w:p>
    <w:p w:rsidR="00814E2C" w:rsidRPr="00721A01" w:rsidRDefault="00F20166" w:rsidP="003667E7">
      <w:pPr>
        <w:autoSpaceDE w:val="0"/>
        <w:autoSpaceDN w:val="0"/>
        <w:adjustRightInd w:val="0"/>
        <w:ind w:left="284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lastRenderedPageBreak/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evidenţa cheltuielilor de administrare a sistemului public de asigurări sociale 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br/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</w:t>
      </w:r>
      <w:r w:rsidR="00814E2C"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 evidenţa cheltuielilor pentru tratament balneosanatorial şi odihna copiilor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Direcţia  generală dezvoltarea sistemelor aplicative şi e-transformare 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Direcţia dezvoltarea sisteme aplicative 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metodologie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e-transformare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>Direcţia  generală administrarea sisteme informaţionale şi suportul infrastructurii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administrarea sistemelor operaţionale şi sistemelor de dirijare a bazelor de date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administrarea sistemelor aplicative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suport infrastructură şi administrarea echipamentelor active de reţea</w:t>
      </w:r>
    </w:p>
    <w:p w:rsidR="00F20166" w:rsidRPr="00721A01" w:rsidRDefault="00F20166" w:rsidP="003667E7">
      <w:pPr>
        <w:autoSpaceDE w:val="0"/>
        <w:autoSpaceDN w:val="0"/>
        <w:adjustRightInd w:val="0"/>
        <w:ind w:left="270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suport sisteme informaţionale şi Help Desk</w:t>
      </w:r>
    </w:p>
    <w:p w:rsidR="00814E2C" w:rsidRPr="00721A01" w:rsidRDefault="00F20166" w:rsidP="003667E7">
      <w:pPr>
        <w:autoSpaceDE w:val="0"/>
        <w:autoSpaceDN w:val="0"/>
        <w:adjustRightInd w:val="0"/>
        <w:ind w:left="57" w:firstLine="227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>Dir</w:t>
      </w:r>
      <w:r w:rsidR="00814E2C"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>ecţia securitate</w:t>
      </w:r>
      <w:r w:rsidR="00450308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>a</w:t>
      </w:r>
      <w:r w:rsidR="00814E2C"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 informaţiei şi datelor cu caracter personal </w:t>
      </w:r>
    </w:p>
    <w:p w:rsidR="00477D4B" w:rsidRPr="00721A01" w:rsidRDefault="00477D4B" w:rsidP="003667E7">
      <w:pPr>
        <w:autoSpaceDE w:val="0"/>
        <w:autoSpaceDN w:val="0"/>
        <w:adjustRightInd w:val="0"/>
        <w:ind w:left="57" w:firstLine="227"/>
        <w:rPr>
          <w:color w:val="000000"/>
          <w:sz w:val="28"/>
          <w:szCs w:val="28"/>
          <w:lang w:val="ro-RO"/>
        </w:rPr>
      </w:pPr>
      <w:r w:rsidRPr="00721A01">
        <w:rPr>
          <w:color w:val="000000"/>
          <w:sz w:val="28"/>
          <w:szCs w:val="28"/>
          <w:lang w:val="ro-RO"/>
        </w:rPr>
        <w:t>Secţia securitatea datelor şi gestiunea accesului</w:t>
      </w:r>
    </w:p>
    <w:p w:rsidR="00477D4B" w:rsidRPr="00721A01" w:rsidRDefault="00721A01" w:rsidP="003667E7">
      <w:pPr>
        <w:autoSpaceDE w:val="0"/>
        <w:autoSpaceDN w:val="0"/>
        <w:adjustRightInd w:val="0"/>
        <w:ind w:left="57" w:firstLine="227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color w:val="000000"/>
          <w:sz w:val="28"/>
          <w:szCs w:val="28"/>
          <w:lang w:val="ro-RO"/>
        </w:rPr>
        <w:t>Secţia control intern şi integritate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Direcţia generală achiziţii publice şi patrimoniu 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Direcţia achiziţii publice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Direcţia gestionarea patrimoniu 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Direcţia  juridică  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monitorizarea procedurilor administrative şi contencios administrativ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asistenţă juridică, reprezentanţă şi legislaţie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gestionarea procedurilor de insolvabilitate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Direcţia resurse umane 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planificarea, asigurarea şi evidenţa personalului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Secţia evaluarea şi motivarea personalului 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Secţia instruirea şi dezvoltarea profesională </w:t>
      </w:r>
    </w:p>
    <w:p w:rsidR="00225B6B" w:rsidRPr="00721A01" w:rsidRDefault="00225B6B" w:rsidP="003667E7">
      <w:pPr>
        <w:autoSpaceDE w:val="0"/>
        <w:autoSpaceDN w:val="0"/>
        <w:adjustRightInd w:val="0"/>
        <w:ind w:left="57" w:firstLine="213"/>
        <w:rPr>
          <w:rFonts w:eastAsiaTheme="minorHAnsi"/>
          <w:b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color w:val="000000"/>
          <w:sz w:val="28"/>
          <w:szCs w:val="28"/>
          <w:lang w:val="ro-RO" w:eastAsia="en-US"/>
        </w:rPr>
        <w:t>Direcția statistică și cheltuieli de organizare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Direcţia comunicare şi relaţii cu publicul 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Secţia comunicare și informare (inclusiv Centr</w:t>
      </w:r>
      <w:r w:rsidR="007942C9">
        <w:rPr>
          <w:rFonts w:eastAsiaTheme="minorHAnsi"/>
          <w:color w:val="000000"/>
          <w:sz w:val="28"/>
          <w:szCs w:val="28"/>
          <w:lang w:val="ro-RO" w:eastAsia="en-US"/>
        </w:rPr>
        <w:t>ul de apel</w:t>
      </w: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>)</w:t>
      </w:r>
    </w:p>
    <w:p w:rsidR="00F20166" w:rsidRPr="00721A01" w:rsidRDefault="00F20166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color w:val="000000"/>
          <w:sz w:val="28"/>
          <w:szCs w:val="28"/>
          <w:lang w:val="ro-RO" w:eastAsia="en-US"/>
        </w:rPr>
        <w:t xml:space="preserve">Secţia managementul documentelor </w:t>
      </w:r>
    </w:p>
    <w:p w:rsidR="00F20166" w:rsidRPr="00721A01" w:rsidRDefault="00F20166" w:rsidP="003667E7">
      <w:pPr>
        <w:autoSpaceDE w:val="0"/>
        <w:autoSpaceDN w:val="0"/>
        <w:adjustRightInd w:val="0"/>
        <w:ind w:firstLine="213"/>
        <w:rPr>
          <w:rFonts w:eastAsiaTheme="minorHAnsi"/>
          <w:b/>
          <w:bCs/>
          <w:color w:val="000000"/>
          <w:sz w:val="28"/>
          <w:szCs w:val="28"/>
          <w:lang w:val="ro-RO" w:eastAsia="en-US"/>
        </w:rPr>
      </w:pPr>
      <w:r w:rsidRPr="00721A01">
        <w:rPr>
          <w:rFonts w:eastAsiaTheme="minorHAnsi"/>
          <w:b/>
          <w:bCs/>
          <w:color w:val="000000"/>
          <w:sz w:val="28"/>
          <w:szCs w:val="28"/>
          <w:lang w:val="ro-RO" w:eastAsia="en-US"/>
        </w:rPr>
        <w:t xml:space="preserve"> Secţia administrativă</w:t>
      </w:r>
    </w:p>
    <w:p w:rsidR="00255E82" w:rsidRPr="00721A01" w:rsidRDefault="00255E82" w:rsidP="003667E7">
      <w:pPr>
        <w:autoSpaceDE w:val="0"/>
        <w:autoSpaceDN w:val="0"/>
        <w:adjustRightInd w:val="0"/>
        <w:ind w:left="57" w:firstLine="213"/>
        <w:rPr>
          <w:rFonts w:eastAsiaTheme="minorHAnsi"/>
          <w:color w:val="000000"/>
          <w:sz w:val="28"/>
          <w:szCs w:val="28"/>
          <w:lang w:val="ro-RO" w:eastAsia="en-US"/>
        </w:rPr>
      </w:pPr>
    </w:p>
    <w:p w:rsidR="007E040A" w:rsidRPr="00721A01" w:rsidRDefault="007E040A" w:rsidP="003667E7">
      <w:pPr>
        <w:jc w:val="both"/>
        <w:rPr>
          <w:b/>
          <w:sz w:val="28"/>
          <w:szCs w:val="28"/>
          <w:lang w:val="ro-RO"/>
        </w:rPr>
      </w:pPr>
    </w:p>
    <w:p w:rsidR="007E040A" w:rsidRPr="00721A01" w:rsidRDefault="007E040A" w:rsidP="003667E7">
      <w:pPr>
        <w:jc w:val="both"/>
        <w:rPr>
          <w:b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p w:rsidR="007E040A" w:rsidRPr="00721A01" w:rsidRDefault="007E040A" w:rsidP="003667E7">
      <w:pPr>
        <w:jc w:val="right"/>
        <w:rPr>
          <w:color w:val="000000"/>
          <w:sz w:val="28"/>
          <w:szCs w:val="28"/>
          <w:lang w:val="ro-RO"/>
        </w:rPr>
      </w:pPr>
    </w:p>
    <w:sectPr w:rsidR="007E040A" w:rsidRPr="00721A01" w:rsidSect="001A090D">
      <w:pgSz w:w="11906" w:h="16838"/>
      <w:pgMar w:top="709" w:right="707" w:bottom="12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E040A"/>
    <w:rsid w:val="00043597"/>
    <w:rsid w:val="00087B96"/>
    <w:rsid w:val="000F303B"/>
    <w:rsid w:val="001661F9"/>
    <w:rsid w:val="001A016D"/>
    <w:rsid w:val="001A090D"/>
    <w:rsid w:val="001B33A8"/>
    <w:rsid w:val="001C44AA"/>
    <w:rsid w:val="001E42D6"/>
    <w:rsid w:val="002027EC"/>
    <w:rsid w:val="00225B6B"/>
    <w:rsid w:val="00255E82"/>
    <w:rsid w:val="002C3FA7"/>
    <w:rsid w:val="002C74DA"/>
    <w:rsid w:val="00363E1F"/>
    <w:rsid w:val="003667E7"/>
    <w:rsid w:val="00370900"/>
    <w:rsid w:val="00450308"/>
    <w:rsid w:val="00477D4B"/>
    <w:rsid w:val="00721A01"/>
    <w:rsid w:val="00741E13"/>
    <w:rsid w:val="0075398F"/>
    <w:rsid w:val="00765D18"/>
    <w:rsid w:val="007942C9"/>
    <w:rsid w:val="007A3B34"/>
    <w:rsid w:val="007E040A"/>
    <w:rsid w:val="00814E2C"/>
    <w:rsid w:val="00823E9D"/>
    <w:rsid w:val="0086432F"/>
    <w:rsid w:val="008D683A"/>
    <w:rsid w:val="009A1A8C"/>
    <w:rsid w:val="00A62343"/>
    <w:rsid w:val="00A90C4E"/>
    <w:rsid w:val="00B063DA"/>
    <w:rsid w:val="00B3532C"/>
    <w:rsid w:val="00B54246"/>
    <w:rsid w:val="00B70650"/>
    <w:rsid w:val="00C4731E"/>
    <w:rsid w:val="00CC2173"/>
    <w:rsid w:val="00EF6765"/>
    <w:rsid w:val="00F20166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A0AC-DFFE-4151-B902-3DACB133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angela.botnariuc</dc:creator>
  <cp:lastModifiedBy>tatiana.casapu</cp:lastModifiedBy>
  <cp:revision>3</cp:revision>
  <cp:lastPrinted>2018-10-10T09:07:00Z</cp:lastPrinted>
  <dcterms:created xsi:type="dcterms:W3CDTF">2020-01-09T09:25:00Z</dcterms:created>
  <dcterms:modified xsi:type="dcterms:W3CDTF">2020-01-09T11:00:00Z</dcterms:modified>
</cp:coreProperties>
</file>