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739" w:rsidRPr="009E1F9F" w:rsidRDefault="00AB4056" w:rsidP="00B3745A">
      <w:pPr>
        <w:tabs>
          <w:tab w:val="center" w:pos="4680"/>
          <w:tab w:val="left" w:pos="6390"/>
        </w:tabs>
        <w:spacing w:after="0" w:line="360" w:lineRule="auto"/>
        <w:ind w:right="57" w:firstLine="284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9E1F9F">
        <w:rPr>
          <w:rFonts w:ascii="Times New Roman" w:hAnsi="Times New Roman"/>
          <w:b/>
          <w:bCs/>
          <w:sz w:val="24"/>
          <w:szCs w:val="24"/>
          <w:lang w:val="ro-MD"/>
        </w:rPr>
        <w:t>NOTA INFORMATIVĂ</w:t>
      </w:r>
    </w:p>
    <w:p w:rsidR="00116859" w:rsidRDefault="00D3460C" w:rsidP="00B3745A">
      <w:pPr>
        <w:tabs>
          <w:tab w:val="center" w:pos="4680"/>
          <w:tab w:val="left" w:pos="6390"/>
        </w:tabs>
        <w:spacing w:after="0" w:line="360" w:lineRule="auto"/>
        <w:ind w:right="57" w:firstLine="284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ro-MD"/>
        </w:rPr>
      </w:pPr>
      <w:r w:rsidRPr="009E1F9F">
        <w:rPr>
          <w:rFonts w:ascii="Times New Roman" w:hAnsi="Times New Roman"/>
          <w:b/>
          <w:sz w:val="24"/>
          <w:szCs w:val="24"/>
          <w:lang w:val="ro-MD"/>
        </w:rPr>
        <w:t>la p</w:t>
      </w:r>
      <w:r w:rsidR="00AB4056" w:rsidRPr="009E1F9F">
        <w:rPr>
          <w:rFonts w:ascii="Times New Roman" w:hAnsi="Times New Roman"/>
          <w:b/>
          <w:sz w:val="24"/>
          <w:szCs w:val="24"/>
          <w:lang w:val="ro-MD"/>
        </w:rPr>
        <w:t xml:space="preserve">roiectul </w:t>
      </w:r>
      <w:r w:rsidR="00F148DF" w:rsidRPr="009E1F9F">
        <w:rPr>
          <w:rFonts w:ascii="Times New Roman" w:hAnsi="Times New Roman"/>
          <w:b/>
          <w:sz w:val="24"/>
          <w:szCs w:val="24"/>
          <w:lang w:val="ro-MD"/>
        </w:rPr>
        <w:t>h</w:t>
      </w:r>
      <w:r w:rsidR="00AB4056" w:rsidRPr="009E1F9F">
        <w:rPr>
          <w:rFonts w:ascii="Times New Roman" w:hAnsi="Times New Roman"/>
          <w:b/>
          <w:sz w:val="24"/>
          <w:szCs w:val="24"/>
          <w:lang w:val="ro-MD"/>
        </w:rPr>
        <w:t>otărârii de Guvern</w:t>
      </w:r>
      <w:r w:rsidR="00646739" w:rsidRPr="009E1F9F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257D1B" w:rsidRPr="009E1F9F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ro-MD"/>
        </w:rPr>
        <w:t>Cu privire la planurile (comanda de stat) de admitere în învățământul superior cu finanțare de la bugetul de stat pentru anul de studii 2022-2023</w:t>
      </w:r>
    </w:p>
    <w:p w:rsidR="00B3745A" w:rsidRPr="009E1F9F" w:rsidRDefault="00B3745A" w:rsidP="00B3745A">
      <w:pPr>
        <w:tabs>
          <w:tab w:val="center" w:pos="4680"/>
          <w:tab w:val="left" w:pos="6390"/>
        </w:tabs>
        <w:spacing w:after="0" w:line="360" w:lineRule="auto"/>
        <w:ind w:right="57" w:firstLine="284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ro-MD"/>
        </w:rPr>
      </w:pPr>
    </w:p>
    <w:tbl>
      <w:tblPr>
        <w:tblW w:w="5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6"/>
      </w:tblGrid>
      <w:tr w:rsidR="00AB4056" w:rsidRPr="00C92B12" w:rsidTr="00BF4C54">
        <w:trPr>
          <w:trHeight w:val="311"/>
        </w:trPr>
        <w:tc>
          <w:tcPr>
            <w:tcW w:w="5000" w:type="pct"/>
          </w:tcPr>
          <w:p w:rsidR="00AB4056" w:rsidRPr="009E1F9F" w:rsidRDefault="00AB4056" w:rsidP="00B3745A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  <w:tab w:val="left" w:pos="1196"/>
              </w:tabs>
              <w:spacing w:after="0" w:line="360" w:lineRule="auto"/>
              <w:ind w:left="0" w:right="57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Denumirea autorului </w:t>
            </w:r>
            <w:r w:rsidR="007B3CC0" w:rsidRPr="009E1F9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și</w:t>
            </w:r>
            <w:r w:rsidRPr="009E1F9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, după caz, a </w:t>
            </w:r>
            <w:r w:rsidR="005206BC" w:rsidRPr="009E1F9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participanților</w:t>
            </w:r>
            <w:r w:rsidRPr="009E1F9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la elaborarea proiectului</w:t>
            </w:r>
          </w:p>
        </w:tc>
      </w:tr>
      <w:tr w:rsidR="00AB4056" w:rsidRPr="00C92B12" w:rsidTr="00BF4C54">
        <w:trPr>
          <w:trHeight w:val="588"/>
        </w:trPr>
        <w:tc>
          <w:tcPr>
            <w:tcW w:w="5000" w:type="pct"/>
          </w:tcPr>
          <w:p w:rsidR="00AB4056" w:rsidRPr="009E1F9F" w:rsidRDefault="00F148DF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 Educației și Cercetării, </w:t>
            </w:r>
            <w:r w:rsidR="00A40E2D" w:rsidRPr="009E1F9F">
              <w:rPr>
                <w:rFonts w:ascii="Times New Roman" w:hAnsi="Times New Roman"/>
                <w:sz w:val="24"/>
                <w:szCs w:val="24"/>
                <w:lang w:val="ro-MD"/>
              </w:rPr>
              <w:t>luând în considerare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propunerile corespunzătoare ale </w:t>
            </w:r>
            <w:r w:rsidR="001C32AC" w:rsidRPr="009E1F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Ministerului Sănătății, Ministerului Agriculturii și Industriei Alimentare</w:t>
            </w:r>
            <w:r w:rsidR="00987A16" w:rsidRPr="009E1F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, Ministerului Afacerilor Interne, Ministerului Apărării, </w:t>
            </w:r>
            <w:r w:rsidR="00987A16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instituțiilor de învățământ superior, Agenției de Ocupare a Forței de Muncă.</w:t>
            </w:r>
          </w:p>
        </w:tc>
      </w:tr>
      <w:tr w:rsidR="00AB4056" w:rsidRPr="00C92B12" w:rsidTr="00BF4C54">
        <w:tc>
          <w:tcPr>
            <w:tcW w:w="5000" w:type="pct"/>
          </w:tcPr>
          <w:p w:rsidR="00AB4056" w:rsidRPr="009E1F9F" w:rsidRDefault="00AB4056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2. </w:t>
            </w:r>
            <w:r w:rsidR="005206BC"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Condițiile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ce au impus elaborarea proiectului de act normativ </w:t>
            </w:r>
            <w:r w:rsidR="005206BC"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și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="005206BC"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finalitățile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urmărite</w:t>
            </w:r>
          </w:p>
        </w:tc>
      </w:tr>
      <w:tr w:rsidR="00AB4056" w:rsidRPr="00C92B12" w:rsidTr="00BF4C54">
        <w:tc>
          <w:tcPr>
            <w:tcW w:w="5000" w:type="pct"/>
          </w:tcPr>
          <w:p w:rsidR="005E13E9" w:rsidRPr="009E1F9F" w:rsidRDefault="005E13E9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>Minist</w:t>
            </w:r>
            <w:r w:rsidR="00242063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>rul Educației și Cercetării elaborează anual planul (comanda de stat) de pregătire a cadrelor de specialitate cu finanțare de la bugetul de stat în învățământul superior, care, conform legislației, se aprobă de Guvern.</w:t>
            </w:r>
          </w:p>
          <w:p w:rsidR="005E13E9" w:rsidRPr="009E1F9F" w:rsidRDefault="00987A16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Proiectul hotărârii </w:t>
            </w:r>
            <w:r w:rsidR="005E13E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de Guvern </w:t>
            </w:r>
            <w:r w:rsidR="005E13E9" w:rsidRPr="009E1F9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  <w:t>Cu privire la planurile (comanda de stat) de admitere în învățământul superior cu finanțare de la bugetul de stat pentru anul de studii 2022-2023</w:t>
            </w:r>
            <w:r w:rsidR="005E13E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este elaborat în temeiul următoarelor </w:t>
            </w:r>
            <w:r w:rsidR="005E13E9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acte normative</w:t>
            </w:r>
            <w:r w:rsidR="005E13E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:</w:t>
            </w:r>
          </w:p>
          <w:p w:rsidR="009B11FD" w:rsidRPr="009E1F9F" w:rsidRDefault="00987A16" w:rsidP="00B3745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0" w:right="57" w:firstLine="284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art.85, alin. (2), art.139, lit. g) din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Codul </w:t>
            </w:r>
            <w:r w:rsidR="005206BC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educației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nr. 152/2014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, potrivit cărora, Guvernul aprobă</w:t>
            </w:r>
            <w:r w:rsidR="00562D58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anual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planul (comanda de stat) de pregătire a cadrelor de specialitate cu finanțare de la bugetul d</w:t>
            </w:r>
            <w:r w:rsidR="005E13E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e stat în învățământul superior</w:t>
            </w:r>
            <w:r w:rsidR="005E13E9"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; </w:t>
            </w:r>
          </w:p>
          <w:p w:rsidR="009B11FD" w:rsidRPr="009E1F9F" w:rsidRDefault="009B11FD" w:rsidP="00B3745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0" w:right="57" w:firstLine="284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</w:t>
            </w:r>
            <w:r w:rsidR="006D0358"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lanul de Activitate a Guvernului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cap. </w:t>
            </w:r>
            <w:r w:rsidRPr="009E1F9F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Educație și Cercetare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17.20.1. Aprobarea comenzii de stat (plan de admitere) pentru studii superioare de licență și master pentru anul de studii 2022-2023, cu ponderea de 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25% din totalul locurilor bugetare pentru specialitățile pedagogice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; dar și cap. 19.21. </w:t>
            </w:r>
            <w:r w:rsidRPr="009E1F9F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Reforma sistemului de învățământ artistic</w:t>
            </w:r>
            <w:r w:rsidR="00C92B12">
              <w:rPr>
                <w:rFonts w:ascii="Times New Roman" w:hAnsi="Times New Roman"/>
                <w:sz w:val="24"/>
                <w:szCs w:val="24"/>
                <w:lang w:val="ro-MD"/>
              </w:rPr>
              <w:t>;</w:t>
            </w:r>
          </w:p>
          <w:p w:rsidR="008A3FA2" w:rsidRPr="009E1F9F" w:rsidRDefault="009B11FD" w:rsidP="00B3745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0" w:right="57" w:firstLine="284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Regulamentul cu privire la efectele juridice ale actelor de studii eliberate de instituțiile de învățământ din raioanele de Est ale Repu</w:t>
            </w:r>
            <w:r w:rsidR="00924DDB" w:rsidRPr="009E1F9F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blicii Moldova și orașul Bender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>, aprobat prin ordinul Ministerului Educației</w:t>
            </w:r>
            <w:r w:rsidR="00E03781"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Tineretului nr.20/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>2004;</w:t>
            </w:r>
          </w:p>
          <w:p w:rsidR="00C35DB8" w:rsidRPr="009E1F9F" w:rsidRDefault="005E13E9" w:rsidP="00B3745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0" w:right="57" w:firstLine="284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Regulamentul cu privire la studiile străinilor în instituțiile de învățământ din Republica Moldova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>, aprobat prin Hot</w:t>
            </w:r>
            <w:r w:rsidR="00C35DB8" w:rsidRPr="009E1F9F">
              <w:rPr>
                <w:rFonts w:ascii="Times New Roman" w:hAnsi="Times New Roman"/>
                <w:sz w:val="24"/>
                <w:szCs w:val="24"/>
                <w:lang w:val="ro-MD"/>
              </w:rPr>
              <w:t>ărârea Guvernului nr. 504/2017;</w:t>
            </w:r>
          </w:p>
          <w:p w:rsidR="005E13E9" w:rsidRPr="009E1F9F" w:rsidRDefault="00C35DB8" w:rsidP="00B3745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0" w:right="57" w:firstLine="284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>Hotărârea Gu</w:t>
            </w:r>
            <w:r w:rsidR="00E03781" w:rsidRPr="009E1F9F">
              <w:rPr>
                <w:rFonts w:ascii="Times New Roman" w:hAnsi="Times New Roman"/>
                <w:sz w:val="24"/>
                <w:szCs w:val="24"/>
                <w:lang w:val="ro-MD"/>
              </w:rPr>
              <w:t>vernului nr. 482/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>2017 pentru aprobarea</w:t>
            </w:r>
            <w:r w:rsidRPr="009E1F9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MD"/>
              </w:rPr>
              <w:t xml:space="preserve"> Nomenclatorului domeniilor de formare profesională și al specialităților în învățământul superior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:rsidR="00987A16" w:rsidRPr="009E1F9F" w:rsidRDefault="00987A16" w:rsidP="00B3745A">
            <w:pPr>
              <w:spacing w:after="0" w:line="360" w:lineRule="auto"/>
              <w:ind w:right="57" w:firstLine="2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La elaborarea proiectului s-a ținut cont de următoarele aspecte:</w:t>
            </w:r>
          </w:p>
          <w:p w:rsidR="009B11FD" w:rsidRPr="009E1F9F" w:rsidRDefault="009B11FD" w:rsidP="00B3745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0"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Necesitățile pieței forței de muncă, constatate în urma analizei prognozei pieței muncii, elaborată de către Agenția Națională pentru Ocuparea Forței de Muncă, precum și de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necesarul le cadre pedagogice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, prezentat de către organele locale de specialitate  în domeniul învățământului,</w:t>
            </w:r>
          </w:p>
          <w:p w:rsidR="009B11FD" w:rsidRPr="009E1F9F" w:rsidRDefault="009B11FD" w:rsidP="00B3745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0"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Propunerile ministerelor și instituțiilor de învățământ superior,</w:t>
            </w:r>
          </w:p>
          <w:p w:rsidR="009B11FD" w:rsidRPr="009E1F9F" w:rsidRDefault="009B11FD" w:rsidP="00B3745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0"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lastRenderedPageBreak/>
              <w:t>Acreditările, autorizările provizorii a programelor de studii;</w:t>
            </w:r>
          </w:p>
          <w:p w:rsidR="009B11FD" w:rsidRPr="009E1F9F" w:rsidRDefault="009B11FD" w:rsidP="00B3745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0"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Rezultatele admiterii la studii în anul de studii 2021-2022.</w:t>
            </w:r>
          </w:p>
          <w:p w:rsidR="00D20A5C" w:rsidRPr="009E1F9F" w:rsidRDefault="00562D58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Totodată, în </w:t>
            </w:r>
            <w:r w:rsidR="00B2756A"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Acordul de finanțare dintre Republica Moldova și Asociația Internațională pentru Dezvoltare privind implementarea </w:t>
            </w:r>
            <w:r w:rsidR="00B2756A"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Proiectului Învățământul Superior</w:t>
            </w:r>
            <w:r w:rsidR="00B2756A"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</w:t>
            </w:r>
            <w:r w:rsidR="00AB7A64"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ratificat de </w:t>
            </w:r>
            <w:r w:rsidR="00B2756A"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Parlamentul Republicii Moldova </w:t>
            </w:r>
            <w:r w:rsidR="00AB7A64"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la </w:t>
            </w:r>
            <w:r w:rsidR="00B2756A" w:rsidRPr="009E1F9F">
              <w:rPr>
                <w:rFonts w:ascii="Times New Roman" w:hAnsi="Times New Roman"/>
                <w:sz w:val="24"/>
                <w:szCs w:val="24"/>
                <w:lang w:val="ro-MD"/>
              </w:rPr>
              <w:t>19 mai</w:t>
            </w:r>
            <w:r w:rsidR="00D20A5C"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2020, sunt stabilite domeniile strategice țintă, și anume: </w:t>
            </w:r>
            <w:r w:rsidR="00D20A5C"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pedagogie, inginerie, tehnologii informaționale </w:t>
            </w:r>
            <w:r w:rsidR="00D20A5C" w:rsidRPr="0030651E">
              <w:rPr>
                <w:rFonts w:ascii="Times New Roman" w:hAnsi="Times New Roman"/>
                <w:sz w:val="24"/>
                <w:szCs w:val="24"/>
                <w:lang w:val="ro-MD"/>
              </w:rPr>
              <w:t>și</w:t>
            </w:r>
            <w:r w:rsidR="00D20A5C"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medicină.</w:t>
            </w:r>
          </w:p>
          <w:p w:rsidR="00A96932" w:rsidRPr="009E1F9F" w:rsidRDefault="00987A16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În </w:t>
            </w:r>
            <w:r w:rsidR="00D20A5C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acest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context,</w:t>
            </w:r>
            <w:r w:rsidR="00D20A5C"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dar și reieșind din</w:t>
            </w:r>
            <w:r w:rsidR="001F5EF0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necesitățile piețe</w:t>
            </w:r>
            <w:r w:rsidR="00D20A5C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i forței de muncă,</w:t>
            </w:r>
            <w:r w:rsidR="00D20A5C"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D20A5C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proiectul Comenzii de Stat susține prioritar domeniile: </w:t>
            </w:r>
            <w:r w:rsidR="00D20A5C" w:rsidRPr="009E1F9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  <w:t>Științe ale Educației, Inginerie, TIC, Medicină</w:t>
            </w:r>
            <w:r w:rsidR="00D20A5C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. </w:t>
            </w:r>
          </w:p>
          <w:p w:rsidR="006E0099" w:rsidRPr="009E1F9F" w:rsidRDefault="00BC52BA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</w:pP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Hotărârea de Guvern </w:t>
            </w:r>
            <w:r w:rsidR="00A96932" w:rsidRPr="009E1F9F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ro-MD"/>
              </w:rPr>
              <w:t xml:space="preserve">Cu privire la planurile (comanda de stat) de admitere în învățământul superior cu finanțare de la bugetul de stat pentru anul de studii 2022-2023 </w:t>
            </w:r>
            <w:r w:rsidRPr="009E1F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/>
              </w:rPr>
              <w:t>urmează să</w:t>
            </w:r>
            <w:r w:rsidRPr="009E1F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intre în vigoare la data publicării în Monitorul Oficial al Republicii Moldova, în condițiile statuate de </w:t>
            </w:r>
            <w:r w:rsidRPr="009E1F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art. 56, alin.(1), din 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Legea nr. 100/2017</w:t>
            </w:r>
            <w:r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, potrivit căreia, actele normative intră în vigoare peste o lună de la data publicării în Monitorul Oficial al Republicii Moldova </w:t>
            </w:r>
            <w:r w:rsidRPr="009E1F9F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sau la data indicată în textul actului normativ, care nu poate fi anterioară datei publicării. </w:t>
            </w:r>
          </w:p>
          <w:p w:rsidR="00116859" w:rsidRPr="009E1F9F" w:rsidRDefault="00BC52BA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</w:pPr>
            <w:r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Prevederea dată este </w:t>
            </w:r>
            <w:r w:rsidRPr="009E1F9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justificată de </w:t>
            </w:r>
            <w:r w:rsidR="005206BC" w:rsidRPr="009E1F9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ro-MD"/>
              </w:rPr>
              <w:t>circumstanțe</w:t>
            </w:r>
            <w:r w:rsidR="007C082E" w:rsidRPr="009E1F9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ro-MD"/>
              </w:rPr>
              <w:t xml:space="preserve"> obiective</w:t>
            </w:r>
            <w:r w:rsidR="007C082E" w:rsidRPr="009E1F9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, și anume,</w:t>
            </w:r>
            <w:r w:rsidR="007C082E"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necesitatea elaborării </w:t>
            </w:r>
            <w:r w:rsidR="007C082E"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imediate a</w:t>
            </w:r>
            <w:r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>ordinelor de admitere</w:t>
            </w:r>
            <w:r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la studii superioare </w:t>
            </w:r>
            <w:r w:rsidR="009B11FD"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pentru fiecare instituție de învățământ superior pe cicluri universitare</w:t>
            </w:r>
            <w:r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, dar și de </w:t>
            </w:r>
            <w:r w:rsidR="007B3CC0"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necesitatea</w:t>
            </w:r>
            <w:r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="007B3CC0" w:rsidRPr="009E1F9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ro-MD"/>
              </w:rPr>
              <w:t>repartizării de către instituții a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ro-MD"/>
              </w:rPr>
              <w:t xml:space="preserve"> locurilor bugetare și cu taxă</w:t>
            </w:r>
            <w:r w:rsidRPr="009E1F9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 pe </w:t>
            </w:r>
            <w:r w:rsidR="007C082E" w:rsidRPr="009E1F9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cicluri de studii (licență, master, rezidențiat, secundariat clinic), </w:t>
            </w:r>
            <w:r w:rsidRPr="009E1F9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domenii și programe de studii, forme de învățământ, cote-părți și limba de instruire</w:t>
            </w:r>
            <w:r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organizării</w:t>
            </w:r>
            <w:r w:rsidR="007C082E"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, pe specialități/domenii pentru candi</w:t>
            </w:r>
            <w:r w:rsidR="002B1548"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dații din raioanele de est ale R</w:t>
            </w:r>
            <w:r w:rsidR="007C082E"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epublicii, precum și pentru cetățenii străini, stabilirea probelor</w:t>
            </w:r>
            <w:r w:rsidR="00617155"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, organizarea procesului de admitere pe sesiuni</w:t>
            </w:r>
            <w:r w:rsidRPr="009E1F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etc.</w:t>
            </w:r>
          </w:p>
        </w:tc>
      </w:tr>
      <w:tr w:rsidR="00AB4056" w:rsidRPr="00C92B12" w:rsidTr="00BF4C54">
        <w:tc>
          <w:tcPr>
            <w:tcW w:w="5000" w:type="pct"/>
          </w:tcPr>
          <w:p w:rsidR="00AB4056" w:rsidRPr="009E1F9F" w:rsidRDefault="00AB4056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 xml:space="preserve">3. Descrierea gradului de compatibilitate pentru proiectele care au ca scop armonizarea </w:t>
            </w:r>
            <w:r w:rsidR="005206BC"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legislației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="005206BC"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naționale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cu </w:t>
            </w:r>
            <w:r w:rsidR="005206BC"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legislația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Uniunii Europene</w:t>
            </w:r>
          </w:p>
        </w:tc>
      </w:tr>
      <w:tr w:rsidR="00AB4056" w:rsidRPr="00C92B12" w:rsidTr="00BF4C54">
        <w:tc>
          <w:tcPr>
            <w:tcW w:w="5000" w:type="pct"/>
          </w:tcPr>
          <w:p w:rsidR="00AB4056" w:rsidRPr="009E1F9F" w:rsidRDefault="00AB4056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>Prezentul proiect de Hotărâre nu contravine legislației Uniunii Europene.</w:t>
            </w:r>
          </w:p>
        </w:tc>
      </w:tr>
      <w:tr w:rsidR="00AB4056" w:rsidRPr="00C92B12" w:rsidTr="00BF4C54">
        <w:trPr>
          <w:trHeight w:val="410"/>
        </w:trPr>
        <w:tc>
          <w:tcPr>
            <w:tcW w:w="5000" w:type="pct"/>
          </w:tcPr>
          <w:p w:rsidR="00AB4056" w:rsidRPr="009E1F9F" w:rsidRDefault="00AB4056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4. Principalele prevederi ale proiectului </w:t>
            </w:r>
            <w:r w:rsidR="005206BC"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și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="005206BC"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evidențierea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elementelor noi</w:t>
            </w:r>
          </w:p>
        </w:tc>
      </w:tr>
      <w:tr w:rsidR="00AB4056" w:rsidRPr="00C92B12" w:rsidTr="00BF4C54">
        <w:trPr>
          <w:trHeight w:val="260"/>
        </w:trPr>
        <w:tc>
          <w:tcPr>
            <w:tcW w:w="5000" w:type="pct"/>
          </w:tcPr>
          <w:p w:rsidR="00D43664" w:rsidRPr="009E1F9F" w:rsidRDefault="00646739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Conform proiectului hotărârii Guvernului, se propune aprobarea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Comenzii de Stat 202</w:t>
            </w:r>
            <w:r w:rsidR="00642831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2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, în limita </w:t>
            </w:r>
            <w:r w:rsidR="00173732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alocațiilor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bugetare aprobate în acest scop</w:t>
            </w:r>
            <w:r w:rsidR="00173732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,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pentru </w:t>
            </w:r>
            <w:r w:rsidR="00C92B1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ro-MD"/>
              </w:rPr>
              <w:t>8682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locuri bugetare în total</w:t>
            </w:r>
            <w:r w:rsidR="00173732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,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după cum urmează:</w:t>
            </w:r>
            <w:r w:rsidR="00C84893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</w:p>
          <w:p w:rsidR="00646739" w:rsidRPr="009E1F9F" w:rsidRDefault="00646739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În învățământul superior,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planul de admitere </w:t>
            </w:r>
            <w:r w:rsidR="00C35DB8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pentru ciclul I – licență, studii superioare integrate (licență + master) și ciclul II - master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este elaborat în baza </w:t>
            </w:r>
            <w:r w:rsidRPr="009E1F9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MD"/>
              </w:rPr>
              <w:t xml:space="preserve">Nomenclatorului domeniilor de formare profesională </w:t>
            </w:r>
            <w:r w:rsidR="005206BC" w:rsidRPr="009E1F9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MD"/>
              </w:rPr>
              <w:t>și</w:t>
            </w:r>
            <w:r w:rsidRPr="009E1F9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MD"/>
              </w:rPr>
              <w:t xml:space="preserve"> al </w:t>
            </w:r>
            <w:r w:rsidR="005206BC" w:rsidRPr="009E1F9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MD"/>
              </w:rPr>
              <w:t>specialităților</w:t>
            </w:r>
            <w:r w:rsidRPr="009E1F9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MD"/>
              </w:rPr>
              <w:t> în învățământul superior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, aprobat prin Hotărâr</w:t>
            </w:r>
            <w:r w:rsidR="00F73535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ea Guvernului nr. 482/2017, cu modificările ulterioare.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Și în acest an, se propune aprobarea Planului de admitere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pe domenii generale de studiu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pentru a oferi posibilitate universităților să înmatriculeze în funcție de solicitările candidaților, dar și să poată forma grupe academice, conform cadrului normativ. </w:t>
            </w:r>
          </w:p>
          <w:p w:rsidR="0009076E" w:rsidRPr="009E1F9F" w:rsidRDefault="0009076E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lastRenderedPageBreak/>
              <w:t>În conformitate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cu 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Planul de Activitate a Guvernului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cu cerințele pieței muncii, dar și rezultatele admiterii la studii superioare în anul precedent de studii,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Comanda de stat 2022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la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ro-MD"/>
              </w:rPr>
              <w:t>ciclul I, licență, și la ciclul II, master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, susține prioritar domeniile: </w:t>
            </w:r>
            <w:r w:rsidRPr="009E1F9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o-MD"/>
              </w:rPr>
              <w:t>Științe ale Educației</w:t>
            </w:r>
            <w:r w:rsidRPr="009E1F9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(</w:t>
            </w:r>
            <w:r w:rsidR="00C92B1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2094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>–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cca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26%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din totalul locurilor bugetare), </w:t>
            </w:r>
            <w:r w:rsidRPr="009E1F9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o-MD"/>
              </w:rPr>
              <w:t>Inginerie, Tehnologii și Arhitectură</w:t>
            </w:r>
            <w:r w:rsidRPr="009E1F9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(</w:t>
            </w:r>
            <w:r w:rsidR="00CF3DC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1557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– cca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1</w:t>
            </w:r>
            <w:r w:rsidR="00F67E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9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%);</w:t>
            </w:r>
            <w:r w:rsidRPr="009E1F9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MD"/>
              </w:rPr>
              <w:t>Tehnologii ale informației și comunicațiilor</w:t>
            </w:r>
            <w:r w:rsidRPr="009E1F9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(</w:t>
            </w:r>
            <w:r w:rsidR="00CF3DC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845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– </w:t>
            </w:r>
            <w:r w:rsidR="00CF3DC6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cca </w:t>
            </w:r>
            <w:r w:rsidR="00CF3DC6" w:rsidRPr="00CF3DC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11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%)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;</w:t>
            </w:r>
            <w:r w:rsidRPr="009E1F9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o-MD"/>
              </w:rPr>
              <w:t>Medicină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(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915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(+rezidențiat</w:t>
            </w:r>
            <w:r w:rsidR="0030651E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și secundariat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)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–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11%)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;</w:t>
            </w:r>
            <w:r w:rsidRPr="009E1F9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o-MD"/>
              </w:rPr>
              <w:t>Științe agricole și medicină veterinară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și</w:t>
            </w:r>
            <w:r w:rsidRPr="009E1F9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o-MD"/>
              </w:rPr>
              <w:t>Științe ale mediului</w:t>
            </w:r>
            <w:r w:rsidRPr="009E1F9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(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309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–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cca 4%)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.  </w:t>
            </w:r>
          </w:p>
          <w:p w:rsidR="00B47166" w:rsidRPr="009E1F9F" w:rsidRDefault="00D74DB7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>Anexa 1</w:t>
            </w:r>
            <w:r w:rsidR="006B75F7" w:rsidRPr="009E1F9F"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>.</w:t>
            </w:r>
            <w:r w:rsidR="006B75F7" w:rsidRPr="009E1F9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203CCF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C</w:t>
            </w:r>
            <w:r w:rsidR="0064673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omanda de stat pentru</w:t>
            </w:r>
            <w:r w:rsidR="00646739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B47166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Ciclul I-</w:t>
            </w:r>
            <w:r w:rsidR="00646739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studii superioare de licență </w:t>
            </w:r>
            <w:r w:rsidR="0064673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și</w:t>
            </w:r>
            <w:r w:rsidR="00646739"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646739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studii superioare</w:t>
            </w:r>
            <w:r w:rsidR="0064673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646739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integrate </w:t>
            </w:r>
            <w:r w:rsidR="0064673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prevede admiterea la </w:t>
            </w:r>
            <w:r w:rsidR="00646739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26 de domenii generale de studiu</w:t>
            </w:r>
            <w:r w:rsidR="0064673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a </w:t>
            </w:r>
            <w:r w:rsidR="00CF3DC6">
              <w:rPr>
                <w:rFonts w:ascii="Times New Roman" w:hAnsi="Times New Roman"/>
                <w:b/>
                <w:bCs/>
                <w:sz w:val="24"/>
                <w:szCs w:val="24"/>
                <w:lang w:val="ro-MD" w:eastAsia="zh-CN"/>
              </w:rPr>
              <w:t>5257</w:t>
            </w:r>
            <w:r w:rsidR="0064673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de persoane</w:t>
            </w:r>
            <w:r w:rsidR="007A0B03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: </w:t>
            </w:r>
            <w:r w:rsidR="001A7948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per total, </w:t>
            </w:r>
            <w:r w:rsidR="00B44BE5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la ciclul I, </w:t>
            </w:r>
            <w:r w:rsidR="00CF3DC6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mai mult cu 217</w:t>
            </w:r>
            <w:r w:rsidR="00B47166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locuri comparativ cu anul trecut</w:t>
            </w:r>
            <w:r w:rsidR="005206BC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. Totodată,</w:t>
            </w:r>
            <w:r w:rsidR="00C95124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5206BC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au fost redirecționate</w:t>
            </w:r>
            <w:r w:rsidR="001A7948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5 locuri la </w:t>
            </w:r>
            <w:r w:rsidR="005206BC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domeniul </w:t>
            </w:r>
            <w:r w:rsidR="001A7948" w:rsidRPr="00520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o-MD"/>
              </w:rPr>
              <w:t>Sănătate</w:t>
            </w:r>
            <w:r w:rsidR="001A7948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, de la licență</w:t>
            </w:r>
            <w:r w:rsidR="007A0B03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1A7948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-</w:t>
            </w:r>
            <w:r w:rsidR="007A0B03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1A7948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la master</w:t>
            </w:r>
            <w:r w:rsidR="00CF3DC6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.</w:t>
            </w:r>
            <w:r w:rsidR="0064673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</w:p>
          <w:p w:rsidR="00523C87" w:rsidRPr="009E1F9F" w:rsidRDefault="00714ABB" w:rsidP="00B3745A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1.1. </w:t>
            </w:r>
            <w:r w:rsidR="00CF3DC6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În acest context</w:t>
            </w:r>
            <w:r w:rsidR="00523C87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, </w:t>
            </w:r>
          </w:p>
          <w:p w:rsidR="00AD34F7" w:rsidRPr="009E1F9F" w:rsidRDefault="00AD34F7" w:rsidP="00B3745A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- </w:t>
            </w:r>
            <w:r w:rsidR="00523C87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având în vedere </w:t>
            </w:r>
            <w:r w:rsidR="00523C87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necesitatea stringentă de cadre didactice</w:t>
            </w:r>
            <w:r w:rsidR="00523C87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în învățământul general (</w:t>
            </w:r>
            <w:r w:rsidR="00523C87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2161 de posturi vacante </w:t>
            </w:r>
            <w:r w:rsidR="00523C87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pentru </w:t>
            </w:r>
            <w:r w:rsidR="00523C87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educatori (256), învățători (159), profesori de matematică (211), </w:t>
            </w:r>
            <w:r w:rsidR="00523C87" w:rsidRPr="004D00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limba română </w:t>
            </w:r>
            <w:r w:rsidR="004D00F3" w:rsidRPr="004D00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(128), educație</w:t>
            </w:r>
            <w:r w:rsidR="00523C87" w:rsidRPr="004D00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fizică</w:t>
            </w:r>
            <w:r w:rsidR="004D00F3" w:rsidRPr="004D00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523C87" w:rsidRPr="004D00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(96),</w:t>
            </w:r>
            <w:r w:rsidR="00523C87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523C87" w:rsidRPr="004D00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limbi străine, fizică, chimie, biologie</w:t>
            </w:r>
            <w:r w:rsidR="00523C87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etc.); </w:t>
            </w:r>
          </w:p>
          <w:p w:rsidR="00CF3DC6" w:rsidRDefault="00AD34F7" w:rsidP="00B3745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- </w:t>
            </w:r>
            <w:r w:rsidR="00711742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luând în considerare</w:t>
            </w:r>
            <w:r w:rsidR="00523C87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523C87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necesitatea stringentă</w:t>
            </w:r>
            <w:r w:rsidR="00711742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a</w:t>
            </w:r>
            <w:r w:rsidR="00523C87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interpreților limbajului </w:t>
            </w:r>
            <w:proofErr w:type="spellStart"/>
            <w:r w:rsidR="00523C87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mimico</w:t>
            </w:r>
            <w:proofErr w:type="spellEnd"/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523C87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-gestual,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logopezilor, psihopedagogilor pentru copiii cu cerințe educaționale speciale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,</w:t>
            </w:r>
            <w:r w:rsidR="00711742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inclusiv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E86FFF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specialiștilor </w:t>
            </w:r>
            <w:r w:rsidR="00523C87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în</w:t>
            </w:r>
            <w:r w:rsidRPr="009E1F9F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hyperlink r:id="rId6" w:history="1">
              <w:r w:rsidRPr="009E1F9F">
                <w:rPr>
                  <w:rFonts w:ascii="Times New Roman" w:hAnsi="Times New Roman"/>
                  <w:b/>
                  <w:color w:val="000000" w:themeColor="text1"/>
                  <w:sz w:val="24"/>
                  <w:szCs w:val="24"/>
                  <w:lang w:val="ro-MD"/>
                </w:rPr>
                <w:t xml:space="preserve">cadrul </w:t>
              </w:r>
              <w:r w:rsidRPr="009E1F9F">
                <w:rPr>
                  <w:rFonts w:ascii="Times New Roman" w:hAnsi="Times New Roman"/>
                  <w:b/>
                  <w:sz w:val="24"/>
                  <w:szCs w:val="24"/>
                  <w:u w:val="single"/>
                  <w:lang w:val="ro-MD"/>
                </w:rPr>
                <w:t xml:space="preserve">Centrelor </w:t>
              </w:r>
              <w:r w:rsidRPr="009E1F9F">
                <w:rPr>
                  <w:rFonts w:ascii="Times New Roman" w:eastAsia="Times New Roman" w:hAnsi="Times New Roman"/>
                  <w:b/>
                  <w:sz w:val="24"/>
                  <w:szCs w:val="24"/>
                  <w:u w:val="single"/>
                  <w:shd w:val="clear" w:color="auto" w:fill="FFFFFF"/>
                  <w:lang w:val="ro-MD"/>
                </w:rPr>
                <w:t xml:space="preserve">de asistență </w:t>
              </w:r>
              <w:proofErr w:type="spellStart"/>
              <w:r w:rsidRPr="009E1F9F">
                <w:rPr>
                  <w:rFonts w:ascii="Times New Roman" w:eastAsia="Times New Roman" w:hAnsi="Times New Roman"/>
                  <w:b/>
                  <w:sz w:val="24"/>
                  <w:szCs w:val="24"/>
                  <w:u w:val="single"/>
                  <w:shd w:val="clear" w:color="auto" w:fill="FFFFFF"/>
                  <w:lang w:val="ro-MD"/>
                </w:rPr>
                <w:t>psiho</w:t>
              </w:r>
              <w:proofErr w:type="spellEnd"/>
              <w:r w:rsidRPr="009E1F9F">
                <w:rPr>
                  <w:rFonts w:ascii="Times New Roman" w:eastAsia="Times New Roman" w:hAnsi="Times New Roman"/>
                  <w:b/>
                  <w:sz w:val="24"/>
                  <w:szCs w:val="24"/>
                  <w:u w:val="single"/>
                  <w:shd w:val="clear" w:color="auto" w:fill="FFFFFF"/>
                  <w:lang w:val="ro-MD"/>
                </w:rPr>
                <w:t>-pedagogică</w:t>
              </w:r>
              <w:r w:rsidRPr="009E1F9F">
                <w:rPr>
                  <w:rFonts w:ascii="Times New Roman" w:eastAsia="Times New Roman" w:hAnsi="Times New Roman"/>
                  <w:b/>
                  <w:sz w:val="24"/>
                  <w:szCs w:val="24"/>
                  <w:shd w:val="clear" w:color="auto" w:fill="FFFFFF"/>
                  <w:lang w:val="ro-MD"/>
                </w:rPr>
                <w:t xml:space="preserve">, </w:t>
              </w:r>
            </w:hyperlink>
          </w:p>
          <w:p w:rsidR="00714ABB" w:rsidRPr="009E1F9F" w:rsidRDefault="00AD34F7" w:rsidP="00B3745A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se </w:t>
            </w:r>
            <w:r w:rsidR="00523C87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propune majorarea numărului de locuri bugetare pentru </w:t>
            </w:r>
            <w:r w:rsidR="00523C87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Științele educației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cu </w:t>
            </w:r>
            <w:r w:rsidR="00CF3DC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145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de locuri bugetare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(</w:t>
            </w:r>
            <w:r w:rsidRPr="004D00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20 la licență </w:t>
            </w:r>
            <w:r w:rsidRPr="004D00F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și</w:t>
            </w:r>
            <w:r w:rsidRPr="004D00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CF3DC6" w:rsidRPr="004D00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125</w:t>
            </w:r>
            <w:r w:rsidR="00714ABB" w:rsidRPr="004D00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la master</w:t>
            </w:r>
            <w:r w:rsidR="00714ABB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), dar și majorarea la ciclul I cu </w:t>
            </w:r>
            <w:r w:rsidR="00B3745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20</w:t>
            </w:r>
            <w:r w:rsidR="00714ABB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locuri</w:t>
            </w:r>
            <w:r w:rsidR="00714ABB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bugetare la </w:t>
            </w:r>
            <w:r w:rsidR="00714ABB" w:rsidRPr="009E1F9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o-MD"/>
              </w:rPr>
              <w:t>Asistența socială</w:t>
            </w:r>
            <w:r w:rsidR="00714ABB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:rsidR="00714ABB" w:rsidRPr="009E1F9F" w:rsidRDefault="00714ABB" w:rsidP="00B3745A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1.2.</w:t>
            </w:r>
            <w:r w:rsidR="007A082F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Totodată, în temeiul </w:t>
            </w:r>
            <w:r w:rsidR="000D4191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Reformei</w:t>
            </w:r>
            <w:r w:rsidR="007A082F" w:rsidRPr="009E1F9F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sistemului de învățământ artistic</w:t>
            </w:r>
            <w:r w:rsidR="007A082F" w:rsidRPr="009E1F9F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:rsidR="00714ABB" w:rsidRPr="009E1F9F" w:rsidRDefault="00714ABB" w:rsidP="00B3745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</w:t>
            </w:r>
            <w:r w:rsidR="007A082F"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reieșind din faptul că </w:t>
            </w:r>
            <w:r w:rsidR="007A082F" w:rsidRPr="009E1F9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MD"/>
              </w:rPr>
              <w:t>Nomenclatorul domeniilor de formare profesională și al specialităților în învățământul superior</w:t>
            </w:r>
            <w:r w:rsidR="007A082F"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(HG nr. 482/2017) a fost completat cu 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3 programe noi la ciclul I –licență, în domeniul </w:t>
            </w:r>
            <w:r w:rsidRPr="009E1F9F">
              <w:rPr>
                <w:rFonts w:ascii="Times New Roman" w:hAnsi="Times New Roman"/>
                <w:b/>
                <w:iCs/>
                <w:sz w:val="24"/>
                <w:szCs w:val="24"/>
                <w:lang w:val="ro-MD"/>
              </w:rPr>
              <w:t>021 Arte</w:t>
            </w:r>
            <w:r w:rsidRPr="009E1F9F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- </w:t>
            </w:r>
            <w:r w:rsidRPr="009E1F9F">
              <w:rPr>
                <w:rFonts w:ascii="Times New Roman" w:eastAsia="Times New Roman" w:hAnsi="Times New Roman"/>
                <w:i/>
                <w:sz w:val="24"/>
                <w:szCs w:val="24"/>
                <w:lang w:val="ro-MD"/>
              </w:rPr>
              <w:t>Producție multimedia</w:t>
            </w:r>
            <w:r w:rsidRPr="009E1F9F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</w:t>
            </w:r>
            <w:r w:rsidRPr="009E1F9F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Designul jocurilor, Animație,</w:t>
            </w:r>
            <w:r w:rsidRPr="009E1F9F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:rsidR="00714ABB" w:rsidRPr="009E1F9F" w:rsidRDefault="00714ABB" w:rsidP="00B3745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9E1F9F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- luând în considerare existența cererilor angajatorilor din câmpul muncii în vederea pregătirii specialiștilor, precum </w:t>
            </w:r>
            <w:r w:rsidRPr="009E1F9F">
              <w:rPr>
                <w:rFonts w:ascii="Times New Roman" w:eastAsia="Times New Roman" w:hAnsi="Times New Roman"/>
                <w:i/>
                <w:sz w:val="24"/>
                <w:szCs w:val="24"/>
                <w:lang w:val="ro-MD"/>
              </w:rPr>
              <w:t xml:space="preserve">dezvoltator multimedia, designer multimedia, consultanți în domeniul digital, dezvoltator de conținuturi online </w:t>
            </w:r>
            <w:r w:rsidRPr="009E1F9F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etc. </w:t>
            </w:r>
          </w:p>
          <w:p w:rsidR="00F4794C" w:rsidRDefault="00714ABB" w:rsidP="00B3745A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- </w:t>
            </w:r>
            <w:r w:rsidR="00F4794C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având în vedere </w:t>
            </w:r>
            <w:r w:rsidRPr="009E1F9F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dezvoltarea în Republica Moldova a companiilor de creație, inclusiv cu investiții străine, 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se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propune majorarea numărului de locuri bugetare pentru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domeniul Arte, la ciclul I,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cu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48 de locuri bugetare.</w:t>
            </w:r>
            <w:r w:rsidR="00F4794C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</w:p>
          <w:p w:rsidR="00B3745A" w:rsidRPr="009E1F9F" w:rsidRDefault="00B3745A" w:rsidP="00B3745A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  <w:p w:rsidR="00B47166" w:rsidRPr="009E1F9F" w:rsidRDefault="00646739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>Anexa 2.</w:t>
            </w:r>
            <w:r w:rsidRPr="009E1F9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La</w:t>
            </w:r>
            <w:r w:rsidR="00B47166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studii superioare de master (C</w:t>
            </w:r>
            <w:r w:rsidRPr="009E1F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iclul II)</w:t>
            </w:r>
            <w:r w:rsidRPr="009E1F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MD"/>
              </w:rPr>
              <w:t>,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se prevede admiterea a </w:t>
            </w:r>
            <w:r w:rsidR="00C95124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2864</w:t>
            </w:r>
            <w:r w:rsidRPr="009E1F9F">
              <w:rPr>
                <w:rFonts w:ascii="Times New Roman" w:hAnsi="Times New Roman"/>
                <w:b/>
                <w:bCs/>
                <w:sz w:val="24"/>
                <w:szCs w:val="24"/>
                <w:lang w:val="ro-MD" w:eastAsia="ro-RO"/>
              </w:rPr>
              <w:t xml:space="preserve">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de persoane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, </w:t>
            </w:r>
            <w:r w:rsidR="005B70DB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mai puțin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cu </w:t>
            </w:r>
            <w:r w:rsidR="00C95124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217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locuri comparativ cu anul trecut</w:t>
            </w:r>
            <w:r w:rsidR="00B47166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:rsidR="00847292" w:rsidRPr="009E1F9F" w:rsidRDefault="003F51D3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De menționat că </w:t>
            </w:r>
            <w:r w:rsidR="00B3745A" w:rsidRPr="00B3745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numărul total de locuri bugetare pentru licență și master reprezintă 8121</w:t>
            </w:r>
            <w:r w:rsidR="00B3745A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, ca și în anul precedent, or,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majorarea numărului de locuri bugetare pentru studiile superioare de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lastRenderedPageBreak/>
              <w:t>licență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203CCF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se propune a fi </w:t>
            </w:r>
            <w:r w:rsidR="00D927E8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realizată </w:t>
            </w:r>
            <w:r w:rsidR="00203CCF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din contul micșorării numărului de locuri bugetare pentru ciclul II-master</w:t>
            </w:r>
            <w:r w:rsidR="00173732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,</w:t>
            </w:r>
            <w:r w:rsidR="00203CCF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173732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în limita mijloacelor financiare planificate</w:t>
            </w:r>
            <w:r w:rsidR="00173732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Ministerului Educației și Cercetării pentru Comanda de Stat.</w:t>
            </w:r>
            <w:r w:rsidR="00847292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Conceptul formării specialiștilor în cadrul învățământului superior presupune </w:t>
            </w:r>
            <w:r w:rsidR="00847292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formarea generală la ciclul I, licență</w:t>
            </w:r>
            <w:r w:rsidR="00847292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, cu specializare, aprofundare ulterioar</w:t>
            </w:r>
            <w:r w:rsidR="00C95124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ă la ciclul II, master, acesta </w:t>
            </w:r>
            <w:r w:rsidR="00C95124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nefiind obligatoriu</w:t>
            </w:r>
            <w:r w:rsidR="00C95124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pentru plasarea în câmpul muncii.</w:t>
            </w:r>
          </w:p>
          <w:p w:rsidR="00561217" w:rsidRPr="009E1F9F" w:rsidRDefault="00C95124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Anual, l</w:t>
            </w:r>
            <w:r w:rsidR="00847292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a planificarea numărului de locuri bugetare la Master se ia în considerare nr. de abs</w:t>
            </w:r>
            <w:r w:rsidR="001D6BB5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olvenți de la Licență din anul î</w:t>
            </w:r>
            <w:r w:rsidR="00847292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n curs. Astfel, numărul preliminar al absolvenților studiilor de licență în anul </w:t>
            </w:r>
            <w:r w:rsidR="00847292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2022 va fi de 9369</w:t>
            </w:r>
            <w:r w:rsidR="00847292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(</w:t>
            </w:r>
            <w:r w:rsidR="00847292"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mai puțin cu 752</w:t>
            </w:r>
            <w:r w:rsidR="00847292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de absolvenți comparativ cu anul precedent (10121). În acest sens se propune micșorarea nr. de locuri bugetare pentru Master cu redirecționarea acestora la domeniile prioritare de la Licență.</w:t>
            </w:r>
          </w:p>
          <w:p w:rsidR="00173732" w:rsidRPr="009E1F9F" w:rsidRDefault="00561217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Totodată, pentru Ministerul Sănătății, dat fiind faptul ca anul acesta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Universitatea de Stat de Medicină și Farmacie ”N. </w:t>
            </w:r>
            <w:proofErr w:type="spellStart"/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>Testemițanu</w:t>
            </w:r>
            <w:proofErr w:type="spellEnd"/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>” (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USMF)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planifică înmatricularea la 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programe noi de master</w:t>
            </w:r>
            <w:r w:rsidR="001A7948"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</w:t>
            </w:r>
            <w:r w:rsidR="001A7948" w:rsidRPr="009E1F9F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Nutriție</w:t>
            </w:r>
            <w:r w:rsidRPr="009E1F9F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="001A7948" w:rsidRPr="009E1F9F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umană, Sănătate mintală publică, Optometrie și științe vizuale</w:t>
            </w:r>
            <w:r w:rsidR="001A7948"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) se </w:t>
            </w: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>propune majorarea cu 5 locuri bugetare la master pentru domeniul Sănătate, din co</w:t>
            </w:r>
            <w:bookmarkStart w:id="0" w:name="_GoBack"/>
            <w:bookmarkEnd w:id="0"/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>ntul a 5 locuri din același domeniu la ciclul I-licență.</w:t>
            </w:r>
          </w:p>
          <w:p w:rsidR="001D6BB5" w:rsidRDefault="00C42606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Pentru alte</w:t>
            </w:r>
            <w:r w:rsidR="0064673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ministere: </w:t>
            </w:r>
            <w:r w:rsidR="00874E3E" w:rsidRPr="009E1F9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Ministerul Agriculturii</w:t>
            </w:r>
            <w:r w:rsidR="00646739" w:rsidRPr="009E1F9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și al </w:t>
            </w:r>
            <w:r w:rsidR="00874E3E" w:rsidRPr="009E1F9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Industriei Alimentare</w:t>
            </w:r>
            <w:r w:rsidR="0064673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, Ministerul Apărării și Ministerul Afacerilor Interne, numărul de locuri bugetare pentru </w:t>
            </w:r>
            <w:r w:rsidR="00874E3E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licență și </w:t>
            </w:r>
            <w:r w:rsidR="0064673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master rămâne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la nivelul</w:t>
            </w:r>
            <w:r w:rsidR="0064673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anul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ui</w:t>
            </w:r>
            <w:r w:rsidR="00646739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trecut. </w:t>
            </w:r>
          </w:p>
          <w:p w:rsidR="00B3745A" w:rsidRPr="009E1F9F" w:rsidRDefault="00B3745A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  <w:p w:rsidR="00C03515" w:rsidRDefault="00646739" w:rsidP="00B3745A">
            <w:pPr>
              <w:spacing w:after="0" w:line="360" w:lineRule="auto"/>
              <w:ind w:right="57" w:firstLine="284"/>
              <w:jc w:val="both"/>
              <w:rPr>
                <w:rFonts w:ascii="Times New Roman" w:eastAsia="Arial Unicode MS" w:hAnsi="Times New Roman"/>
                <w:lang w:val="ro-MD"/>
              </w:rPr>
            </w:pPr>
            <w:r w:rsidRPr="009E1F9F">
              <w:rPr>
                <w:rFonts w:ascii="Times New Roman" w:hAnsi="Times New Roman"/>
                <w:b/>
                <w:bCs/>
                <w:sz w:val="24"/>
                <w:szCs w:val="24"/>
                <w:lang w:val="ro-MD" w:eastAsia="ro-RO"/>
              </w:rPr>
              <w:t>Anexa 3.</w:t>
            </w:r>
            <w:r w:rsidRPr="009E1F9F">
              <w:rPr>
                <w:rFonts w:ascii="Times New Roman" w:hAnsi="Times New Roman"/>
                <w:bCs/>
                <w:sz w:val="24"/>
                <w:szCs w:val="24"/>
                <w:lang w:val="ro-MD" w:eastAsia="ro-RO"/>
              </w:rPr>
              <w:t xml:space="preserve"> </w:t>
            </w:r>
            <w:r w:rsidRPr="009E1F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MD"/>
              </w:rPr>
              <w:t>La</w:t>
            </w:r>
            <w:r w:rsidRPr="009E1F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 studii de rezidențiat și secundariat clinic</w:t>
            </w:r>
            <w:r w:rsidRPr="009E1F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MD"/>
              </w:rPr>
              <w:t xml:space="preserve">, se prevede admiterea a </w:t>
            </w:r>
            <w:r w:rsidR="00FD0668" w:rsidRPr="009E1F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455</w:t>
            </w:r>
            <w:r w:rsidRPr="009E1F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 persoane</w:t>
            </w:r>
            <w:r w:rsidR="00C03515" w:rsidRPr="009E1F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: </w:t>
            </w:r>
            <w:r w:rsidR="00C03515" w:rsidRPr="009E1F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MD"/>
              </w:rPr>
              <w:t>43</w:t>
            </w:r>
            <w:r w:rsidR="001D6BB5" w:rsidRPr="009E1F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MD"/>
              </w:rPr>
              <w:t>5</w:t>
            </w:r>
            <w:r w:rsidR="00C03515" w:rsidRPr="009E1F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MD"/>
              </w:rPr>
              <w:t xml:space="preserve"> - </w:t>
            </w:r>
            <w:r w:rsidR="001D6BB5" w:rsidRPr="009E1F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MD"/>
              </w:rPr>
              <w:t>la rezidențiat și 2</w:t>
            </w:r>
            <w:r w:rsidR="00C03515" w:rsidRPr="009E1F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MD"/>
              </w:rPr>
              <w:t>0 – la secundariat clinic</w:t>
            </w:r>
            <w:r w:rsidR="001D6BB5" w:rsidRPr="009E1F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MD"/>
              </w:rPr>
              <w:t>,</w:t>
            </w:r>
            <w:r w:rsidR="00C03515" w:rsidRPr="009E1F9F">
              <w:rPr>
                <w:rFonts w:ascii="Times New Roman" w:eastAsia="Arial Unicode MS" w:hAnsi="Times New Roman"/>
                <w:lang w:val="ro-MD"/>
              </w:rPr>
              <w:t xml:space="preserve"> în scopul asigurării realizării obiectivului stipulat în alineatul (5) art. 121 din Codul </w:t>
            </w:r>
            <w:r w:rsidR="00C42606" w:rsidRPr="009E1F9F">
              <w:rPr>
                <w:rFonts w:ascii="Times New Roman" w:eastAsia="Arial Unicode MS" w:hAnsi="Times New Roman"/>
                <w:lang w:val="ro-MD"/>
              </w:rPr>
              <w:t>educației</w:t>
            </w:r>
            <w:r w:rsidR="00C03515" w:rsidRPr="009E1F9F">
              <w:rPr>
                <w:rFonts w:ascii="Times New Roman" w:eastAsia="Arial Unicode MS" w:hAnsi="Times New Roman"/>
                <w:lang w:val="ro-MD"/>
              </w:rPr>
              <w:t xml:space="preserve">, privind organizarea studiilor de </w:t>
            </w:r>
            <w:r w:rsidR="00C42606" w:rsidRPr="009E1F9F">
              <w:rPr>
                <w:rFonts w:ascii="Times New Roman" w:eastAsia="Arial Unicode MS" w:hAnsi="Times New Roman"/>
                <w:lang w:val="ro-MD"/>
              </w:rPr>
              <w:t>rezidențiat</w:t>
            </w:r>
            <w:r w:rsidR="00C03515" w:rsidRPr="009E1F9F">
              <w:rPr>
                <w:rFonts w:ascii="Times New Roman" w:eastAsia="Arial Unicode MS" w:hAnsi="Times New Roman"/>
                <w:lang w:val="ro-MD"/>
              </w:rPr>
              <w:t xml:space="preserve"> pentru formarea profesională obligatorie a medicilor </w:t>
            </w:r>
            <w:r w:rsidR="00C42606" w:rsidRPr="009E1F9F">
              <w:rPr>
                <w:rFonts w:ascii="Times New Roman" w:eastAsia="Arial Unicode MS" w:hAnsi="Times New Roman"/>
                <w:lang w:val="ro-MD"/>
              </w:rPr>
              <w:t>și</w:t>
            </w:r>
            <w:r w:rsidR="00C03515" w:rsidRPr="009E1F9F">
              <w:rPr>
                <w:rFonts w:ascii="Times New Roman" w:eastAsia="Arial Unicode MS" w:hAnsi="Times New Roman"/>
                <w:lang w:val="ro-MD"/>
              </w:rPr>
              <w:t xml:space="preserve"> </w:t>
            </w:r>
            <w:r w:rsidR="00C42606" w:rsidRPr="009E1F9F">
              <w:rPr>
                <w:rFonts w:ascii="Times New Roman" w:eastAsia="Arial Unicode MS" w:hAnsi="Times New Roman"/>
                <w:lang w:val="ro-MD"/>
              </w:rPr>
              <w:t>farmaciștilor</w:t>
            </w:r>
            <w:r w:rsidR="00C03515" w:rsidRPr="009E1F9F">
              <w:rPr>
                <w:rFonts w:ascii="Times New Roman" w:eastAsia="Arial Unicode MS" w:hAnsi="Times New Roman"/>
                <w:lang w:val="ro-MD"/>
              </w:rPr>
              <w:t xml:space="preserve"> pe </w:t>
            </w:r>
            <w:r w:rsidR="00C42606" w:rsidRPr="009E1F9F">
              <w:rPr>
                <w:rFonts w:ascii="Times New Roman" w:eastAsia="Arial Unicode MS" w:hAnsi="Times New Roman"/>
                <w:lang w:val="ro-MD"/>
              </w:rPr>
              <w:t>specialități</w:t>
            </w:r>
            <w:r w:rsidR="00C03515" w:rsidRPr="009E1F9F">
              <w:rPr>
                <w:rFonts w:ascii="Times New Roman" w:eastAsia="Arial Unicode MS" w:hAnsi="Times New Roman"/>
                <w:lang w:val="ro-MD"/>
              </w:rPr>
              <w:t xml:space="preserve">. </w:t>
            </w:r>
          </w:p>
          <w:p w:rsidR="00B3745A" w:rsidRPr="009E1F9F" w:rsidRDefault="00B3745A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</w:p>
          <w:p w:rsidR="00AB4056" w:rsidRPr="009E1F9F" w:rsidRDefault="00646739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Anexa 4.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Pentru onorarea obligațiunilor Republicii Moldova în cadrul contractelor bilaterale încheiate cu diferite țări, luând în considerare si rezul</w:t>
            </w:r>
            <w:r w:rsidR="000B580C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t</w:t>
            </w:r>
            <w:r w:rsidR="001D6BB5"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atele admiterii în sesiunea 2022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, la proiectul hotărârii se planifică </w:t>
            </w:r>
            <w:r w:rsidRPr="009E1F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106 de locuri bugetare pentru admiterea la studii a cetățenilor străini,</w:t>
            </w:r>
            <w:r w:rsidRPr="009E1F9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9E1F9F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inclusiv 76 persoane - la studii superioare de licență (ciclul I) și 30 de persoane la studii superioare de master (ciclul II), pentru a motiva studenții străini să continue studiile universitare în Republica Moldova. </w:t>
            </w:r>
          </w:p>
        </w:tc>
      </w:tr>
      <w:tr w:rsidR="00AB4056" w:rsidRPr="009E1F9F" w:rsidTr="00BF4C54">
        <w:tc>
          <w:tcPr>
            <w:tcW w:w="5000" w:type="pct"/>
          </w:tcPr>
          <w:p w:rsidR="00AB4056" w:rsidRPr="009E1F9F" w:rsidRDefault="00AB4056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 xml:space="preserve">5. Fundamentarea </w:t>
            </w:r>
            <w:proofErr w:type="spellStart"/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economico</w:t>
            </w:r>
            <w:proofErr w:type="spellEnd"/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-financiară</w:t>
            </w:r>
          </w:p>
        </w:tc>
      </w:tr>
      <w:tr w:rsidR="00AB4056" w:rsidRPr="00C92B12" w:rsidTr="00BF4C54">
        <w:tc>
          <w:tcPr>
            <w:tcW w:w="5000" w:type="pct"/>
          </w:tcPr>
          <w:p w:rsidR="00646739" w:rsidRPr="009E1F9F" w:rsidRDefault="00646739" w:rsidP="00B3745A">
            <w:pPr>
              <w:pStyle w:val="NormalWeb"/>
              <w:spacing w:before="0" w:beforeAutospacing="0" w:after="0" w:afterAutospacing="0" w:line="360" w:lineRule="auto"/>
              <w:ind w:right="57" w:firstLine="284"/>
              <w:jc w:val="both"/>
              <w:rPr>
                <w:color w:val="000000" w:themeColor="text1"/>
                <w:lang w:val="ro-MD"/>
              </w:rPr>
            </w:pPr>
            <w:r w:rsidRPr="009E1F9F">
              <w:rPr>
                <w:color w:val="000000" w:themeColor="text1"/>
                <w:lang w:val="ro-MD"/>
              </w:rPr>
              <w:t xml:space="preserve">Proiectul se încadrează în limita mijloacelor financiare planificate în acest scop. Potrivit punctului 2 din proiectul hotărârii, ministerele de resort vor asigura înmatricularea la studii în limitele planurilor de admitere prevăzute de acest proiect și a </w:t>
            </w:r>
            <w:r w:rsidR="009E1F9F" w:rsidRPr="009E1F9F">
              <w:rPr>
                <w:color w:val="000000" w:themeColor="text1"/>
                <w:lang w:val="ro-MD"/>
              </w:rPr>
              <w:t>alocațiilor</w:t>
            </w:r>
            <w:r w:rsidRPr="009E1F9F">
              <w:rPr>
                <w:color w:val="000000" w:themeColor="text1"/>
                <w:lang w:val="ro-MD"/>
              </w:rPr>
              <w:t xml:space="preserve"> bugetare aprobate în acest scop. </w:t>
            </w:r>
          </w:p>
          <w:p w:rsidR="00AB4056" w:rsidRPr="009E1F9F" w:rsidRDefault="00646739" w:rsidP="00B3745A">
            <w:pPr>
              <w:pStyle w:val="NormalWeb"/>
              <w:spacing w:before="0" w:beforeAutospacing="0" w:after="0" w:afterAutospacing="0" w:line="360" w:lineRule="auto"/>
              <w:ind w:right="57" w:firstLine="284"/>
              <w:jc w:val="both"/>
              <w:rPr>
                <w:b/>
                <w:color w:val="000000" w:themeColor="text1"/>
                <w:lang w:val="ro-MD"/>
              </w:rPr>
            </w:pPr>
            <w:r w:rsidRPr="009E1F9F">
              <w:rPr>
                <w:color w:val="000000" w:themeColor="text1"/>
                <w:lang w:val="ro-MD"/>
              </w:rPr>
              <w:lastRenderedPageBreak/>
              <w:t xml:space="preserve">Totodată, conform art. 79 lit. d) din Codul Educației, ministerele de resort vor distribui locurile cu finanțare bugetară, strict </w:t>
            </w:r>
            <w:r w:rsidRPr="009E1F9F">
              <w:rPr>
                <w:lang w:val="ro-MD"/>
              </w:rPr>
              <w:t xml:space="preserve">ținându-se cont de criteriile specifice profilului instituțiilor de învățământ. </w:t>
            </w:r>
          </w:p>
        </w:tc>
      </w:tr>
      <w:tr w:rsidR="00AB4056" w:rsidRPr="00C92B12" w:rsidTr="00BF4C54">
        <w:tc>
          <w:tcPr>
            <w:tcW w:w="5000" w:type="pct"/>
          </w:tcPr>
          <w:p w:rsidR="00AB4056" w:rsidRPr="009E1F9F" w:rsidRDefault="00AB4056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>6. Modul de încorporare a actului în cadrul normativ în vigoare</w:t>
            </w:r>
          </w:p>
        </w:tc>
      </w:tr>
      <w:tr w:rsidR="00AB4056" w:rsidRPr="00C92B12" w:rsidTr="00BF4C54">
        <w:tc>
          <w:tcPr>
            <w:tcW w:w="5000" w:type="pct"/>
          </w:tcPr>
          <w:p w:rsidR="00AB4056" w:rsidRPr="009E1F9F" w:rsidRDefault="00AB4056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Proiectul se încorporează în sistemul </w:t>
            </w:r>
            <w:r w:rsidR="0034424F" w:rsidRPr="009E1F9F">
              <w:rPr>
                <w:rFonts w:ascii="Times New Roman" w:hAnsi="Times New Roman"/>
                <w:sz w:val="24"/>
                <w:szCs w:val="24"/>
                <w:lang w:val="ro-MD"/>
              </w:rPr>
              <w:t>actelor normative</w:t>
            </w:r>
            <w:r w:rsidR="00646739" w:rsidRPr="009E1F9F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</w:tr>
      <w:tr w:rsidR="00AB4056" w:rsidRPr="00C92B12" w:rsidTr="00BF4C54">
        <w:tc>
          <w:tcPr>
            <w:tcW w:w="5000" w:type="pct"/>
          </w:tcPr>
          <w:p w:rsidR="00AB4056" w:rsidRPr="009E1F9F" w:rsidRDefault="00AB4056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7. Avizarea </w:t>
            </w:r>
            <w:r w:rsidR="009E1F9F"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și</w:t>
            </w: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consultarea publică a proiectului</w:t>
            </w:r>
          </w:p>
        </w:tc>
      </w:tr>
      <w:tr w:rsidR="00AB4056" w:rsidRPr="00C92B12" w:rsidTr="00BF4C54">
        <w:tc>
          <w:tcPr>
            <w:tcW w:w="5000" w:type="pct"/>
          </w:tcPr>
          <w:p w:rsidR="00AB4056" w:rsidRPr="009E1F9F" w:rsidRDefault="001D6BB5" w:rsidP="00B3745A">
            <w:pPr>
              <w:pStyle w:val="CharChar"/>
              <w:spacing w:after="0" w:line="360" w:lineRule="auto"/>
              <w:ind w:right="57"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Proiectul este </w:t>
            </w:r>
            <w:r w:rsidR="00AB4056" w:rsidRPr="009E1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plasat </w:t>
            </w:r>
            <w:r w:rsidR="00F72C90" w:rsidRPr="009E1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consultări publice </w:t>
            </w:r>
            <w:r w:rsidR="00646739" w:rsidRPr="009E1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pe pagina ofi</w:t>
            </w:r>
            <w:r w:rsidRPr="009E1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cială a Ministerului Educației </w:t>
            </w:r>
            <w:r w:rsidR="00646739" w:rsidRPr="009E1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și Cercetării, la rubrica: </w:t>
            </w:r>
            <w:r w:rsidR="00646739" w:rsidRPr="009E1F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D"/>
              </w:rPr>
              <w:t>Transparența decizională</w:t>
            </w:r>
            <w:r w:rsidR="00646739" w:rsidRPr="009E1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AB4056" w:rsidRPr="009E1F9F" w:rsidTr="00BF4C54">
        <w:tc>
          <w:tcPr>
            <w:tcW w:w="5000" w:type="pct"/>
          </w:tcPr>
          <w:p w:rsidR="00AB4056" w:rsidRPr="009E1F9F" w:rsidRDefault="00AB4056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8. Constatările expertizei anticorupție</w:t>
            </w:r>
          </w:p>
        </w:tc>
      </w:tr>
      <w:tr w:rsidR="00AB4056" w:rsidRPr="00C92B12" w:rsidTr="00BF4C54">
        <w:tc>
          <w:tcPr>
            <w:tcW w:w="5000" w:type="pct"/>
          </w:tcPr>
          <w:p w:rsidR="00AB4056" w:rsidRPr="000E1B1D" w:rsidRDefault="000E1B1D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E1B1D">
              <w:rPr>
                <w:rFonts w:ascii="Times New Roman" w:hAnsi="Times New Roman"/>
                <w:sz w:val="24"/>
                <w:szCs w:val="24"/>
                <w:lang w:val="ro-MD"/>
              </w:rPr>
              <w:t>P</w:t>
            </w:r>
            <w:proofErr w:type="spellStart"/>
            <w:r w:rsidRPr="000E1B1D">
              <w:rPr>
                <w:rFonts w:ascii="Times New Roman" w:hAnsi="Times New Roman"/>
                <w:sz w:val="24"/>
                <w:szCs w:val="24"/>
                <w:lang w:val="ro-RO"/>
              </w:rPr>
              <w:t>roiectul</w:t>
            </w:r>
            <w:proofErr w:type="spellEnd"/>
            <w:r w:rsidR="00C42606" w:rsidRPr="000E1B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E1B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 a fost supus </w:t>
            </w:r>
            <w:r w:rsidRPr="000E1B1D">
              <w:rPr>
                <w:rFonts w:ascii="Times New Roman" w:hAnsi="Times New Roman"/>
                <w:sz w:val="24"/>
                <w:szCs w:val="24"/>
                <w:lang w:val="ro-MD"/>
              </w:rPr>
              <w:t>expertizei anticorupție</w:t>
            </w:r>
          </w:p>
        </w:tc>
      </w:tr>
      <w:tr w:rsidR="001858E9" w:rsidRPr="00C92B12" w:rsidTr="00BF4C54">
        <w:tc>
          <w:tcPr>
            <w:tcW w:w="5000" w:type="pct"/>
          </w:tcPr>
          <w:p w:rsidR="001858E9" w:rsidRPr="009E1F9F" w:rsidRDefault="001858E9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E1F9F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  <w:lang w:val="ro-MD" w:eastAsia="en-US"/>
              </w:rPr>
              <w:t>9. Constatările expertizei de compatibilitate cu legislația Uniunii Europene.</w:t>
            </w:r>
          </w:p>
        </w:tc>
      </w:tr>
      <w:tr w:rsidR="001858E9" w:rsidRPr="00C92B12" w:rsidTr="00BF4C54">
        <w:tc>
          <w:tcPr>
            <w:tcW w:w="5000" w:type="pct"/>
          </w:tcPr>
          <w:p w:rsidR="001858E9" w:rsidRPr="009E1F9F" w:rsidRDefault="001858E9" w:rsidP="00B3745A">
            <w:pPr>
              <w:autoSpaceDE w:val="0"/>
              <w:autoSpaceDN w:val="0"/>
              <w:adjustRightInd w:val="0"/>
              <w:spacing w:after="0" w:line="360" w:lineRule="auto"/>
              <w:ind w:right="57" w:firstLine="284"/>
              <w:jc w:val="both"/>
              <w:rPr>
                <w:rFonts w:ascii="Times New Roman" w:eastAsiaTheme="minorHAnsi" w:hAnsi="Times New Roman"/>
                <w:sz w:val="24"/>
                <w:szCs w:val="24"/>
                <w:lang w:val="ro-MD" w:eastAsia="en-US"/>
              </w:rPr>
            </w:pPr>
            <w:r w:rsidRPr="009E1F9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Proiectul nu intră în categoria actelor normative care necesită </w:t>
            </w:r>
            <w:r w:rsidRPr="009E1F9F">
              <w:rPr>
                <w:rFonts w:ascii="Times New Roman" w:eastAsiaTheme="minorHAnsi" w:hAnsi="Times New Roman"/>
                <w:color w:val="333333"/>
                <w:sz w:val="24"/>
                <w:szCs w:val="24"/>
                <w:lang w:val="ro-MD" w:eastAsia="en-US"/>
              </w:rPr>
              <w:t>expertiza de compatibilitate cu legislația Uniunii Europene.</w:t>
            </w:r>
          </w:p>
        </w:tc>
      </w:tr>
      <w:tr w:rsidR="001858E9" w:rsidRPr="009E1F9F" w:rsidTr="00BF4C54">
        <w:tc>
          <w:tcPr>
            <w:tcW w:w="5000" w:type="pct"/>
          </w:tcPr>
          <w:p w:rsidR="001858E9" w:rsidRPr="009E1F9F" w:rsidRDefault="001858E9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10. Constatările expertizei juridice</w:t>
            </w:r>
          </w:p>
        </w:tc>
      </w:tr>
      <w:tr w:rsidR="001858E9" w:rsidRPr="00C92B12" w:rsidTr="00BF4C54">
        <w:tc>
          <w:tcPr>
            <w:tcW w:w="5000" w:type="pct"/>
          </w:tcPr>
          <w:p w:rsidR="001858E9" w:rsidRPr="009E1F9F" w:rsidRDefault="000E1B1D" w:rsidP="00B3745A">
            <w:pPr>
              <w:spacing w:after="0" w:line="360" w:lineRule="auto"/>
              <w:ind w:right="57" w:firstLine="284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E1B1D">
              <w:rPr>
                <w:rFonts w:ascii="Times New Roman" w:hAnsi="Times New Roman"/>
                <w:sz w:val="24"/>
                <w:szCs w:val="24"/>
                <w:lang w:val="ro-MD"/>
              </w:rPr>
              <w:t>P</w:t>
            </w:r>
            <w:proofErr w:type="spellStart"/>
            <w:r w:rsidRPr="000E1B1D">
              <w:rPr>
                <w:rFonts w:ascii="Times New Roman" w:hAnsi="Times New Roman"/>
                <w:sz w:val="24"/>
                <w:szCs w:val="24"/>
                <w:lang w:val="ro-RO"/>
              </w:rPr>
              <w:t>roiectul</w:t>
            </w:r>
            <w:proofErr w:type="spellEnd"/>
            <w:r w:rsidRPr="000E1B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 a fost supus </w:t>
            </w:r>
            <w:r w:rsidRPr="000E1B1D">
              <w:rPr>
                <w:rFonts w:ascii="Times New Roman" w:hAnsi="Times New Roman"/>
                <w:sz w:val="24"/>
                <w:szCs w:val="24"/>
                <w:lang w:val="ro-MD"/>
              </w:rPr>
              <w:t>expertizei juridice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</w:tr>
      <w:tr w:rsidR="001858E9" w:rsidRPr="00C92B12" w:rsidTr="00BF4C54">
        <w:tc>
          <w:tcPr>
            <w:tcW w:w="5000" w:type="pct"/>
          </w:tcPr>
          <w:p w:rsidR="001858E9" w:rsidRPr="009E1F9F" w:rsidRDefault="001858E9" w:rsidP="00B3745A">
            <w:pPr>
              <w:spacing w:after="0" w:line="360" w:lineRule="auto"/>
              <w:ind w:right="57" w:firstLine="284"/>
              <w:jc w:val="both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  <w:lang w:val="ro-MD" w:eastAsia="en-US"/>
              </w:rPr>
            </w:pPr>
            <w:r w:rsidRPr="009E1F9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11. </w:t>
            </w:r>
            <w:r w:rsidRPr="009E1F9F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  <w:lang w:val="ro-MD" w:eastAsia="en-US"/>
              </w:rPr>
              <w:t>Constatările altor expertize.</w:t>
            </w:r>
          </w:p>
          <w:p w:rsidR="001858E9" w:rsidRPr="009E1F9F" w:rsidRDefault="001858E9" w:rsidP="00B3745A">
            <w:pPr>
              <w:spacing w:after="0" w:line="360" w:lineRule="auto"/>
              <w:ind w:right="57" w:firstLine="284"/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ro-MD" w:eastAsia="en-US"/>
              </w:rPr>
            </w:pPr>
            <w:r w:rsidRPr="009E1F9F">
              <w:rPr>
                <w:rFonts w:ascii="Times New Roman" w:eastAsiaTheme="minorHAnsi" w:hAnsi="Times New Roman"/>
                <w:color w:val="333333"/>
                <w:sz w:val="24"/>
                <w:szCs w:val="24"/>
                <w:lang w:val="ro-MD" w:eastAsia="en-US"/>
              </w:rPr>
              <w:t>Proiectul nu necesită constatările altor expertize.</w:t>
            </w:r>
          </w:p>
        </w:tc>
      </w:tr>
    </w:tbl>
    <w:p w:rsidR="00943095" w:rsidRPr="009E1F9F" w:rsidRDefault="00943095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</w:p>
    <w:p w:rsidR="001858E9" w:rsidRPr="009E1F9F" w:rsidRDefault="001858E9" w:rsidP="00B3745A">
      <w:pPr>
        <w:spacing w:after="0" w:line="360" w:lineRule="auto"/>
        <w:ind w:right="5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</w:p>
    <w:p w:rsidR="001858E9" w:rsidRPr="009E1F9F" w:rsidRDefault="001858E9" w:rsidP="00B3745A">
      <w:pPr>
        <w:spacing w:after="0" w:line="360" w:lineRule="auto"/>
        <w:ind w:right="57"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  <w:r w:rsidRPr="009E1F9F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Ministru</w:t>
      </w:r>
      <w:r w:rsidRPr="009E1F9F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ab/>
      </w:r>
      <w:r w:rsidRPr="009E1F9F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ab/>
      </w:r>
      <w:r w:rsidRPr="009E1F9F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ab/>
      </w:r>
      <w:r w:rsidRPr="009E1F9F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ab/>
      </w:r>
      <w:r w:rsidRPr="009E1F9F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ab/>
      </w:r>
      <w:r w:rsidRPr="009E1F9F">
        <w:rPr>
          <w:rFonts w:ascii="Times New Roman" w:eastAsia="Times New Roman" w:hAnsi="Times New Roman"/>
          <w:b/>
          <w:bCs/>
          <w:sz w:val="24"/>
          <w:szCs w:val="24"/>
          <w:lang w:val="ro-MD" w:eastAsia="zh-CN"/>
        </w:rPr>
        <w:t>Anatolie TOPALĂ</w:t>
      </w:r>
    </w:p>
    <w:p w:rsidR="001858E9" w:rsidRPr="009E1F9F" w:rsidRDefault="001858E9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D601D8" w:rsidRPr="009E1F9F" w:rsidRDefault="00D601D8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D601D8" w:rsidRPr="009E1F9F" w:rsidRDefault="00D601D8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D601D8" w:rsidRPr="009E1F9F" w:rsidRDefault="00D601D8" w:rsidP="00B3745A">
      <w:pPr>
        <w:spacing w:after="0" w:line="360" w:lineRule="auto"/>
        <w:ind w:right="57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D601D8" w:rsidRPr="009E1F9F" w:rsidRDefault="00D601D8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1858E9" w:rsidRPr="009E1F9F" w:rsidRDefault="001858E9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1858E9" w:rsidRPr="009E1F9F" w:rsidRDefault="001858E9" w:rsidP="00B3745A">
      <w:pPr>
        <w:spacing w:after="0" w:line="360" w:lineRule="auto"/>
        <w:ind w:right="57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745A" w:rsidRDefault="00B3745A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745A" w:rsidRDefault="00B3745A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745A" w:rsidRDefault="00B3745A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745A" w:rsidRDefault="00B3745A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745A" w:rsidRDefault="00B3745A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745A" w:rsidRDefault="00B3745A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745A" w:rsidRDefault="00B3745A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745A" w:rsidRDefault="00B3745A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745A" w:rsidRDefault="00B3745A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745A" w:rsidRDefault="00B3745A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745A" w:rsidRDefault="00B3745A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745A" w:rsidRDefault="00B3745A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745A" w:rsidRDefault="00B3745A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745A" w:rsidRDefault="00B3745A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745A" w:rsidRDefault="00B3745A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0A7E26" w:rsidRPr="009E1F9F" w:rsidRDefault="001858E9" w:rsidP="00B3745A">
      <w:pPr>
        <w:spacing w:after="0" w:line="360" w:lineRule="auto"/>
        <w:ind w:right="57" w:firstLine="284"/>
        <w:jc w:val="both"/>
        <w:rPr>
          <w:rFonts w:ascii="Times New Roman" w:hAnsi="Times New Roman"/>
          <w:sz w:val="16"/>
          <w:szCs w:val="16"/>
          <w:lang w:val="ro-MD"/>
        </w:rPr>
      </w:pPr>
      <w:r w:rsidRPr="009E1F9F">
        <w:rPr>
          <w:rFonts w:ascii="Times New Roman" w:hAnsi="Times New Roman"/>
          <w:sz w:val="16"/>
          <w:szCs w:val="16"/>
          <w:lang w:val="ro-MD"/>
        </w:rPr>
        <w:t>Doina Usaci, tel.: 022 233213</w:t>
      </w:r>
    </w:p>
    <w:sectPr w:rsidR="000A7E26" w:rsidRPr="009E1F9F" w:rsidSect="005206BC">
      <w:pgSz w:w="12240" w:h="15840"/>
      <w:pgMar w:top="709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5329D"/>
    <w:multiLevelType w:val="multilevel"/>
    <w:tmpl w:val="AD622E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ind w:left="83" w:hanging="432"/>
      </w:pPr>
    </w:lvl>
    <w:lvl w:ilvl="2">
      <w:start w:val="1"/>
      <w:numFmt w:val="decimal"/>
      <w:lvlText w:val="%1.%2.%3."/>
      <w:lvlJc w:val="left"/>
      <w:pPr>
        <w:ind w:left="515" w:hanging="504"/>
      </w:pPr>
    </w:lvl>
    <w:lvl w:ilvl="3">
      <w:start w:val="1"/>
      <w:numFmt w:val="decimal"/>
      <w:lvlText w:val="%1.%2.%3.%4."/>
      <w:lvlJc w:val="left"/>
      <w:pPr>
        <w:ind w:left="1019" w:hanging="648"/>
      </w:pPr>
    </w:lvl>
    <w:lvl w:ilvl="4">
      <w:start w:val="1"/>
      <w:numFmt w:val="decimal"/>
      <w:lvlText w:val="%1.%2.%3.%4.%5."/>
      <w:lvlJc w:val="left"/>
      <w:pPr>
        <w:ind w:left="1523" w:hanging="792"/>
      </w:pPr>
    </w:lvl>
    <w:lvl w:ilvl="5">
      <w:start w:val="1"/>
      <w:numFmt w:val="decimal"/>
      <w:lvlText w:val="%1.%2.%3.%4.%5.%6."/>
      <w:lvlJc w:val="left"/>
      <w:pPr>
        <w:ind w:left="2027" w:hanging="936"/>
      </w:pPr>
    </w:lvl>
    <w:lvl w:ilvl="6">
      <w:start w:val="1"/>
      <w:numFmt w:val="decimal"/>
      <w:lvlText w:val="%1.%2.%3.%4.%5.%6.%7."/>
      <w:lvlJc w:val="left"/>
      <w:pPr>
        <w:ind w:left="2531" w:hanging="1080"/>
      </w:pPr>
    </w:lvl>
    <w:lvl w:ilvl="7">
      <w:start w:val="1"/>
      <w:numFmt w:val="decimal"/>
      <w:lvlText w:val="%1.%2.%3.%4.%5.%6.%7.%8."/>
      <w:lvlJc w:val="left"/>
      <w:pPr>
        <w:ind w:left="3035" w:hanging="1224"/>
      </w:pPr>
    </w:lvl>
    <w:lvl w:ilvl="8">
      <w:start w:val="1"/>
      <w:numFmt w:val="decimal"/>
      <w:lvlText w:val="%1.%2.%3.%4.%5.%6.%7.%8.%9."/>
      <w:lvlJc w:val="left"/>
      <w:pPr>
        <w:ind w:left="3611" w:hanging="1440"/>
      </w:pPr>
    </w:lvl>
  </w:abstractNum>
  <w:abstractNum w:abstractNumId="1">
    <w:nsid w:val="18966287"/>
    <w:multiLevelType w:val="hybridMultilevel"/>
    <w:tmpl w:val="2AC08B9C"/>
    <w:lvl w:ilvl="0" w:tplc="51E8B19C">
      <w:start w:val="4"/>
      <w:numFmt w:val="bullet"/>
      <w:lvlText w:val="-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347D6D50"/>
    <w:multiLevelType w:val="hybridMultilevel"/>
    <w:tmpl w:val="EAE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33E58"/>
    <w:multiLevelType w:val="hybridMultilevel"/>
    <w:tmpl w:val="71E03064"/>
    <w:lvl w:ilvl="0" w:tplc="F580D1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90E3C"/>
    <w:multiLevelType w:val="hybridMultilevel"/>
    <w:tmpl w:val="905CB702"/>
    <w:lvl w:ilvl="0" w:tplc="041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23F0C88"/>
    <w:multiLevelType w:val="hybridMultilevel"/>
    <w:tmpl w:val="F4840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BAACE4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A5572E"/>
    <w:multiLevelType w:val="hybridMultilevel"/>
    <w:tmpl w:val="88884D68"/>
    <w:lvl w:ilvl="0" w:tplc="2E50FE4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1FC23B0"/>
    <w:multiLevelType w:val="hybridMultilevel"/>
    <w:tmpl w:val="941A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C6A55"/>
    <w:multiLevelType w:val="hybridMultilevel"/>
    <w:tmpl w:val="1BC48AA8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567C66"/>
    <w:multiLevelType w:val="hybridMultilevel"/>
    <w:tmpl w:val="15EEA506"/>
    <w:lvl w:ilvl="0" w:tplc="041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56"/>
    <w:rsid w:val="00020460"/>
    <w:rsid w:val="00053D32"/>
    <w:rsid w:val="00057BC9"/>
    <w:rsid w:val="00062EDC"/>
    <w:rsid w:val="0008345A"/>
    <w:rsid w:val="0009076E"/>
    <w:rsid w:val="000A7E26"/>
    <w:rsid w:val="000B33BD"/>
    <w:rsid w:val="000B3FC5"/>
    <w:rsid w:val="000B580C"/>
    <w:rsid w:val="000D4191"/>
    <w:rsid w:val="000D5C7F"/>
    <w:rsid w:val="000E1B1D"/>
    <w:rsid w:val="00102460"/>
    <w:rsid w:val="001047B9"/>
    <w:rsid w:val="00116859"/>
    <w:rsid w:val="001654A4"/>
    <w:rsid w:val="00173732"/>
    <w:rsid w:val="001858E9"/>
    <w:rsid w:val="001A7948"/>
    <w:rsid w:val="001C32AC"/>
    <w:rsid w:val="001C556F"/>
    <w:rsid w:val="001C77E6"/>
    <w:rsid w:val="001D56C0"/>
    <w:rsid w:val="001D6BB5"/>
    <w:rsid w:val="001F2651"/>
    <w:rsid w:val="001F354C"/>
    <w:rsid w:val="001F5EF0"/>
    <w:rsid w:val="00203CCF"/>
    <w:rsid w:val="00212B82"/>
    <w:rsid w:val="002261FD"/>
    <w:rsid w:val="0023197D"/>
    <w:rsid w:val="00241843"/>
    <w:rsid w:val="00242063"/>
    <w:rsid w:val="00244175"/>
    <w:rsid w:val="00247E40"/>
    <w:rsid w:val="00252E71"/>
    <w:rsid w:val="0025391B"/>
    <w:rsid w:val="00257D1B"/>
    <w:rsid w:val="002B1548"/>
    <w:rsid w:val="002F699B"/>
    <w:rsid w:val="0030651E"/>
    <w:rsid w:val="0034424F"/>
    <w:rsid w:val="00360067"/>
    <w:rsid w:val="003A2D9B"/>
    <w:rsid w:val="003A2DB0"/>
    <w:rsid w:val="003A6B63"/>
    <w:rsid w:val="003B30C2"/>
    <w:rsid w:val="003C6F3A"/>
    <w:rsid w:val="003D1B72"/>
    <w:rsid w:val="003F42B8"/>
    <w:rsid w:val="003F51D3"/>
    <w:rsid w:val="00404DEF"/>
    <w:rsid w:val="00413CCF"/>
    <w:rsid w:val="004203CB"/>
    <w:rsid w:val="00433813"/>
    <w:rsid w:val="0044619E"/>
    <w:rsid w:val="00470EC7"/>
    <w:rsid w:val="0048730B"/>
    <w:rsid w:val="004961C4"/>
    <w:rsid w:val="004C234A"/>
    <w:rsid w:val="004D00F3"/>
    <w:rsid w:val="004D047D"/>
    <w:rsid w:val="004D77A2"/>
    <w:rsid w:val="00505611"/>
    <w:rsid w:val="005206BC"/>
    <w:rsid w:val="00523C87"/>
    <w:rsid w:val="00537BD5"/>
    <w:rsid w:val="00561217"/>
    <w:rsid w:val="00562D58"/>
    <w:rsid w:val="0056323F"/>
    <w:rsid w:val="0056360A"/>
    <w:rsid w:val="00590D26"/>
    <w:rsid w:val="005A31D8"/>
    <w:rsid w:val="005B70DB"/>
    <w:rsid w:val="005D72BA"/>
    <w:rsid w:val="005D74B6"/>
    <w:rsid w:val="005E13E9"/>
    <w:rsid w:val="005E625E"/>
    <w:rsid w:val="00615E46"/>
    <w:rsid w:val="00617155"/>
    <w:rsid w:val="00617DCA"/>
    <w:rsid w:val="0063292E"/>
    <w:rsid w:val="006419E9"/>
    <w:rsid w:val="00642831"/>
    <w:rsid w:val="00646739"/>
    <w:rsid w:val="006779BF"/>
    <w:rsid w:val="006972CD"/>
    <w:rsid w:val="006B75F7"/>
    <w:rsid w:val="006D030B"/>
    <w:rsid w:val="006D0358"/>
    <w:rsid w:val="006E0099"/>
    <w:rsid w:val="00711742"/>
    <w:rsid w:val="00714ABB"/>
    <w:rsid w:val="007729DA"/>
    <w:rsid w:val="00792442"/>
    <w:rsid w:val="007A082F"/>
    <w:rsid w:val="007A0B03"/>
    <w:rsid w:val="007B3CC0"/>
    <w:rsid w:val="007C082E"/>
    <w:rsid w:val="007F593C"/>
    <w:rsid w:val="00800D71"/>
    <w:rsid w:val="00810303"/>
    <w:rsid w:val="0082041F"/>
    <w:rsid w:val="00825EC7"/>
    <w:rsid w:val="00832A90"/>
    <w:rsid w:val="00847292"/>
    <w:rsid w:val="008678F4"/>
    <w:rsid w:val="00874E3E"/>
    <w:rsid w:val="008870CA"/>
    <w:rsid w:val="008A3FA2"/>
    <w:rsid w:val="008E7066"/>
    <w:rsid w:val="00924DDB"/>
    <w:rsid w:val="00943095"/>
    <w:rsid w:val="00955480"/>
    <w:rsid w:val="00987A16"/>
    <w:rsid w:val="009B0892"/>
    <w:rsid w:val="009B11FD"/>
    <w:rsid w:val="009C0DE7"/>
    <w:rsid w:val="009C57F4"/>
    <w:rsid w:val="009E1F9F"/>
    <w:rsid w:val="009F607F"/>
    <w:rsid w:val="00A04939"/>
    <w:rsid w:val="00A3795B"/>
    <w:rsid w:val="00A40E2D"/>
    <w:rsid w:val="00A5363A"/>
    <w:rsid w:val="00A96932"/>
    <w:rsid w:val="00AB4056"/>
    <w:rsid w:val="00AB7A64"/>
    <w:rsid w:val="00AD0611"/>
    <w:rsid w:val="00AD25CF"/>
    <w:rsid w:val="00AD34F7"/>
    <w:rsid w:val="00AE2DDD"/>
    <w:rsid w:val="00B2756A"/>
    <w:rsid w:val="00B32FF0"/>
    <w:rsid w:val="00B3745A"/>
    <w:rsid w:val="00B41C56"/>
    <w:rsid w:val="00B44BE5"/>
    <w:rsid w:val="00B47166"/>
    <w:rsid w:val="00B53C1F"/>
    <w:rsid w:val="00B6429C"/>
    <w:rsid w:val="00B64B96"/>
    <w:rsid w:val="00BB70EE"/>
    <w:rsid w:val="00BC1451"/>
    <w:rsid w:val="00BC52BA"/>
    <w:rsid w:val="00BD3C86"/>
    <w:rsid w:val="00BF4C54"/>
    <w:rsid w:val="00C03515"/>
    <w:rsid w:val="00C35DB8"/>
    <w:rsid w:val="00C42606"/>
    <w:rsid w:val="00C70C0F"/>
    <w:rsid w:val="00C84893"/>
    <w:rsid w:val="00C906A7"/>
    <w:rsid w:val="00C92B12"/>
    <w:rsid w:val="00C95124"/>
    <w:rsid w:val="00CC690A"/>
    <w:rsid w:val="00CF3DC6"/>
    <w:rsid w:val="00D20A5C"/>
    <w:rsid w:val="00D22F1B"/>
    <w:rsid w:val="00D3460C"/>
    <w:rsid w:val="00D43664"/>
    <w:rsid w:val="00D45219"/>
    <w:rsid w:val="00D47D11"/>
    <w:rsid w:val="00D52BEE"/>
    <w:rsid w:val="00D576C0"/>
    <w:rsid w:val="00D601D8"/>
    <w:rsid w:val="00D6363A"/>
    <w:rsid w:val="00D74DB7"/>
    <w:rsid w:val="00D927E8"/>
    <w:rsid w:val="00DA1212"/>
    <w:rsid w:val="00E01028"/>
    <w:rsid w:val="00E03781"/>
    <w:rsid w:val="00E06F12"/>
    <w:rsid w:val="00E3393F"/>
    <w:rsid w:val="00E41131"/>
    <w:rsid w:val="00E41A53"/>
    <w:rsid w:val="00E43E77"/>
    <w:rsid w:val="00E44D14"/>
    <w:rsid w:val="00E86FFF"/>
    <w:rsid w:val="00EC3224"/>
    <w:rsid w:val="00EE617C"/>
    <w:rsid w:val="00F06854"/>
    <w:rsid w:val="00F148DF"/>
    <w:rsid w:val="00F26812"/>
    <w:rsid w:val="00F362C4"/>
    <w:rsid w:val="00F4794C"/>
    <w:rsid w:val="00F67EFE"/>
    <w:rsid w:val="00F72C90"/>
    <w:rsid w:val="00F73535"/>
    <w:rsid w:val="00F92EE7"/>
    <w:rsid w:val="00FB5BDB"/>
    <w:rsid w:val="00F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A6EB5-7300-46D7-B419-944D6D49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05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40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AB4056"/>
    <w:pPr>
      <w:spacing w:after="160" w:line="259" w:lineRule="auto"/>
      <w:ind w:left="720"/>
      <w:contextualSpacing/>
    </w:pPr>
    <w:rPr>
      <w:rFonts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4C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DefaultParagraphFont"/>
    <w:rsid w:val="00F148DF"/>
    <w:rPr>
      <w:rFonts w:ascii="DejaVuSerifCondensed" w:hAnsi="DejaVuSerifCondensed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148DF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F148DF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148D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F5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F4C54"/>
    <w:rPr>
      <w:b/>
      <w:bCs/>
    </w:rPr>
  </w:style>
  <w:style w:type="character" w:styleId="Emphasis">
    <w:name w:val="Emphasis"/>
    <w:basedOn w:val="DefaultParagraphFont"/>
    <w:uiPriority w:val="20"/>
    <w:qFormat/>
    <w:rsid w:val="00562D58"/>
    <w:rPr>
      <w:i/>
      <w:iCs/>
    </w:rPr>
  </w:style>
  <w:style w:type="paragraph" w:customStyle="1" w:styleId="CharChar">
    <w:name w:val="Char Char"/>
    <w:basedOn w:val="Normal"/>
    <w:rsid w:val="00646739"/>
    <w:pPr>
      <w:spacing w:after="160" w:line="240" w:lineRule="exact"/>
    </w:pPr>
    <w:rPr>
      <w:rFonts w:ascii="Arial" w:eastAsia="Batang" w:hAnsi="Arial" w:cs="Arial"/>
      <w:sz w:val="20"/>
      <w:szCs w:val="20"/>
      <w:lang w:val="ro-RO" w:eastAsia="en-US"/>
    </w:rPr>
  </w:style>
  <w:style w:type="paragraph" w:customStyle="1" w:styleId="Normal1">
    <w:name w:val="Normal1"/>
    <w:rsid w:val="00714ABB"/>
    <w:pPr>
      <w:spacing w:after="0" w:line="276" w:lineRule="auto"/>
    </w:pPr>
    <w:rPr>
      <w:rFonts w:ascii="Arial" w:eastAsia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isinauedu.md/serviciul-de-asistenta-psiho-pedagogic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89E7-8031-48DF-BED9-19841441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1838</Words>
  <Characters>10483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Velisco</dc:creator>
  <cp:lastModifiedBy>Usaci Doina</cp:lastModifiedBy>
  <cp:revision>5</cp:revision>
  <cp:lastPrinted>2022-06-09T05:28:00Z</cp:lastPrinted>
  <dcterms:created xsi:type="dcterms:W3CDTF">2022-06-09T05:28:00Z</dcterms:created>
  <dcterms:modified xsi:type="dcterms:W3CDTF">2022-06-09T12:52:00Z</dcterms:modified>
</cp:coreProperties>
</file>