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E1A1" w14:textId="77777777" w:rsidR="005A5813" w:rsidRDefault="005A5813" w:rsidP="00131DF1">
      <w:pPr>
        <w:tabs>
          <w:tab w:val="left" w:pos="884"/>
          <w:tab w:val="left" w:pos="1196"/>
        </w:tabs>
        <w:spacing w:after="0" w:line="240" w:lineRule="auto"/>
        <w:jc w:val="center"/>
        <w:rPr>
          <w:rFonts w:ascii="Times New Roman" w:hAnsi="Times New Roman"/>
          <w:b/>
          <w:sz w:val="24"/>
          <w:szCs w:val="24"/>
          <w:lang w:val="ro-MD"/>
        </w:rPr>
      </w:pPr>
    </w:p>
    <w:p w14:paraId="21CA9FC5" w14:textId="77777777" w:rsidR="005A5813" w:rsidRDefault="005A5813" w:rsidP="00131DF1">
      <w:pPr>
        <w:tabs>
          <w:tab w:val="left" w:pos="884"/>
          <w:tab w:val="left" w:pos="1196"/>
        </w:tabs>
        <w:spacing w:after="0" w:line="240" w:lineRule="auto"/>
        <w:jc w:val="center"/>
        <w:rPr>
          <w:rFonts w:ascii="Times New Roman" w:hAnsi="Times New Roman"/>
          <w:b/>
          <w:sz w:val="24"/>
          <w:szCs w:val="24"/>
          <w:lang w:val="ro-MD"/>
        </w:rPr>
      </w:pPr>
    </w:p>
    <w:p w14:paraId="1DA28E8E" w14:textId="48C0A6C5" w:rsidR="005968DC" w:rsidRPr="00AD4139" w:rsidRDefault="005968DC" w:rsidP="00131DF1">
      <w:pPr>
        <w:tabs>
          <w:tab w:val="left" w:pos="884"/>
          <w:tab w:val="left" w:pos="1196"/>
        </w:tabs>
        <w:spacing w:after="0" w:line="240" w:lineRule="auto"/>
        <w:jc w:val="center"/>
        <w:rPr>
          <w:rFonts w:ascii="Times New Roman" w:hAnsi="Times New Roman"/>
          <w:b/>
          <w:sz w:val="24"/>
          <w:szCs w:val="24"/>
          <w:lang w:val="ro-MD"/>
        </w:rPr>
      </w:pPr>
      <w:r w:rsidRPr="00AD4139">
        <w:rPr>
          <w:rFonts w:ascii="Times New Roman" w:hAnsi="Times New Roman"/>
          <w:b/>
          <w:sz w:val="24"/>
          <w:szCs w:val="24"/>
          <w:lang w:val="ro-MD"/>
        </w:rPr>
        <w:t>NOTA INFORMATIVĂ</w:t>
      </w:r>
    </w:p>
    <w:p w14:paraId="0043B1A9" w14:textId="2B947CBC" w:rsidR="00131DF1" w:rsidRPr="00AD4139" w:rsidRDefault="00131DF1" w:rsidP="007D343C">
      <w:pPr>
        <w:jc w:val="center"/>
        <w:rPr>
          <w:rFonts w:ascii="Times New Roman" w:hAnsi="Times New Roman"/>
          <w:b/>
          <w:sz w:val="24"/>
          <w:szCs w:val="24"/>
          <w:lang w:val="ro-MD"/>
        </w:rPr>
      </w:pPr>
      <w:r w:rsidRPr="00AD4139">
        <w:rPr>
          <w:rFonts w:ascii="Times New Roman" w:hAnsi="Times New Roman"/>
          <w:b/>
          <w:sz w:val="24"/>
          <w:szCs w:val="24"/>
          <w:lang w:val="ro-MD"/>
        </w:rPr>
        <w:t xml:space="preserve"> </w:t>
      </w:r>
      <w:r w:rsidR="007D343C" w:rsidRPr="00AD4139">
        <w:rPr>
          <w:rFonts w:ascii="Times New Roman" w:hAnsi="Times New Roman"/>
          <w:b/>
          <w:sz w:val="24"/>
          <w:szCs w:val="24"/>
          <w:lang w:val="ro-MD"/>
        </w:rPr>
        <w:t xml:space="preserve">la proiectul Hotărârii de Guvern </w:t>
      </w:r>
      <w:r w:rsidR="00165768" w:rsidRPr="00165768">
        <w:rPr>
          <w:rFonts w:ascii="Times New Roman" w:hAnsi="Times New Roman"/>
          <w:b/>
          <w:sz w:val="24"/>
          <w:szCs w:val="24"/>
          <w:lang w:val="ro-MD"/>
        </w:rPr>
        <w:t>privind modificarea anexei nr. 1 la Hotărârea Guvernului nr.1242/2003 despre unele măsuri de implementare a Legii cu privire la teatre, circuri și organizații concertistice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31DF1" w:rsidRPr="00C53450" w14:paraId="0BAFE781" w14:textId="77777777" w:rsidTr="00C87515">
        <w:tc>
          <w:tcPr>
            <w:tcW w:w="5000" w:type="pct"/>
          </w:tcPr>
          <w:p w14:paraId="40034C3A" w14:textId="77777777" w:rsidR="00131DF1" w:rsidRDefault="00131DF1" w:rsidP="009720A7">
            <w:pPr>
              <w:numPr>
                <w:ilvl w:val="3"/>
                <w:numId w:val="1"/>
              </w:numPr>
              <w:tabs>
                <w:tab w:val="clear" w:pos="2880"/>
                <w:tab w:val="left" w:pos="284"/>
                <w:tab w:val="left" w:pos="1196"/>
              </w:tabs>
              <w:spacing w:after="0"/>
              <w:ind w:left="0" w:firstLine="0"/>
              <w:jc w:val="both"/>
              <w:rPr>
                <w:rFonts w:ascii="Times New Roman" w:hAnsi="Times New Roman"/>
                <w:b/>
                <w:bCs/>
                <w:sz w:val="24"/>
                <w:szCs w:val="24"/>
                <w:lang w:val="ro-MD"/>
              </w:rPr>
            </w:pPr>
            <w:r w:rsidRPr="00AD4139">
              <w:rPr>
                <w:rFonts w:ascii="Times New Roman" w:hAnsi="Times New Roman"/>
                <w:sz w:val="24"/>
                <w:szCs w:val="24"/>
                <w:lang w:val="ro-MD"/>
              </w:rPr>
              <w:t xml:space="preserve"> </w:t>
            </w:r>
            <w:r w:rsidRPr="00AD4139">
              <w:rPr>
                <w:rFonts w:ascii="Times New Roman" w:hAnsi="Times New Roman"/>
                <w:b/>
                <w:bCs/>
                <w:sz w:val="24"/>
                <w:szCs w:val="24"/>
                <w:lang w:val="ro-MD"/>
              </w:rPr>
              <w:t>Denumirea autorului şi, după caz, a participanților la elaborarea proiectului</w:t>
            </w:r>
          </w:p>
          <w:p w14:paraId="599030E0" w14:textId="55CF8AD4" w:rsidR="009720A7" w:rsidRPr="00AD4139" w:rsidRDefault="009720A7" w:rsidP="009720A7">
            <w:pPr>
              <w:tabs>
                <w:tab w:val="left" w:pos="284"/>
                <w:tab w:val="left" w:pos="1196"/>
              </w:tabs>
              <w:spacing w:after="0"/>
              <w:jc w:val="both"/>
              <w:rPr>
                <w:rFonts w:ascii="Times New Roman" w:hAnsi="Times New Roman"/>
                <w:sz w:val="24"/>
                <w:szCs w:val="24"/>
                <w:lang w:val="ro-MD"/>
              </w:rPr>
            </w:pPr>
            <w:r w:rsidRPr="009720A7">
              <w:rPr>
                <w:rFonts w:ascii="Times New Roman" w:hAnsi="Times New Roman"/>
                <w:sz w:val="24"/>
                <w:szCs w:val="24"/>
                <w:lang w:val="ro-MD"/>
              </w:rPr>
              <w:t>Proiectul Hotărârii de Guvern privind modificarea anexei nr. 1 la Hotărârea Guvernului nr.1242/2003 despre unele măsuri de implementare a Legii cu privire la teatre, circuri și organizații concertistice este elaborat de către Ministerul Culturii.</w:t>
            </w:r>
          </w:p>
        </w:tc>
      </w:tr>
      <w:tr w:rsidR="00131DF1" w:rsidRPr="00C53450" w14:paraId="1DE41C21" w14:textId="35456598" w:rsidTr="00C87515">
        <w:tc>
          <w:tcPr>
            <w:tcW w:w="5000" w:type="pct"/>
          </w:tcPr>
          <w:p w14:paraId="76510971" w14:textId="160DC282" w:rsidR="009720A7" w:rsidRPr="00BB7226" w:rsidRDefault="00BB7226" w:rsidP="009720A7">
            <w:pPr>
              <w:tabs>
                <w:tab w:val="left" w:pos="884"/>
                <w:tab w:val="left" w:pos="1196"/>
              </w:tabs>
              <w:spacing w:after="0"/>
              <w:jc w:val="both"/>
              <w:rPr>
                <w:rFonts w:ascii="Times New Roman" w:hAnsi="Times New Roman"/>
                <w:bCs/>
                <w:sz w:val="24"/>
                <w:szCs w:val="24"/>
                <w:lang w:val="ro-RO"/>
              </w:rPr>
            </w:pPr>
            <w:r w:rsidRPr="00BB7226">
              <w:rPr>
                <w:rFonts w:ascii="Times New Roman" w:hAnsi="Times New Roman"/>
                <w:bCs/>
                <w:sz w:val="24"/>
                <w:szCs w:val="24"/>
                <w:lang w:val="ro-RO"/>
              </w:rPr>
              <w:t xml:space="preserve">Proiectul </w:t>
            </w:r>
            <w:r w:rsidR="0019005E" w:rsidRPr="00BB7226">
              <w:rPr>
                <w:rFonts w:ascii="Times New Roman" w:hAnsi="Times New Roman"/>
                <w:bCs/>
                <w:sz w:val="24"/>
                <w:szCs w:val="24"/>
                <w:lang w:val="ro-RO"/>
              </w:rPr>
              <w:t>Hotărârii de Guvern privind modificarea anexei nr. 1 la Hotărârea Guvernului nr.1242/2003 despre unele măsuri de implementare a Legii cu privire la teatre, circuri și organizații concertistice este elaborat de către</w:t>
            </w:r>
            <w:r w:rsidR="0019005E" w:rsidRPr="00BB7226">
              <w:rPr>
                <w:rFonts w:ascii="Times New Roman" w:eastAsia="Times New Roman" w:hAnsi="Times New Roman"/>
                <w:bCs/>
                <w:sz w:val="24"/>
                <w:szCs w:val="24"/>
                <w:lang w:val="ro-RO"/>
              </w:rPr>
              <w:t xml:space="preserve"> </w:t>
            </w:r>
            <w:r w:rsidR="0019005E" w:rsidRPr="00BB7226">
              <w:rPr>
                <w:rFonts w:ascii="Times New Roman" w:hAnsi="Times New Roman"/>
                <w:bCs/>
                <w:sz w:val="24"/>
                <w:szCs w:val="24"/>
                <w:lang w:val="ro-RO"/>
              </w:rPr>
              <w:t>Ministerul Culturii.</w:t>
            </w:r>
          </w:p>
        </w:tc>
      </w:tr>
      <w:tr w:rsidR="00131DF1" w:rsidRPr="00C53450" w14:paraId="1A519179" w14:textId="77777777" w:rsidTr="00C87515">
        <w:tc>
          <w:tcPr>
            <w:tcW w:w="5000" w:type="pct"/>
          </w:tcPr>
          <w:p w14:paraId="55863FFC" w14:textId="28EBA063"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 xml:space="preserve">2. Condițiile ce au impus elaborarea proiectului de act normativ </w:t>
            </w:r>
            <w:proofErr w:type="spellStart"/>
            <w:r w:rsidRPr="00AD4139">
              <w:rPr>
                <w:rFonts w:ascii="Times New Roman" w:hAnsi="Times New Roman"/>
                <w:b/>
                <w:bCs/>
                <w:sz w:val="24"/>
                <w:szCs w:val="24"/>
                <w:lang w:val="ro-MD"/>
              </w:rPr>
              <w:t>şi</w:t>
            </w:r>
            <w:proofErr w:type="spellEnd"/>
            <w:r w:rsidRPr="00AD4139">
              <w:rPr>
                <w:rFonts w:ascii="Times New Roman" w:hAnsi="Times New Roman"/>
                <w:b/>
                <w:bCs/>
                <w:sz w:val="24"/>
                <w:szCs w:val="24"/>
                <w:lang w:val="ro-MD"/>
              </w:rPr>
              <w:t xml:space="preserve"> finalitățile urmărite</w:t>
            </w:r>
          </w:p>
        </w:tc>
      </w:tr>
      <w:tr w:rsidR="00131DF1" w:rsidRPr="00C53450" w14:paraId="54A5C4A7" w14:textId="77777777" w:rsidTr="00C87515">
        <w:tc>
          <w:tcPr>
            <w:tcW w:w="5000" w:type="pct"/>
          </w:tcPr>
          <w:p w14:paraId="46468A26" w14:textId="0333E2A1" w:rsidR="00131DF1" w:rsidRPr="00AD4139" w:rsidRDefault="00165768" w:rsidP="009720A7">
            <w:pPr>
              <w:tabs>
                <w:tab w:val="left" w:pos="884"/>
                <w:tab w:val="left" w:pos="1196"/>
              </w:tabs>
              <w:spacing w:after="0"/>
              <w:jc w:val="both"/>
              <w:rPr>
                <w:rFonts w:ascii="Times New Roman" w:hAnsi="Times New Roman"/>
                <w:sz w:val="24"/>
                <w:szCs w:val="24"/>
                <w:lang w:val="ro-MD"/>
              </w:rPr>
            </w:pPr>
            <w:r>
              <w:rPr>
                <w:rFonts w:ascii="Times New Roman" w:hAnsi="Times New Roman"/>
                <w:sz w:val="24"/>
                <w:szCs w:val="24"/>
                <w:lang w:val="ro-MD"/>
              </w:rPr>
              <w:t>Proiectul</w:t>
            </w:r>
            <w:r w:rsidR="00FC6697" w:rsidRPr="00AD4139">
              <w:rPr>
                <w:rFonts w:ascii="Times New Roman" w:hAnsi="Times New Roman"/>
                <w:sz w:val="24"/>
                <w:szCs w:val="24"/>
                <w:lang w:val="ro-MD"/>
              </w:rPr>
              <w:t xml:space="preserve"> este elaborat în scopul </w:t>
            </w:r>
            <w:r>
              <w:rPr>
                <w:rFonts w:ascii="Times New Roman" w:hAnsi="Times New Roman"/>
                <w:sz w:val="24"/>
                <w:szCs w:val="24"/>
                <w:lang w:val="ro-MD"/>
              </w:rPr>
              <w:t>ajustării prevederilor</w:t>
            </w:r>
            <w:r w:rsidR="00FC6697" w:rsidRPr="00AD4139">
              <w:rPr>
                <w:rFonts w:ascii="Times New Roman" w:hAnsi="Times New Roman"/>
                <w:sz w:val="24"/>
                <w:szCs w:val="24"/>
                <w:lang w:val="ro-MD"/>
              </w:rPr>
              <w:t xml:space="preserve"> Hotărârii de Guvern </w:t>
            </w:r>
            <w:r w:rsidR="00E43F4F">
              <w:rPr>
                <w:rFonts w:ascii="Times New Roman" w:hAnsi="Times New Roman"/>
                <w:sz w:val="24"/>
                <w:szCs w:val="24"/>
                <w:lang w:val="ro-MD"/>
              </w:rPr>
              <w:t xml:space="preserve">nr. </w:t>
            </w:r>
            <w:r w:rsidR="00FC6697" w:rsidRPr="00AD4139">
              <w:rPr>
                <w:rFonts w:ascii="Times New Roman" w:hAnsi="Times New Roman"/>
                <w:sz w:val="24"/>
                <w:szCs w:val="24"/>
                <w:lang w:val="ro-MD"/>
              </w:rPr>
              <w:t>1242/2003 despre unele măsuri de implementare a legii cu privire la teatre, circuri și organizații concertistice, cu</w:t>
            </w:r>
            <w:r>
              <w:rPr>
                <w:rFonts w:ascii="Times New Roman" w:hAnsi="Times New Roman"/>
                <w:sz w:val="24"/>
                <w:szCs w:val="24"/>
                <w:lang w:val="ro-MD"/>
              </w:rPr>
              <w:t xml:space="preserve"> prevederile</w:t>
            </w:r>
            <w:r w:rsidR="00FC6697" w:rsidRPr="00AD4139">
              <w:rPr>
                <w:rFonts w:ascii="Times New Roman" w:hAnsi="Times New Roman"/>
                <w:sz w:val="24"/>
                <w:szCs w:val="24"/>
                <w:lang w:val="ro-MD"/>
              </w:rPr>
              <w:t xml:space="preserve"> Leg</w:t>
            </w:r>
            <w:r>
              <w:rPr>
                <w:rFonts w:ascii="Times New Roman" w:hAnsi="Times New Roman"/>
                <w:sz w:val="24"/>
                <w:szCs w:val="24"/>
                <w:lang w:val="ro-MD"/>
              </w:rPr>
              <w:t>ii</w:t>
            </w:r>
            <w:r w:rsidR="00FC6697" w:rsidRPr="00AD4139">
              <w:rPr>
                <w:rFonts w:ascii="Times New Roman" w:hAnsi="Times New Roman"/>
                <w:sz w:val="24"/>
                <w:szCs w:val="24"/>
                <w:lang w:val="ro-MD"/>
              </w:rPr>
              <w:t xml:space="preserve"> 1421/ 2002 cu privire la teatre, circuri și organizații concertistice</w:t>
            </w:r>
            <w:r w:rsidR="00413C38" w:rsidRPr="00AD4139">
              <w:rPr>
                <w:rFonts w:ascii="Times New Roman" w:hAnsi="Times New Roman"/>
                <w:sz w:val="24"/>
                <w:szCs w:val="24"/>
                <w:lang w:val="ro-MD"/>
              </w:rPr>
              <w:t>, dar și lărgirea spectrului profesional, pentru aplicare la concursul de selectare a conducătorilor de  teatre, circuri și organizații concertistice.</w:t>
            </w:r>
          </w:p>
          <w:p w14:paraId="47122376" w14:textId="77777777" w:rsidR="00431C68" w:rsidRDefault="00B567F4" w:rsidP="009720A7">
            <w:pPr>
              <w:tabs>
                <w:tab w:val="left" w:pos="884"/>
                <w:tab w:val="left" w:pos="1196"/>
              </w:tabs>
              <w:spacing w:after="0"/>
              <w:jc w:val="both"/>
              <w:rPr>
                <w:rFonts w:ascii="Times New Roman" w:hAnsi="Times New Roman"/>
                <w:sz w:val="24"/>
                <w:szCs w:val="24"/>
                <w:lang w:val="ro-MD"/>
              </w:rPr>
            </w:pPr>
            <w:r w:rsidRPr="00AD4139">
              <w:rPr>
                <w:rFonts w:ascii="Times New Roman" w:hAnsi="Times New Roman"/>
                <w:sz w:val="24"/>
                <w:szCs w:val="24"/>
                <w:lang w:val="ro-MD"/>
              </w:rPr>
              <w:t>Astfel</w:t>
            </w:r>
            <w:r w:rsidR="00E43F4F">
              <w:rPr>
                <w:rFonts w:ascii="Times New Roman" w:hAnsi="Times New Roman"/>
                <w:sz w:val="24"/>
                <w:szCs w:val="24"/>
                <w:lang w:val="ro-MD"/>
              </w:rPr>
              <w:t>,</w:t>
            </w:r>
            <w:r w:rsidRPr="00AD4139">
              <w:rPr>
                <w:rFonts w:ascii="Times New Roman" w:hAnsi="Times New Roman"/>
                <w:sz w:val="24"/>
                <w:szCs w:val="24"/>
                <w:lang w:val="ro-MD"/>
              </w:rPr>
              <w:t xml:space="preserve"> </w:t>
            </w:r>
            <w:r w:rsidR="005D6661" w:rsidRPr="00AD4139">
              <w:rPr>
                <w:rFonts w:ascii="Times New Roman" w:hAnsi="Times New Roman"/>
                <w:sz w:val="24"/>
                <w:szCs w:val="24"/>
                <w:lang w:val="ro-MD"/>
              </w:rPr>
              <w:t>conform</w:t>
            </w:r>
            <w:r w:rsidR="007B4A79" w:rsidRPr="00AD4139">
              <w:rPr>
                <w:rFonts w:ascii="Times New Roman" w:hAnsi="Times New Roman"/>
                <w:sz w:val="24"/>
                <w:szCs w:val="24"/>
                <w:lang w:val="ro-MD"/>
              </w:rPr>
              <w:t xml:space="preserve"> </w:t>
            </w:r>
            <w:r w:rsidR="00E43F4F">
              <w:rPr>
                <w:rFonts w:ascii="Times New Roman" w:hAnsi="Times New Roman"/>
                <w:sz w:val="24"/>
                <w:szCs w:val="24"/>
                <w:lang w:val="ro-MD"/>
              </w:rPr>
              <w:t>prevederilor</w:t>
            </w:r>
            <w:r w:rsidR="007B4A79" w:rsidRPr="00AD4139">
              <w:rPr>
                <w:rFonts w:ascii="Times New Roman" w:hAnsi="Times New Roman"/>
                <w:sz w:val="24"/>
                <w:szCs w:val="24"/>
                <w:lang w:val="ro-MD"/>
              </w:rPr>
              <w:t xml:space="preserve"> art. 23, alin. (2) din Legea</w:t>
            </w:r>
            <w:r w:rsidR="00E43F4F">
              <w:rPr>
                <w:rFonts w:ascii="Times New Roman" w:hAnsi="Times New Roman"/>
                <w:sz w:val="24"/>
                <w:szCs w:val="24"/>
                <w:lang w:val="ro-MD"/>
              </w:rPr>
              <w:t xml:space="preserve"> nr.</w:t>
            </w:r>
            <w:r w:rsidR="007B4A79" w:rsidRPr="00AD4139">
              <w:rPr>
                <w:rFonts w:ascii="Times New Roman" w:hAnsi="Times New Roman"/>
                <w:sz w:val="24"/>
                <w:szCs w:val="24"/>
                <w:lang w:val="ro-MD"/>
              </w:rPr>
              <w:t xml:space="preserve"> 1421/2002 </w:t>
            </w:r>
            <w:r w:rsidR="007B4A79" w:rsidRPr="00AD4139">
              <w:rPr>
                <w:rFonts w:ascii="Times New Roman" w:hAnsi="Times New Roman"/>
                <w:i/>
                <w:iCs/>
                <w:sz w:val="24"/>
                <w:szCs w:val="24"/>
                <w:lang w:val="ro-MD"/>
              </w:rPr>
              <w:t xml:space="preserve">cu privire la teatre, circuri și organizații concertistice </w:t>
            </w:r>
            <w:r w:rsidR="007B4A79" w:rsidRPr="00AD4139">
              <w:rPr>
                <w:rFonts w:ascii="Times New Roman" w:hAnsi="Times New Roman"/>
                <w:sz w:val="24"/>
                <w:szCs w:val="24"/>
                <w:lang w:val="ro-MD"/>
              </w:rPr>
              <w:t>administrarea teatrului, circului și organizației concertistice de stat se efectuează de către director, care este desemnat prin concurs de către fondator</w:t>
            </w:r>
            <w:r w:rsidR="00431C68">
              <w:rPr>
                <w:rFonts w:ascii="Times New Roman" w:hAnsi="Times New Roman"/>
                <w:sz w:val="24"/>
                <w:szCs w:val="24"/>
                <w:lang w:val="ro-MD"/>
              </w:rPr>
              <w:t>.</w:t>
            </w:r>
            <w:r w:rsidR="007B4A79" w:rsidRPr="00AD4139">
              <w:rPr>
                <w:rFonts w:ascii="Times New Roman" w:hAnsi="Times New Roman"/>
                <w:sz w:val="24"/>
                <w:szCs w:val="24"/>
                <w:lang w:val="ro-MD"/>
              </w:rPr>
              <w:t xml:space="preserve"> </w:t>
            </w:r>
          </w:p>
          <w:p w14:paraId="7C0C3FF0" w14:textId="77777777" w:rsidR="00431C68" w:rsidRDefault="00431C68" w:rsidP="009720A7">
            <w:pPr>
              <w:tabs>
                <w:tab w:val="left" w:pos="884"/>
                <w:tab w:val="left" w:pos="1196"/>
              </w:tabs>
              <w:spacing w:after="0"/>
              <w:jc w:val="both"/>
              <w:rPr>
                <w:rFonts w:ascii="Times New Roman" w:hAnsi="Times New Roman"/>
                <w:sz w:val="24"/>
                <w:szCs w:val="24"/>
                <w:lang w:val="ro-MD"/>
              </w:rPr>
            </w:pPr>
            <w:r>
              <w:rPr>
                <w:rFonts w:ascii="Times New Roman" w:hAnsi="Times New Roman"/>
                <w:sz w:val="24"/>
                <w:szCs w:val="24"/>
                <w:lang w:val="ro-MD"/>
              </w:rPr>
              <w:t xml:space="preserve">Prevederile actuale din Hotărârea de Guvern nr. 1242/2003 limitează mult cercul de persoane care pot candida la funcția de director al unui teatru, circ sau organizație concertistică, or, conform pct. 17 din hotărâre poate fi director doar </w:t>
            </w:r>
            <w:r w:rsidRPr="00431C68">
              <w:rPr>
                <w:rFonts w:ascii="Times New Roman" w:hAnsi="Times New Roman"/>
                <w:sz w:val="24"/>
                <w:szCs w:val="24"/>
                <w:lang w:val="ro-MD"/>
              </w:rPr>
              <w:t>o persoană cu experienţă în domeniu de cel puţin 10 ani, de specialitate: regizor, dirijor, actor, solist, teatrolog, muzicolog, dramaturg, compozitor, scenograf, coregraf sau animator al procesului de creaţie</w:t>
            </w:r>
            <w:r>
              <w:rPr>
                <w:rFonts w:ascii="Times New Roman" w:hAnsi="Times New Roman"/>
                <w:sz w:val="24"/>
                <w:szCs w:val="24"/>
                <w:lang w:val="ro-MD"/>
              </w:rPr>
              <w:t>.</w:t>
            </w:r>
          </w:p>
          <w:p w14:paraId="09613860" w14:textId="77777777" w:rsidR="00D8299A" w:rsidRDefault="00431C68" w:rsidP="009720A7">
            <w:pPr>
              <w:tabs>
                <w:tab w:val="left" w:pos="884"/>
                <w:tab w:val="left" w:pos="1196"/>
              </w:tabs>
              <w:spacing w:after="0"/>
              <w:jc w:val="both"/>
              <w:rPr>
                <w:rFonts w:ascii="Times New Roman" w:hAnsi="Times New Roman"/>
                <w:sz w:val="24"/>
                <w:szCs w:val="24"/>
                <w:lang w:val="ro-MD"/>
              </w:rPr>
            </w:pPr>
            <w:r>
              <w:rPr>
                <w:rFonts w:ascii="Times New Roman" w:hAnsi="Times New Roman"/>
                <w:sz w:val="24"/>
                <w:szCs w:val="24"/>
                <w:lang w:val="ro-MD"/>
              </w:rPr>
              <w:t xml:space="preserve">Prin proiect se urmărește lărgirea cercului de potențiali candidați, în situația în care la concursurile organizate de Ministerul Culturii pentru funcțiile de director la instituțiile vizate nu se înregistrează un număr suficient de candidați. </w:t>
            </w:r>
            <w:r w:rsidR="006654B0">
              <w:rPr>
                <w:rFonts w:ascii="Times New Roman" w:hAnsi="Times New Roman"/>
                <w:sz w:val="24"/>
                <w:szCs w:val="24"/>
                <w:lang w:val="ro-MD"/>
              </w:rPr>
              <w:t>Autorul consideră că pentru a fi numit în funcția de director nu este obligatoriu ca un potențial candidat să dețină neapărat o experiență de 10 ani în domeniul culturii. Având în vedere că de la un director se cere per general să administreze un teatru, circ sau organizație concertistică, dar nu neapărat să se ocupe doar de partea artistică, mai ales că entitățile vizate au și directori artistici care se ocupă în special de activitatea artistică, se consideră oportună relaxarea condițiilor de accedere în funcția de director, or, experiența în domenii precum cel juridic, economic și de administrare oferă suficientă pregătire pentru a administra organizații, companii și instituții din diferite domenii, inclusiv din domeniul culturii.</w:t>
            </w:r>
          </w:p>
          <w:p w14:paraId="68244617" w14:textId="3D0BD117" w:rsidR="00431C68" w:rsidRDefault="006654B0" w:rsidP="009720A7">
            <w:pPr>
              <w:tabs>
                <w:tab w:val="left" w:pos="884"/>
                <w:tab w:val="left" w:pos="1196"/>
              </w:tabs>
              <w:spacing w:after="0"/>
              <w:jc w:val="both"/>
              <w:rPr>
                <w:rFonts w:ascii="Times New Roman" w:hAnsi="Times New Roman"/>
                <w:sz w:val="24"/>
                <w:szCs w:val="24"/>
                <w:lang w:val="ro-MD"/>
              </w:rPr>
            </w:pPr>
            <w:r>
              <w:rPr>
                <w:rFonts w:ascii="Times New Roman" w:hAnsi="Times New Roman"/>
                <w:sz w:val="24"/>
                <w:szCs w:val="24"/>
                <w:lang w:val="ro-MD"/>
              </w:rPr>
              <w:t xml:space="preserve"> </w:t>
            </w:r>
          </w:p>
          <w:p w14:paraId="3E0CB2DC" w14:textId="77777777" w:rsidR="0079674B" w:rsidRDefault="000D2BC3" w:rsidP="009720A7">
            <w:pPr>
              <w:tabs>
                <w:tab w:val="left" w:pos="884"/>
                <w:tab w:val="left" w:pos="1196"/>
              </w:tabs>
              <w:spacing w:after="0"/>
              <w:jc w:val="both"/>
              <w:rPr>
                <w:rFonts w:ascii="Times New Roman" w:hAnsi="Times New Roman"/>
                <w:sz w:val="24"/>
                <w:szCs w:val="24"/>
                <w:lang w:val="ro-MD"/>
              </w:rPr>
            </w:pPr>
            <w:r>
              <w:rPr>
                <w:rFonts w:ascii="Times New Roman" w:hAnsi="Times New Roman"/>
                <w:sz w:val="24"/>
                <w:szCs w:val="24"/>
                <w:lang w:val="ro-MD"/>
              </w:rPr>
              <w:t xml:space="preserve">Adițional, proiectul mai urmărește aducerea prevederilor </w:t>
            </w:r>
            <w:r w:rsidRPr="00AD4139">
              <w:rPr>
                <w:rFonts w:ascii="Times New Roman" w:hAnsi="Times New Roman"/>
                <w:sz w:val="24"/>
                <w:szCs w:val="24"/>
                <w:lang w:val="ro-MD"/>
              </w:rPr>
              <w:t xml:space="preserve">Hotărârii de Guvern </w:t>
            </w:r>
            <w:r>
              <w:rPr>
                <w:rFonts w:ascii="Times New Roman" w:hAnsi="Times New Roman"/>
                <w:sz w:val="24"/>
                <w:szCs w:val="24"/>
                <w:lang w:val="ro-MD"/>
              </w:rPr>
              <w:t xml:space="preserve">nr. </w:t>
            </w:r>
            <w:r w:rsidRPr="00AD4139">
              <w:rPr>
                <w:rFonts w:ascii="Times New Roman" w:hAnsi="Times New Roman"/>
                <w:sz w:val="24"/>
                <w:szCs w:val="24"/>
                <w:lang w:val="ro-MD"/>
              </w:rPr>
              <w:t xml:space="preserve">1242/2003 </w:t>
            </w:r>
            <w:r>
              <w:rPr>
                <w:rFonts w:ascii="Times New Roman" w:hAnsi="Times New Roman"/>
                <w:sz w:val="24"/>
                <w:szCs w:val="24"/>
                <w:lang w:val="ro-MD"/>
              </w:rPr>
              <w:t xml:space="preserve">în conformitate cu prevederile </w:t>
            </w:r>
            <w:r w:rsidRPr="00AD4139">
              <w:rPr>
                <w:rFonts w:ascii="Times New Roman" w:hAnsi="Times New Roman"/>
                <w:sz w:val="24"/>
                <w:szCs w:val="24"/>
                <w:lang w:val="ro-MD"/>
              </w:rPr>
              <w:t>Leg</w:t>
            </w:r>
            <w:r>
              <w:rPr>
                <w:rFonts w:ascii="Times New Roman" w:hAnsi="Times New Roman"/>
                <w:sz w:val="24"/>
                <w:szCs w:val="24"/>
                <w:lang w:val="ro-MD"/>
              </w:rPr>
              <w:t>ii nr.</w:t>
            </w:r>
            <w:r w:rsidRPr="00AD4139">
              <w:rPr>
                <w:rFonts w:ascii="Times New Roman" w:hAnsi="Times New Roman"/>
                <w:sz w:val="24"/>
                <w:szCs w:val="24"/>
                <w:lang w:val="ro-MD"/>
              </w:rPr>
              <w:t xml:space="preserve"> 1421/2002</w:t>
            </w:r>
            <w:r w:rsidR="00D8299A">
              <w:rPr>
                <w:rFonts w:ascii="Times New Roman" w:hAnsi="Times New Roman"/>
                <w:sz w:val="24"/>
                <w:szCs w:val="24"/>
                <w:lang w:val="ro-MD"/>
              </w:rPr>
              <w:t xml:space="preserve"> în privința plății subvențiilor. Prin Legea nr. 172/2018 au fost abrogate prevederile art. 17 din Legea nr. 1421/2002 conform cărora </w:t>
            </w:r>
            <w:r w:rsidR="004232A9">
              <w:rPr>
                <w:rFonts w:ascii="Times New Roman" w:hAnsi="Times New Roman"/>
                <w:sz w:val="24"/>
                <w:szCs w:val="24"/>
                <w:lang w:val="ro-MD"/>
              </w:rPr>
              <w:t>t</w:t>
            </w:r>
            <w:r w:rsidR="00BD4DE7" w:rsidRPr="00BD4DE7">
              <w:rPr>
                <w:rFonts w:ascii="Times New Roman" w:hAnsi="Times New Roman"/>
                <w:sz w:val="24"/>
                <w:szCs w:val="24"/>
                <w:lang w:val="ro-MD"/>
              </w:rPr>
              <w:t>eatrele, circurile şi organizaţiile concertistice de stat beneficia</w:t>
            </w:r>
            <w:r w:rsidR="004232A9">
              <w:rPr>
                <w:rFonts w:ascii="Times New Roman" w:hAnsi="Times New Roman"/>
                <w:sz w:val="24"/>
                <w:szCs w:val="24"/>
                <w:lang w:val="ro-MD"/>
              </w:rPr>
              <w:t>u</w:t>
            </w:r>
            <w:r w:rsidR="00BD4DE7" w:rsidRPr="00BD4DE7">
              <w:rPr>
                <w:rFonts w:ascii="Times New Roman" w:hAnsi="Times New Roman"/>
                <w:sz w:val="24"/>
                <w:szCs w:val="24"/>
                <w:lang w:val="ro-MD"/>
              </w:rPr>
              <w:t xml:space="preserve"> de subvenţii din buget pentru acoperirea în mărime de 60% a cheltuielilor aferente activităţii lor</w:t>
            </w:r>
            <w:r w:rsidR="00BD4DE7">
              <w:rPr>
                <w:rFonts w:ascii="Times New Roman" w:hAnsi="Times New Roman"/>
                <w:sz w:val="24"/>
                <w:szCs w:val="24"/>
                <w:lang w:val="ro-MD"/>
              </w:rPr>
              <w:t>,</w:t>
            </w:r>
            <w:r w:rsidR="004232A9">
              <w:rPr>
                <w:rFonts w:ascii="Times New Roman" w:hAnsi="Times New Roman"/>
                <w:sz w:val="24"/>
                <w:szCs w:val="24"/>
                <w:lang w:val="ro-MD"/>
              </w:rPr>
              <w:t xml:space="preserve"> precum și</w:t>
            </w:r>
            <w:r w:rsidR="00BD4DE7">
              <w:rPr>
                <w:rFonts w:ascii="Times New Roman" w:hAnsi="Times New Roman"/>
                <w:sz w:val="24"/>
                <w:szCs w:val="24"/>
                <w:lang w:val="ro-MD"/>
              </w:rPr>
              <w:t xml:space="preserve"> </w:t>
            </w:r>
            <w:r w:rsidR="004232A9">
              <w:rPr>
                <w:rFonts w:ascii="Times New Roman" w:hAnsi="Times New Roman"/>
                <w:sz w:val="24"/>
                <w:szCs w:val="24"/>
                <w:lang w:val="ro-MD"/>
              </w:rPr>
              <w:t>t</w:t>
            </w:r>
            <w:r w:rsidR="00BD4DE7" w:rsidRPr="00BD4DE7">
              <w:rPr>
                <w:rFonts w:ascii="Times New Roman" w:hAnsi="Times New Roman"/>
                <w:sz w:val="24"/>
                <w:szCs w:val="24"/>
                <w:lang w:val="ro-MD"/>
              </w:rPr>
              <w:t>eatrele, circurile şi organizaţiile concertistice naţionale beneficia</w:t>
            </w:r>
            <w:r w:rsidR="004232A9">
              <w:rPr>
                <w:rFonts w:ascii="Times New Roman" w:hAnsi="Times New Roman"/>
                <w:sz w:val="24"/>
                <w:szCs w:val="24"/>
                <w:lang w:val="ro-MD"/>
              </w:rPr>
              <w:t>u</w:t>
            </w:r>
            <w:r w:rsidR="00BD4DE7" w:rsidRPr="00BD4DE7">
              <w:rPr>
                <w:rFonts w:ascii="Times New Roman" w:hAnsi="Times New Roman"/>
                <w:sz w:val="24"/>
                <w:szCs w:val="24"/>
                <w:lang w:val="ro-MD"/>
              </w:rPr>
              <w:t xml:space="preserve"> de subvenţii din buget pentru acoperirea cheltuielilor aferente activităţii lor pe parcursul anului financiar şi pentru realizarea proiectelor de creaţie de importanţă naţională în mărime de pînă la 80% faţă de cheltuielile totale</w:t>
            </w:r>
            <w:r w:rsidR="00BD4DE7">
              <w:rPr>
                <w:rFonts w:ascii="Times New Roman" w:hAnsi="Times New Roman"/>
                <w:sz w:val="24"/>
                <w:szCs w:val="24"/>
                <w:lang w:val="ro-MD"/>
              </w:rPr>
              <w:t xml:space="preserve">. </w:t>
            </w:r>
            <w:r w:rsidR="0079674B">
              <w:rPr>
                <w:rFonts w:ascii="Times New Roman" w:hAnsi="Times New Roman"/>
                <w:sz w:val="24"/>
                <w:szCs w:val="24"/>
                <w:lang w:val="ro-MD"/>
              </w:rPr>
              <w:t xml:space="preserve">Cu toate acestea, prevederi similare continuă să existe la pct. 37 al </w:t>
            </w:r>
            <w:r w:rsidR="0079674B" w:rsidRPr="00AD4139">
              <w:rPr>
                <w:rFonts w:ascii="Times New Roman" w:hAnsi="Times New Roman"/>
                <w:sz w:val="24"/>
                <w:szCs w:val="24"/>
                <w:lang w:val="ro-MD"/>
              </w:rPr>
              <w:t xml:space="preserve">Hotărârii de Guvern </w:t>
            </w:r>
            <w:r w:rsidR="0079674B">
              <w:rPr>
                <w:rFonts w:ascii="Times New Roman" w:hAnsi="Times New Roman"/>
                <w:sz w:val="24"/>
                <w:szCs w:val="24"/>
                <w:lang w:val="ro-MD"/>
              </w:rPr>
              <w:t xml:space="preserve">nr. </w:t>
            </w:r>
            <w:r w:rsidR="0079674B" w:rsidRPr="00AD4139">
              <w:rPr>
                <w:rFonts w:ascii="Times New Roman" w:hAnsi="Times New Roman"/>
                <w:sz w:val="24"/>
                <w:szCs w:val="24"/>
                <w:lang w:val="ro-MD"/>
              </w:rPr>
              <w:t>1242/2003</w:t>
            </w:r>
            <w:r w:rsidR="0079674B">
              <w:rPr>
                <w:rFonts w:ascii="Times New Roman" w:hAnsi="Times New Roman"/>
                <w:sz w:val="24"/>
                <w:szCs w:val="24"/>
                <w:lang w:val="ro-MD"/>
              </w:rPr>
              <w:t xml:space="preserve">. </w:t>
            </w:r>
            <w:r w:rsidR="0079674B">
              <w:rPr>
                <w:rFonts w:ascii="Times New Roman" w:hAnsi="Times New Roman"/>
                <w:sz w:val="24"/>
                <w:szCs w:val="24"/>
                <w:lang w:val="ro-MD"/>
              </w:rPr>
              <w:lastRenderedPageBreak/>
              <w:t xml:space="preserve">Conchidem că odată cu abrogarea art. 17 din Legea nr. 1421/2002, au devenit caduce și nu mai pot fi aplicate prevederile pct. 37 al </w:t>
            </w:r>
            <w:r w:rsidR="0079674B" w:rsidRPr="00AD4139">
              <w:rPr>
                <w:rFonts w:ascii="Times New Roman" w:hAnsi="Times New Roman"/>
                <w:sz w:val="24"/>
                <w:szCs w:val="24"/>
                <w:lang w:val="ro-MD"/>
              </w:rPr>
              <w:t xml:space="preserve">Hotărârii de Guvern </w:t>
            </w:r>
            <w:r w:rsidR="0079674B">
              <w:rPr>
                <w:rFonts w:ascii="Times New Roman" w:hAnsi="Times New Roman"/>
                <w:sz w:val="24"/>
                <w:szCs w:val="24"/>
                <w:lang w:val="ro-MD"/>
              </w:rPr>
              <w:t xml:space="preserve">nr. </w:t>
            </w:r>
            <w:r w:rsidR="0079674B" w:rsidRPr="00AD4139">
              <w:rPr>
                <w:rFonts w:ascii="Times New Roman" w:hAnsi="Times New Roman"/>
                <w:sz w:val="24"/>
                <w:szCs w:val="24"/>
                <w:lang w:val="ro-MD"/>
              </w:rPr>
              <w:t>1242/2003</w:t>
            </w:r>
            <w:r w:rsidR="0079674B">
              <w:rPr>
                <w:rFonts w:ascii="Times New Roman" w:hAnsi="Times New Roman"/>
                <w:sz w:val="24"/>
                <w:szCs w:val="24"/>
                <w:lang w:val="ro-MD"/>
              </w:rPr>
              <w:t xml:space="preserve">. </w:t>
            </w:r>
          </w:p>
          <w:p w14:paraId="1F097FEA" w14:textId="77777777" w:rsidR="001A318A" w:rsidRDefault="0079674B" w:rsidP="009720A7">
            <w:pPr>
              <w:tabs>
                <w:tab w:val="left" w:pos="884"/>
                <w:tab w:val="left" w:pos="1196"/>
              </w:tabs>
              <w:spacing w:after="0"/>
              <w:jc w:val="both"/>
              <w:rPr>
                <w:rFonts w:ascii="Times New Roman" w:hAnsi="Times New Roman"/>
                <w:sz w:val="24"/>
                <w:szCs w:val="24"/>
                <w:lang w:val="ro-MD"/>
              </w:rPr>
            </w:pPr>
            <w:r>
              <w:rPr>
                <w:rFonts w:ascii="Times New Roman" w:hAnsi="Times New Roman"/>
                <w:sz w:val="24"/>
                <w:szCs w:val="24"/>
                <w:lang w:val="ro-MD"/>
              </w:rPr>
              <w:t xml:space="preserve">Astfel, proiectul prevede o nouă redacție a pct. 37 conform căruia plata subvențiilor se va efectua conform modului stabilit de Guvern. Relatăm că în prezent </w:t>
            </w:r>
            <w:r w:rsidR="00D82A71">
              <w:rPr>
                <w:rFonts w:ascii="Times New Roman" w:hAnsi="Times New Roman"/>
                <w:sz w:val="24"/>
                <w:szCs w:val="24"/>
                <w:lang w:val="ro-MD"/>
              </w:rPr>
              <w:t xml:space="preserve">la Ministerul Culturii </w:t>
            </w:r>
            <w:r>
              <w:rPr>
                <w:rFonts w:ascii="Times New Roman" w:hAnsi="Times New Roman"/>
                <w:sz w:val="24"/>
                <w:szCs w:val="24"/>
                <w:lang w:val="ro-MD"/>
              </w:rPr>
              <w:t>se află în proces de elaborare un proiect de hotărâre de guvern cu privire la aprobarea metodologiei de efectuare a plăților subvențiilor</w:t>
            </w:r>
            <w:r w:rsidR="00D82A71">
              <w:rPr>
                <w:rFonts w:ascii="Times New Roman" w:hAnsi="Times New Roman"/>
                <w:sz w:val="24"/>
                <w:szCs w:val="24"/>
                <w:lang w:val="ro-MD"/>
              </w:rPr>
              <w:t xml:space="preserve"> destinate t</w:t>
            </w:r>
            <w:r w:rsidR="00D82A71" w:rsidRPr="00BD4DE7">
              <w:rPr>
                <w:rFonts w:ascii="Times New Roman" w:hAnsi="Times New Roman"/>
                <w:sz w:val="24"/>
                <w:szCs w:val="24"/>
                <w:lang w:val="ro-MD"/>
              </w:rPr>
              <w:t>eatrel</w:t>
            </w:r>
            <w:r w:rsidR="00D82A71">
              <w:rPr>
                <w:rFonts w:ascii="Times New Roman" w:hAnsi="Times New Roman"/>
                <w:sz w:val="24"/>
                <w:szCs w:val="24"/>
                <w:lang w:val="ro-MD"/>
              </w:rPr>
              <w:t>or</w:t>
            </w:r>
            <w:r w:rsidR="00D82A71" w:rsidRPr="00BD4DE7">
              <w:rPr>
                <w:rFonts w:ascii="Times New Roman" w:hAnsi="Times New Roman"/>
                <w:sz w:val="24"/>
                <w:szCs w:val="24"/>
                <w:lang w:val="ro-MD"/>
              </w:rPr>
              <w:t>, circuril</w:t>
            </w:r>
            <w:r w:rsidR="00D82A71">
              <w:rPr>
                <w:rFonts w:ascii="Times New Roman" w:hAnsi="Times New Roman"/>
                <w:sz w:val="24"/>
                <w:szCs w:val="24"/>
                <w:lang w:val="ro-MD"/>
              </w:rPr>
              <w:t>or</w:t>
            </w:r>
            <w:r w:rsidR="00D82A71" w:rsidRPr="00BD4DE7">
              <w:rPr>
                <w:rFonts w:ascii="Times New Roman" w:hAnsi="Times New Roman"/>
                <w:sz w:val="24"/>
                <w:szCs w:val="24"/>
                <w:lang w:val="ro-MD"/>
              </w:rPr>
              <w:t xml:space="preserve"> şi organizaţiil</w:t>
            </w:r>
            <w:r w:rsidR="00D82A71">
              <w:rPr>
                <w:rFonts w:ascii="Times New Roman" w:hAnsi="Times New Roman"/>
                <w:sz w:val="24"/>
                <w:szCs w:val="24"/>
                <w:lang w:val="ro-MD"/>
              </w:rPr>
              <w:t>or</w:t>
            </w:r>
            <w:r w:rsidR="00D82A71" w:rsidRPr="00BD4DE7">
              <w:rPr>
                <w:rFonts w:ascii="Times New Roman" w:hAnsi="Times New Roman"/>
                <w:sz w:val="24"/>
                <w:szCs w:val="24"/>
                <w:lang w:val="ro-MD"/>
              </w:rPr>
              <w:t xml:space="preserve"> concertistice</w:t>
            </w:r>
            <w:r>
              <w:rPr>
                <w:rFonts w:ascii="Times New Roman" w:hAnsi="Times New Roman"/>
                <w:sz w:val="24"/>
                <w:szCs w:val="24"/>
                <w:lang w:val="ro-MD"/>
              </w:rPr>
              <w:t xml:space="preserve">.  </w:t>
            </w:r>
          </w:p>
          <w:p w14:paraId="6BA283C3" w14:textId="63D3981D" w:rsidR="00D123D8" w:rsidRPr="00AD4139" w:rsidRDefault="00FC63A5" w:rsidP="009720A7">
            <w:pPr>
              <w:tabs>
                <w:tab w:val="left" w:pos="884"/>
                <w:tab w:val="left" w:pos="1196"/>
              </w:tabs>
              <w:spacing w:after="0"/>
              <w:jc w:val="both"/>
              <w:rPr>
                <w:rFonts w:ascii="Times New Roman" w:hAnsi="Times New Roman"/>
                <w:sz w:val="24"/>
                <w:szCs w:val="24"/>
                <w:lang w:val="ro-MD"/>
              </w:rPr>
            </w:pPr>
            <w:r w:rsidRPr="00FC63A5">
              <w:rPr>
                <w:rFonts w:ascii="Times New Roman" w:hAnsi="Times New Roman"/>
                <w:sz w:val="24"/>
                <w:szCs w:val="24"/>
                <w:lang w:val="ro-MD"/>
              </w:rPr>
              <w:t xml:space="preserve">Necesitatea intrării în vigoare a Hotărîrii Guvernului la data publicării în Monitorul Oficial al Republicii Moldova rezultă din faptul că </w:t>
            </w:r>
            <w:r>
              <w:rPr>
                <w:rFonts w:ascii="Times New Roman" w:hAnsi="Times New Roman"/>
                <w:sz w:val="24"/>
                <w:szCs w:val="24"/>
                <w:lang w:val="ro-MD"/>
              </w:rPr>
              <w:t>se urmărește organizarea concursurilor pentru alegerea directorilor la mai multe teatre, iar intrarea în vigoare cu întârziere a hotărârii de guvern va tergiversa și alegerea directorilor. Mai mult, din cauza numărului redus de potențiali candidați, nu este exclus că ar urma să fie organizate și concursuri repetate în condițiile în care concursurile vor fi organizate potrivit prevederilor actuale care reduc considerabil cercul de potențiali candidați.</w:t>
            </w:r>
          </w:p>
        </w:tc>
      </w:tr>
      <w:tr w:rsidR="00131DF1" w:rsidRPr="00C53450" w14:paraId="7DFAAF08" w14:textId="77777777" w:rsidTr="00C87515">
        <w:tc>
          <w:tcPr>
            <w:tcW w:w="5000" w:type="pct"/>
          </w:tcPr>
          <w:p w14:paraId="76761B66"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lastRenderedPageBreak/>
              <w:t>3. Descrierea gradului de compatibilitate pentru proiectele care au ca scop armonizarea legislaţiei naţionale cu legislaţia Uniunii Europene</w:t>
            </w:r>
          </w:p>
          <w:p w14:paraId="2C060501" w14:textId="77777777" w:rsidR="005968DC" w:rsidRPr="00AD4139" w:rsidRDefault="005968DC"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 xml:space="preserve"> </w:t>
            </w:r>
          </w:p>
        </w:tc>
      </w:tr>
      <w:tr w:rsidR="00131DF1" w:rsidRPr="00C53450" w14:paraId="189594B6" w14:textId="77777777" w:rsidTr="00C87515">
        <w:tc>
          <w:tcPr>
            <w:tcW w:w="5000" w:type="pct"/>
          </w:tcPr>
          <w:p w14:paraId="1519C48A" w14:textId="77777777" w:rsidR="00131DF1" w:rsidRPr="00F3155F" w:rsidRDefault="001B16FF" w:rsidP="009720A7">
            <w:pPr>
              <w:tabs>
                <w:tab w:val="left" w:pos="884"/>
                <w:tab w:val="left" w:pos="1196"/>
              </w:tabs>
              <w:spacing w:after="0"/>
              <w:jc w:val="both"/>
              <w:rPr>
                <w:rFonts w:ascii="Times New Roman" w:hAnsi="Times New Roman"/>
                <w:sz w:val="24"/>
                <w:szCs w:val="24"/>
                <w:lang w:val="ro-MD"/>
              </w:rPr>
            </w:pPr>
            <w:r w:rsidRPr="00F3155F">
              <w:rPr>
                <w:rFonts w:ascii="Times New Roman" w:hAnsi="Times New Roman"/>
                <w:sz w:val="24"/>
                <w:szCs w:val="24"/>
                <w:lang w:val="ro-MD"/>
              </w:rPr>
              <w:t>Prezentul proiect de Hotărâre nu contravine legislației Uniunii Europene și nu are ca scop armonizarea legislației naționale cu legislația Uniunii Europene</w:t>
            </w:r>
          </w:p>
        </w:tc>
      </w:tr>
      <w:tr w:rsidR="00131DF1" w:rsidRPr="00C53450" w14:paraId="12D239AC" w14:textId="77777777" w:rsidTr="00C87515">
        <w:tc>
          <w:tcPr>
            <w:tcW w:w="5000" w:type="pct"/>
          </w:tcPr>
          <w:p w14:paraId="3D76D4E5"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 xml:space="preserve">4. Principalele prevederi ale proiectului şi </w:t>
            </w:r>
            <w:r w:rsidR="00F76CF4" w:rsidRPr="00AD4139">
              <w:rPr>
                <w:rFonts w:ascii="Times New Roman" w:hAnsi="Times New Roman"/>
                <w:b/>
                <w:bCs/>
                <w:sz w:val="24"/>
                <w:szCs w:val="24"/>
                <w:lang w:val="ro-MD"/>
              </w:rPr>
              <w:t>evidențierea</w:t>
            </w:r>
            <w:r w:rsidRPr="00AD4139">
              <w:rPr>
                <w:rFonts w:ascii="Times New Roman" w:hAnsi="Times New Roman"/>
                <w:b/>
                <w:bCs/>
                <w:sz w:val="24"/>
                <w:szCs w:val="24"/>
                <w:lang w:val="ro-MD"/>
              </w:rPr>
              <w:t xml:space="preserve"> elementelor noi</w:t>
            </w:r>
          </w:p>
        </w:tc>
      </w:tr>
      <w:tr w:rsidR="00131DF1" w:rsidRPr="00C53450" w14:paraId="339B1EA1" w14:textId="77777777" w:rsidTr="00C87515">
        <w:tc>
          <w:tcPr>
            <w:tcW w:w="5000" w:type="pct"/>
          </w:tcPr>
          <w:p w14:paraId="3DA7D848" w14:textId="4053E705" w:rsidR="0019005E" w:rsidRPr="0019005E" w:rsidRDefault="0019005E" w:rsidP="009720A7">
            <w:pPr>
              <w:numPr>
                <w:ilvl w:val="0"/>
                <w:numId w:val="2"/>
              </w:numPr>
              <w:tabs>
                <w:tab w:val="left" w:pos="5529"/>
              </w:tabs>
              <w:spacing w:before="120" w:after="0"/>
              <w:contextualSpacing/>
              <w:jc w:val="both"/>
              <w:rPr>
                <w:rFonts w:ascii="Times New Roman" w:hAnsi="Times New Roman"/>
                <w:color w:val="000000"/>
                <w:sz w:val="24"/>
                <w:szCs w:val="24"/>
                <w:lang w:val="ro-MD" w:eastAsia="en-US"/>
              </w:rPr>
            </w:pPr>
            <w:r>
              <w:rPr>
                <w:rFonts w:ascii="Times New Roman" w:hAnsi="Times New Roman"/>
                <w:color w:val="000000"/>
                <w:sz w:val="24"/>
                <w:szCs w:val="24"/>
                <w:lang w:val="ro-MD" w:eastAsia="en-US"/>
              </w:rPr>
              <w:t>M</w:t>
            </w:r>
            <w:r w:rsidRPr="0019005E">
              <w:rPr>
                <w:rFonts w:ascii="Times New Roman" w:hAnsi="Times New Roman"/>
                <w:color w:val="000000"/>
                <w:sz w:val="24"/>
                <w:szCs w:val="24"/>
                <w:lang w:val="ro-MD" w:eastAsia="en-US"/>
              </w:rPr>
              <w:t xml:space="preserve">odificarea cerințelor pentru accedere </w:t>
            </w:r>
            <w:r w:rsidRPr="0019005E">
              <w:rPr>
                <w:rFonts w:ascii="Times New Roman" w:hAnsi="Times New Roman"/>
                <w:sz w:val="24"/>
                <w:szCs w:val="24"/>
                <w:lang w:val="ro-MD" w:eastAsia="en-US"/>
              </w:rPr>
              <w:t xml:space="preserve">în funcția de director al unui teatru, circ sau organizație concertistică, prin </w:t>
            </w:r>
            <w:r w:rsidRPr="0019005E">
              <w:rPr>
                <w:rFonts w:ascii="Times New Roman" w:hAnsi="Times New Roman"/>
                <w:color w:val="000000"/>
                <w:sz w:val="24"/>
                <w:szCs w:val="24"/>
                <w:lang w:val="ro-MD" w:eastAsia="en-US"/>
              </w:rPr>
              <w:t xml:space="preserve">extinderea domeniilor de specialitate eligibile pentru funcția dată (științe administrative, economie, business și administrare, drept sau în domeniul general arte), </w:t>
            </w:r>
            <w:r w:rsidRPr="0019005E">
              <w:rPr>
                <w:rFonts w:ascii="Times New Roman" w:hAnsi="Times New Roman"/>
                <w:sz w:val="24"/>
                <w:szCs w:val="24"/>
                <w:lang w:val="ro-MD" w:eastAsia="en-US"/>
              </w:rPr>
              <w:t xml:space="preserve"> și diminuarea perioadei de experiență (</w:t>
            </w:r>
            <w:r w:rsidRPr="0019005E">
              <w:rPr>
                <w:rFonts w:ascii="Times New Roman" w:hAnsi="Times New Roman"/>
                <w:color w:val="000000"/>
                <w:sz w:val="24"/>
                <w:szCs w:val="24"/>
                <w:lang w:val="ro-MD" w:eastAsia="en-US"/>
              </w:rPr>
              <w:t>de la 10 la 5 ani);</w:t>
            </w:r>
          </w:p>
          <w:p w14:paraId="25FB4537" w14:textId="7545A0DE" w:rsidR="00F3155F" w:rsidRPr="00BB7226" w:rsidRDefault="0019005E" w:rsidP="005A5813">
            <w:pPr>
              <w:pStyle w:val="a3"/>
              <w:numPr>
                <w:ilvl w:val="0"/>
                <w:numId w:val="2"/>
              </w:numPr>
              <w:tabs>
                <w:tab w:val="left" w:pos="884"/>
                <w:tab w:val="left" w:pos="1196"/>
                <w:tab w:val="left" w:pos="5529"/>
              </w:tabs>
              <w:spacing w:after="0"/>
              <w:jc w:val="both"/>
              <w:rPr>
                <w:rFonts w:ascii="Times New Roman" w:hAnsi="Times New Roman"/>
                <w:sz w:val="24"/>
                <w:szCs w:val="24"/>
                <w:lang w:val="ro-MD"/>
              </w:rPr>
            </w:pPr>
            <w:r w:rsidRPr="005A5813">
              <w:rPr>
                <w:rFonts w:ascii="Times New Roman" w:hAnsi="Times New Roman"/>
                <w:color w:val="000000"/>
                <w:sz w:val="24"/>
                <w:szCs w:val="24"/>
                <w:lang w:val="ro-MD" w:eastAsia="en-US"/>
              </w:rPr>
              <w:t>Modificarea reglementărilor ce țin de acordarea subvențiilor din partea fondatorului, în contextul modificărilor operate la Legea nr.1421/2002 cu privire la teatre, circuri și organizații concertistice prin Legea nr.172/2018 pentru modificarea unor acte normative</w:t>
            </w:r>
            <w:r w:rsidR="007F55D2" w:rsidRPr="005A5813">
              <w:rPr>
                <w:rFonts w:ascii="Times New Roman" w:hAnsi="Times New Roman"/>
                <w:color w:val="000000"/>
                <w:sz w:val="24"/>
                <w:szCs w:val="24"/>
                <w:lang w:val="ro-MD" w:eastAsia="en-US"/>
              </w:rPr>
              <w:t>;</w:t>
            </w:r>
          </w:p>
        </w:tc>
      </w:tr>
      <w:tr w:rsidR="00131DF1" w:rsidRPr="00AD4139" w14:paraId="611062A0" w14:textId="77777777" w:rsidTr="00C87515">
        <w:tc>
          <w:tcPr>
            <w:tcW w:w="5000" w:type="pct"/>
          </w:tcPr>
          <w:p w14:paraId="60F2E38C"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5. Fundamentarea economico-financiară</w:t>
            </w:r>
          </w:p>
        </w:tc>
      </w:tr>
      <w:tr w:rsidR="00131DF1" w:rsidRPr="00C53450" w14:paraId="5D3AB5F5" w14:textId="77777777" w:rsidTr="00C87515">
        <w:tc>
          <w:tcPr>
            <w:tcW w:w="5000" w:type="pct"/>
          </w:tcPr>
          <w:p w14:paraId="4CA47C20" w14:textId="1C53AE35" w:rsidR="00131DF1" w:rsidRPr="00AD4139" w:rsidRDefault="0019005E" w:rsidP="009720A7">
            <w:pPr>
              <w:tabs>
                <w:tab w:val="left" w:pos="884"/>
                <w:tab w:val="left" w:pos="1196"/>
              </w:tabs>
              <w:spacing w:after="0"/>
              <w:jc w:val="both"/>
              <w:rPr>
                <w:rFonts w:ascii="Times New Roman" w:hAnsi="Times New Roman"/>
                <w:sz w:val="24"/>
                <w:szCs w:val="24"/>
                <w:lang w:val="ro-MD"/>
              </w:rPr>
            </w:pPr>
            <w:r>
              <w:rPr>
                <w:rFonts w:ascii="Times New Roman" w:hAnsi="Times New Roman"/>
                <w:sz w:val="24"/>
                <w:szCs w:val="24"/>
                <w:lang w:val="ro-MD"/>
              </w:rPr>
              <w:t>I</w:t>
            </w:r>
            <w:r w:rsidRPr="0019005E">
              <w:rPr>
                <w:rFonts w:ascii="Times New Roman" w:hAnsi="Times New Roman"/>
                <w:sz w:val="24"/>
                <w:szCs w:val="24"/>
                <w:lang w:val="ro-MD"/>
              </w:rPr>
              <w:t>mplementarea prezentului proiect nu necesită alocări financiare suplimentare de la bugetul de stat</w:t>
            </w:r>
            <w:r>
              <w:rPr>
                <w:rFonts w:ascii="Times New Roman" w:hAnsi="Times New Roman"/>
                <w:sz w:val="24"/>
                <w:szCs w:val="24"/>
                <w:lang w:val="ro-MD"/>
              </w:rPr>
              <w:t>.</w:t>
            </w:r>
          </w:p>
        </w:tc>
      </w:tr>
      <w:tr w:rsidR="00131DF1" w:rsidRPr="00C53450" w14:paraId="71388FBF" w14:textId="77777777" w:rsidTr="00C87515">
        <w:tc>
          <w:tcPr>
            <w:tcW w:w="5000" w:type="pct"/>
          </w:tcPr>
          <w:p w14:paraId="30636C25"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6. Modul de încorporare a actului în cadrul normativ în vigoare</w:t>
            </w:r>
          </w:p>
        </w:tc>
      </w:tr>
      <w:tr w:rsidR="00131DF1" w:rsidRPr="00C53450" w14:paraId="7AB88BFD" w14:textId="77777777" w:rsidTr="00C87515">
        <w:tc>
          <w:tcPr>
            <w:tcW w:w="5000" w:type="pct"/>
          </w:tcPr>
          <w:p w14:paraId="21EF7718" w14:textId="655A7059" w:rsidR="00131DF1" w:rsidRPr="00584DD7" w:rsidRDefault="00F76CF4" w:rsidP="009720A7">
            <w:pPr>
              <w:tabs>
                <w:tab w:val="left" w:pos="884"/>
                <w:tab w:val="left" w:pos="1196"/>
              </w:tabs>
              <w:spacing w:after="0"/>
              <w:jc w:val="both"/>
              <w:rPr>
                <w:rFonts w:ascii="Times New Roman" w:hAnsi="Times New Roman"/>
                <w:sz w:val="24"/>
                <w:szCs w:val="24"/>
                <w:lang w:val="ro-MD"/>
              </w:rPr>
            </w:pPr>
            <w:r w:rsidRPr="00584DD7">
              <w:rPr>
                <w:rFonts w:ascii="Times New Roman" w:hAnsi="Times New Roman"/>
                <w:bCs/>
                <w:sz w:val="24"/>
                <w:szCs w:val="24"/>
                <w:lang w:val="ro-MD"/>
              </w:rPr>
              <w:t xml:space="preserve">Proiectul se încadrează în cadrul normativ în vigoare și nu necesită operarea unor modificări  în alte acte normative. </w:t>
            </w:r>
          </w:p>
        </w:tc>
      </w:tr>
      <w:tr w:rsidR="00131DF1" w:rsidRPr="00C53450" w14:paraId="566F1648" w14:textId="77777777" w:rsidTr="00C87515">
        <w:tc>
          <w:tcPr>
            <w:tcW w:w="5000" w:type="pct"/>
          </w:tcPr>
          <w:p w14:paraId="14DF5290"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7. Avizarea şi consultarea publică a proiectului</w:t>
            </w:r>
          </w:p>
        </w:tc>
      </w:tr>
      <w:tr w:rsidR="00131DF1" w:rsidRPr="00C53450" w14:paraId="436277EA" w14:textId="77777777" w:rsidTr="00C87515">
        <w:tc>
          <w:tcPr>
            <w:tcW w:w="5000" w:type="pct"/>
          </w:tcPr>
          <w:p w14:paraId="7EB6BC4B" w14:textId="3FB2D7D0" w:rsidR="00131DF1" w:rsidRPr="00BB7226" w:rsidRDefault="001B16FF" w:rsidP="009720A7">
            <w:pPr>
              <w:rPr>
                <w:rFonts w:ascii="Times New Roman" w:hAnsi="Times New Roman"/>
                <w:sz w:val="24"/>
                <w:szCs w:val="24"/>
                <w:lang w:val="ro-RO"/>
              </w:rPr>
            </w:pPr>
            <w:r w:rsidRPr="00584DD7">
              <w:rPr>
                <w:rFonts w:ascii="Times New Roman" w:hAnsi="Times New Roman"/>
                <w:sz w:val="24"/>
                <w:szCs w:val="24"/>
                <w:lang w:val="ro-MD"/>
              </w:rPr>
              <w:t>În scopul respectării prevederilor Legii nr. 239/2008 privind transparența în procesul decizional, proiectul Hotărârii de Guvern, a fost plasat pe pagina web oficială a Ministerului Culturii</w:t>
            </w:r>
            <w:r w:rsidR="0019005E">
              <w:rPr>
                <w:rFonts w:ascii="Times New Roman" w:hAnsi="Times New Roman"/>
                <w:sz w:val="24"/>
                <w:szCs w:val="24"/>
                <w:lang w:val="ro-MD"/>
              </w:rPr>
              <w:t xml:space="preserve"> și pe </w:t>
            </w:r>
            <w:hyperlink r:id="rId6" w:history="1">
              <w:r w:rsidR="0019005E" w:rsidRPr="00BB7226">
                <w:rPr>
                  <w:rStyle w:val="a4"/>
                  <w:rFonts w:asciiTheme="majorBidi" w:hAnsiTheme="majorBidi" w:cstheme="majorBidi"/>
                  <w:sz w:val="24"/>
                  <w:szCs w:val="24"/>
                  <w:lang w:val="ro-MD"/>
                </w:rPr>
                <w:t>www.particip.gov.md</w:t>
              </w:r>
            </w:hyperlink>
            <w:r w:rsidR="00BB7226" w:rsidRPr="00BB7226">
              <w:rPr>
                <w:rFonts w:asciiTheme="majorBidi" w:hAnsiTheme="majorBidi" w:cstheme="majorBidi"/>
                <w:sz w:val="24"/>
                <w:szCs w:val="24"/>
                <w:lang w:val="ro-MD"/>
              </w:rPr>
              <w:t xml:space="preserve">, </w:t>
            </w:r>
            <w:hyperlink r:id="rId7" w:history="1">
              <w:r w:rsidR="00BB7226" w:rsidRPr="00BB7226">
                <w:rPr>
                  <w:rStyle w:val="a4"/>
                  <w:rFonts w:asciiTheme="majorBidi" w:hAnsiTheme="majorBidi" w:cstheme="majorBidi"/>
                  <w:sz w:val="24"/>
                  <w:szCs w:val="24"/>
                  <w:lang w:val="ro-MD"/>
                </w:rPr>
                <w:t>https://particip.gov.md/ro/document/stages/anunt-cu-privire-la-initierea-procesului-de-elaborare-a-proiectului-hotararii-de-guvern-privind-modificarea-anexei-nr-1-la-hotararea-guvernului-nr12422003-despre-unele-masuri-de-implementare-a-legii-cu-privire-la-teatre-circuri-si-organizatii-concertistice/11439</w:t>
              </w:r>
            </w:hyperlink>
            <w:r w:rsidR="00BB7226" w:rsidRPr="00BB7226">
              <w:rPr>
                <w:rFonts w:asciiTheme="majorBidi" w:hAnsiTheme="majorBidi" w:cstheme="majorBidi"/>
                <w:color w:val="000000"/>
                <w:sz w:val="24"/>
                <w:szCs w:val="24"/>
                <w:lang w:val="ro-RO"/>
              </w:rPr>
              <w:t>.</w:t>
            </w:r>
          </w:p>
        </w:tc>
      </w:tr>
      <w:tr w:rsidR="00131DF1" w:rsidRPr="00AD4139" w14:paraId="7D1F749E" w14:textId="77777777" w:rsidTr="00C87515">
        <w:tc>
          <w:tcPr>
            <w:tcW w:w="5000" w:type="pct"/>
          </w:tcPr>
          <w:p w14:paraId="339F30CA"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8. Constatările expertizei anticorupție</w:t>
            </w:r>
          </w:p>
        </w:tc>
      </w:tr>
      <w:tr w:rsidR="00131DF1" w:rsidRPr="00C53450" w14:paraId="6D3B3E84" w14:textId="77777777" w:rsidTr="00C87515">
        <w:tc>
          <w:tcPr>
            <w:tcW w:w="5000" w:type="pct"/>
          </w:tcPr>
          <w:p w14:paraId="3AC9DD4A" w14:textId="77777777" w:rsidR="00131DF1" w:rsidRPr="00AD4139" w:rsidRDefault="005A3DF4" w:rsidP="009720A7">
            <w:pPr>
              <w:tabs>
                <w:tab w:val="left" w:pos="884"/>
                <w:tab w:val="left" w:pos="1196"/>
              </w:tabs>
              <w:spacing w:after="0"/>
              <w:jc w:val="both"/>
              <w:rPr>
                <w:rFonts w:ascii="Times New Roman" w:hAnsi="Times New Roman"/>
                <w:sz w:val="24"/>
                <w:szCs w:val="24"/>
                <w:lang w:val="ro-MD"/>
              </w:rPr>
            </w:pPr>
            <w:r w:rsidRPr="00AD4139">
              <w:rPr>
                <w:rFonts w:ascii="Times New Roman" w:hAnsi="Times New Roman"/>
                <w:sz w:val="24"/>
                <w:szCs w:val="24"/>
                <w:lang w:val="ro-MD"/>
              </w:rPr>
              <w:t xml:space="preserve">Proiectul urmează a fi supus </w:t>
            </w:r>
            <w:r w:rsidR="00EA2CE0" w:rsidRPr="00AD4139">
              <w:rPr>
                <w:rFonts w:ascii="Times New Roman" w:hAnsi="Times New Roman"/>
                <w:sz w:val="24"/>
                <w:szCs w:val="24"/>
                <w:lang w:val="ro-MD"/>
              </w:rPr>
              <w:t>expertizei</w:t>
            </w:r>
            <w:r w:rsidRPr="00AD4139">
              <w:rPr>
                <w:rFonts w:ascii="Times New Roman" w:hAnsi="Times New Roman"/>
                <w:sz w:val="24"/>
                <w:szCs w:val="24"/>
                <w:lang w:val="ro-MD"/>
              </w:rPr>
              <w:t xml:space="preserve"> anticorupție.</w:t>
            </w:r>
          </w:p>
        </w:tc>
      </w:tr>
      <w:tr w:rsidR="00131DF1" w:rsidRPr="00AD4139" w14:paraId="1293ED48" w14:textId="77777777" w:rsidTr="00C87515">
        <w:tc>
          <w:tcPr>
            <w:tcW w:w="5000" w:type="pct"/>
          </w:tcPr>
          <w:p w14:paraId="14DA379B"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9. Constatările expertizei de compatibilitate</w:t>
            </w:r>
          </w:p>
        </w:tc>
      </w:tr>
      <w:tr w:rsidR="00131DF1" w:rsidRPr="00C53450" w14:paraId="124A8922" w14:textId="77777777" w:rsidTr="00EA189E">
        <w:trPr>
          <w:trHeight w:val="642"/>
        </w:trPr>
        <w:tc>
          <w:tcPr>
            <w:tcW w:w="5000" w:type="pct"/>
          </w:tcPr>
          <w:p w14:paraId="5002B0EE" w14:textId="0F8D3750" w:rsidR="00131DF1" w:rsidRPr="00584DD7" w:rsidRDefault="001B16FF" w:rsidP="009720A7">
            <w:pPr>
              <w:tabs>
                <w:tab w:val="left" w:pos="884"/>
                <w:tab w:val="left" w:pos="1196"/>
              </w:tabs>
              <w:spacing w:after="0"/>
              <w:jc w:val="both"/>
              <w:rPr>
                <w:rFonts w:ascii="Times New Roman" w:hAnsi="Times New Roman"/>
                <w:sz w:val="24"/>
                <w:szCs w:val="24"/>
                <w:lang w:val="ro-MD"/>
              </w:rPr>
            </w:pPr>
            <w:r w:rsidRPr="00584DD7">
              <w:rPr>
                <w:rFonts w:ascii="Times New Roman" w:hAnsi="Times New Roman"/>
                <w:sz w:val="24"/>
                <w:szCs w:val="24"/>
                <w:lang w:val="ro-MD"/>
              </w:rPr>
              <w:t>Proiectul nu are ca scop armonizarea legislației naționale cu legislația Uniunii Europene</w:t>
            </w:r>
            <w:r w:rsidR="00584DD7" w:rsidRPr="00584DD7">
              <w:rPr>
                <w:rFonts w:ascii="Times New Roman" w:hAnsi="Times New Roman"/>
                <w:sz w:val="24"/>
                <w:szCs w:val="24"/>
                <w:lang w:val="ro-MD"/>
              </w:rPr>
              <w:t xml:space="preserve"> și, respectiv, nu cade sub incidența art. 36 din Legea nr. 100/2017 cu privire la actele normative</w:t>
            </w:r>
            <w:r w:rsidR="00EA189E">
              <w:rPr>
                <w:rFonts w:ascii="Times New Roman" w:hAnsi="Times New Roman"/>
                <w:sz w:val="24"/>
                <w:szCs w:val="24"/>
                <w:lang w:val="ro-MD"/>
              </w:rPr>
              <w:t>.</w:t>
            </w:r>
          </w:p>
        </w:tc>
      </w:tr>
      <w:tr w:rsidR="00131DF1" w:rsidRPr="00AD4139" w14:paraId="3110B3F0" w14:textId="77777777" w:rsidTr="00C87515">
        <w:tc>
          <w:tcPr>
            <w:tcW w:w="5000" w:type="pct"/>
          </w:tcPr>
          <w:p w14:paraId="507B9BB1"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10. Constatările expertizei juridice</w:t>
            </w:r>
          </w:p>
        </w:tc>
      </w:tr>
      <w:tr w:rsidR="00131DF1" w:rsidRPr="00C53450" w14:paraId="1EB21D25" w14:textId="77777777" w:rsidTr="00C87515">
        <w:tc>
          <w:tcPr>
            <w:tcW w:w="5000" w:type="pct"/>
          </w:tcPr>
          <w:p w14:paraId="68D3C179" w14:textId="77777777" w:rsidR="00131DF1" w:rsidRPr="00AD4139" w:rsidRDefault="00DD2254" w:rsidP="009720A7">
            <w:pPr>
              <w:tabs>
                <w:tab w:val="left" w:pos="884"/>
                <w:tab w:val="left" w:pos="1196"/>
              </w:tabs>
              <w:spacing w:after="0"/>
              <w:jc w:val="both"/>
              <w:rPr>
                <w:rFonts w:ascii="Times New Roman" w:hAnsi="Times New Roman"/>
                <w:sz w:val="24"/>
                <w:szCs w:val="24"/>
                <w:lang w:val="ro-MD"/>
              </w:rPr>
            </w:pPr>
            <w:r w:rsidRPr="00AD4139">
              <w:rPr>
                <w:rFonts w:ascii="Times New Roman" w:hAnsi="Times New Roman"/>
                <w:sz w:val="24"/>
                <w:szCs w:val="24"/>
                <w:lang w:val="ro-MD"/>
              </w:rPr>
              <w:t>Proiectul urmează a fi supus expertizei juridice.</w:t>
            </w:r>
          </w:p>
        </w:tc>
      </w:tr>
      <w:tr w:rsidR="00131DF1" w:rsidRPr="00AD4139" w14:paraId="64209EB4" w14:textId="77777777" w:rsidTr="00C87515">
        <w:tc>
          <w:tcPr>
            <w:tcW w:w="5000" w:type="pct"/>
          </w:tcPr>
          <w:p w14:paraId="3214D448" w14:textId="77777777" w:rsidR="00131DF1" w:rsidRPr="00AD4139" w:rsidRDefault="00131DF1" w:rsidP="009720A7">
            <w:pPr>
              <w:tabs>
                <w:tab w:val="left" w:pos="884"/>
                <w:tab w:val="left" w:pos="1196"/>
              </w:tabs>
              <w:spacing w:after="0"/>
              <w:jc w:val="both"/>
              <w:rPr>
                <w:rFonts w:ascii="Times New Roman" w:hAnsi="Times New Roman"/>
                <w:b/>
                <w:bCs/>
                <w:sz w:val="24"/>
                <w:szCs w:val="24"/>
                <w:lang w:val="ro-MD"/>
              </w:rPr>
            </w:pPr>
            <w:r w:rsidRPr="00AD4139">
              <w:rPr>
                <w:rFonts w:ascii="Times New Roman" w:hAnsi="Times New Roman"/>
                <w:b/>
                <w:bCs/>
                <w:sz w:val="24"/>
                <w:szCs w:val="24"/>
                <w:lang w:val="ro-MD"/>
              </w:rPr>
              <w:t>11. Constatările altor expertize</w:t>
            </w:r>
          </w:p>
        </w:tc>
      </w:tr>
      <w:tr w:rsidR="00131DF1" w:rsidRPr="00C53450" w14:paraId="77A56CA5" w14:textId="77777777" w:rsidTr="00C87515">
        <w:tc>
          <w:tcPr>
            <w:tcW w:w="5000" w:type="pct"/>
          </w:tcPr>
          <w:p w14:paraId="52754358" w14:textId="3D8F9E14" w:rsidR="00131DF1" w:rsidRPr="00BE320A" w:rsidRDefault="001B16FF" w:rsidP="009720A7">
            <w:pPr>
              <w:tabs>
                <w:tab w:val="left" w:pos="884"/>
                <w:tab w:val="left" w:pos="1196"/>
              </w:tabs>
              <w:spacing w:after="0"/>
              <w:jc w:val="both"/>
              <w:rPr>
                <w:rFonts w:ascii="Times New Roman" w:hAnsi="Times New Roman"/>
                <w:sz w:val="24"/>
                <w:szCs w:val="24"/>
                <w:lang w:val="ro-MD"/>
              </w:rPr>
            </w:pPr>
            <w:r w:rsidRPr="00BE320A">
              <w:rPr>
                <w:rFonts w:ascii="Times New Roman" w:hAnsi="Times New Roman"/>
                <w:sz w:val="24"/>
                <w:szCs w:val="24"/>
                <w:lang w:val="ro-MD"/>
              </w:rPr>
              <w:lastRenderedPageBreak/>
              <w:t xml:space="preserve">Proiectul nu </w:t>
            </w:r>
            <w:r w:rsidR="0019005E">
              <w:rPr>
                <w:rFonts w:ascii="Times New Roman" w:hAnsi="Times New Roman"/>
                <w:sz w:val="24"/>
                <w:szCs w:val="24"/>
                <w:lang w:val="ro-MD"/>
              </w:rPr>
              <w:t>necesită a fi</w:t>
            </w:r>
            <w:r w:rsidRPr="00BE320A">
              <w:rPr>
                <w:rFonts w:ascii="Times New Roman" w:hAnsi="Times New Roman"/>
                <w:sz w:val="24"/>
                <w:szCs w:val="24"/>
                <w:lang w:val="ro-MD"/>
              </w:rPr>
              <w:t xml:space="preserve"> supus altor expertize.</w:t>
            </w:r>
            <w:r w:rsidR="0019005E">
              <w:rPr>
                <w:rFonts w:ascii="Times New Roman" w:hAnsi="Times New Roman"/>
                <w:sz w:val="24"/>
                <w:szCs w:val="24"/>
                <w:lang w:val="ro-MD"/>
              </w:rPr>
              <w:t xml:space="preserve"> </w:t>
            </w:r>
            <w:r w:rsidR="0019005E" w:rsidRPr="00584DD7">
              <w:rPr>
                <w:rFonts w:ascii="Times New Roman" w:hAnsi="Times New Roman"/>
                <w:bCs/>
                <w:sz w:val="24"/>
                <w:szCs w:val="24"/>
                <w:lang w:val="ro-MD"/>
              </w:rPr>
              <w:t>Proiectul nu conține prevederi de reglementare a activității de întreprinzător în contextul Legii cu privire la principiile de bază de reglementare a activității de întreprinzător nr. 235-XVI din 20.07.2006, astfel nu este necesară examinarea acestuia de către Grupul de lucru pentru reglementarea activității de întreprinzător.</w:t>
            </w:r>
          </w:p>
        </w:tc>
      </w:tr>
    </w:tbl>
    <w:p w14:paraId="2045E271" w14:textId="77777777" w:rsidR="00131DF1" w:rsidRDefault="00131DF1" w:rsidP="00131DF1">
      <w:pPr>
        <w:tabs>
          <w:tab w:val="left" w:pos="884"/>
          <w:tab w:val="left" w:pos="1196"/>
        </w:tabs>
        <w:spacing w:after="0" w:line="240" w:lineRule="auto"/>
        <w:jc w:val="both"/>
        <w:rPr>
          <w:rFonts w:ascii="Times New Roman" w:hAnsi="Times New Roman"/>
          <w:bCs/>
          <w:sz w:val="24"/>
          <w:szCs w:val="24"/>
          <w:vertAlign w:val="superscript"/>
          <w:lang w:val="ro-MD"/>
        </w:rPr>
      </w:pPr>
    </w:p>
    <w:p w14:paraId="4640BC9D" w14:textId="77777777" w:rsidR="00074961" w:rsidRDefault="00074961" w:rsidP="00131DF1">
      <w:pPr>
        <w:tabs>
          <w:tab w:val="left" w:pos="884"/>
          <w:tab w:val="left" w:pos="1196"/>
        </w:tabs>
        <w:spacing w:after="0" w:line="240" w:lineRule="auto"/>
        <w:jc w:val="both"/>
        <w:rPr>
          <w:rFonts w:ascii="Times New Roman" w:hAnsi="Times New Roman"/>
          <w:bCs/>
          <w:sz w:val="24"/>
          <w:szCs w:val="24"/>
          <w:vertAlign w:val="superscript"/>
          <w:lang w:val="ro-MD"/>
        </w:rPr>
      </w:pPr>
    </w:p>
    <w:p w14:paraId="15AC5A65" w14:textId="77777777" w:rsidR="00074961" w:rsidRPr="00AD4139" w:rsidRDefault="00074961" w:rsidP="00131DF1">
      <w:pPr>
        <w:tabs>
          <w:tab w:val="left" w:pos="884"/>
          <w:tab w:val="left" w:pos="1196"/>
        </w:tabs>
        <w:spacing w:after="0" w:line="240" w:lineRule="auto"/>
        <w:jc w:val="both"/>
        <w:rPr>
          <w:rFonts w:ascii="Times New Roman" w:hAnsi="Times New Roman"/>
          <w:bCs/>
          <w:sz w:val="24"/>
          <w:szCs w:val="24"/>
          <w:vertAlign w:val="superscript"/>
          <w:lang w:val="ro-MD"/>
        </w:rPr>
      </w:pPr>
    </w:p>
    <w:p w14:paraId="6A2F558D" w14:textId="77777777" w:rsidR="00074961" w:rsidRPr="003045A0" w:rsidRDefault="00074961" w:rsidP="00074961">
      <w:pPr>
        <w:spacing w:after="0"/>
        <w:jc w:val="right"/>
        <w:rPr>
          <w:rFonts w:ascii="Times New Roman" w:hAnsi="Times New Roman"/>
          <w:sz w:val="26"/>
          <w:szCs w:val="26"/>
          <w:lang w:val="ro-RO"/>
        </w:rPr>
      </w:pPr>
      <w:r>
        <w:rPr>
          <w:rFonts w:ascii="Times New Roman" w:hAnsi="Times New Roman"/>
          <w:b/>
          <w:sz w:val="26"/>
          <w:szCs w:val="26"/>
          <w:lang w:val="ro-RO"/>
        </w:rPr>
        <w:t>Andrei Chistol</w:t>
      </w:r>
    </w:p>
    <w:p w14:paraId="34F2025A" w14:textId="77777777" w:rsidR="00074961" w:rsidRPr="003045A0" w:rsidRDefault="00074961" w:rsidP="00074961">
      <w:pPr>
        <w:spacing w:after="0"/>
        <w:jc w:val="right"/>
        <w:rPr>
          <w:rFonts w:ascii="Times New Roman" w:hAnsi="Times New Roman"/>
          <w:sz w:val="26"/>
          <w:szCs w:val="26"/>
          <w:lang w:val="ro-MD"/>
        </w:rPr>
      </w:pPr>
      <w:r>
        <w:rPr>
          <w:rFonts w:ascii="Times New Roman" w:hAnsi="Times New Roman"/>
          <w:b/>
          <w:sz w:val="26"/>
          <w:szCs w:val="26"/>
          <w:lang w:val="ro-RO"/>
        </w:rPr>
        <w:t>Secretar de Stat</w:t>
      </w:r>
    </w:p>
    <w:p w14:paraId="340CBD21" w14:textId="77777777" w:rsidR="00E7040D" w:rsidRPr="00AD4139" w:rsidRDefault="00E7040D">
      <w:pPr>
        <w:rPr>
          <w:lang w:val="ro-MD"/>
        </w:rPr>
      </w:pPr>
    </w:p>
    <w:sectPr w:rsidR="00E7040D" w:rsidRPr="00AD4139" w:rsidSect="009720A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40B47"/>
    <w:multiLevelType w:val="hybridMultilevel"/>
    <w:tmpl w:val="4AE46EB2"/>
    <w:lvl w:ilvl="0" w:tplc="8E3CF630">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F1"/>
    <w:rsid w:val="00074961"/>
    <w:rsid w:val="000D2BC3"/>
    <w:rsid w:val="001154FB"/>
    <w:rsid w:val="00120E8C"/>
    <w:rsid w:val="00126FC2"/>
    <w:rsid w:val="00131DF1"/>
    <w:rsid w:val="00165768"/>
    <w:rsid w:val="0019005E"/>
    <w:rsid w:val="001A318A"/>
    <w:rsid w:val="001B16FF"/>
    <w:rsid w:val="00246770"/>
    <w:rsid w:val="002B5F4D"/>
    <w:rsid w:val="003540E3"/>
    <w:rsid w:val="00370561"/>
    <w:rsid w:val="00413C38"/>
    <w:rsid w:val="004232A9"/>
    <w:rsid w:val="00431C68"/>
    <w:rsid w:val="00445242"/>
    <w:rsid w:val="00513D80"/>
    <w:rsid w:val="00531E94"/>
    <w:rsid w:val="00584DD7"/>
    <w:rsid w:val="005968DC"/>
    <w:rsid w:val="005A3DF4"/>
    <w:rsid w:val="005A5813"/>
    <w:rsid w:val="005D6661"/>
    <w:rsid w:val="006353CD"/>
    <w:rsid w:val="00640E44"/>
    <w:rsid w:val="006654B0"/>
    <w:rsid w:val="006C0243"/>
    <w:rsid w:val="007259C5"/>
    <w:rsid w:val="0079674B"/>
    <w:rsid w:val="007B4A79"/>
    <w:rsid w:val="007D343C"/>
    <w:rsid w:val="007F55D2"/>
    <w:rsid w:val="00822DD7"/>
    <w:rsid w:val="008B26BB"/>
    <w:rsid w:val="00900B11"/>
    <w:rsid w:val="009720A7"/>
    <w:rsid w:val="009A01A5"/>
    <w:rsid w:val="00AD4139"/>
    <w:rsid w:val="00B567F4"/>
    <w:rsid w:val="00BB6BAD"/>
    <w:rsid w:val="00BB7226"/>
    <w:rsid w:val="00BD4DE7"/>
    <w:rsid w:val="00BE320A"/>
    <w:rsid w:val="00C53450"/>
    <w:rsid w:val="00C960C4"/>
    <w:rsid w:val="00D103C4"/>
    <w:rsid w:val="00D123D8"/>
    <w:rsid w:val="00D8299A"/>
    <w:rsid w:val="00D82A71"/>
    <w:rsid w:val="00D903A9"/>
    <w:rsid w:val="00D96CDA"/>
    <w:rsid w:val="00DD2254"/>
    <w:rsid w:val="00DE00D3"/>
    <w:rsid w:val="00E43F4F"/>
    <w:rsid w:val="00E7040D"/>
    <w:rsid w:val="00EA189E"/>
    <w:rsid w:val="00EA2CE0"/>
    <w:rsid w:val="00F3155F"/>
    <w:rsid w:val="00F76CF4"/>
    <w:rsid w:val="00F774CD"/>
    <w:rsid w:val="00FC63A5"/>
    <w:rsid w:val="00FC66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8CFE"/>
  <w15:chartTrackingRefBased/>
  <w15:docId w15:val="{F09AD7A6-22E7-4F16-BC9C-87807C2C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DF1"/>
    <w:pPr>
      <w:spacing w:after="200" w:line="276" w:lineRule="auto"/>
    </w:pPr>
    <w:rPr>
      <w:rFonts w:ascii="Calibri" w:eastAsia="Calibri" w:hAnsi="Calibri" w:cs="Times New Roman"/>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DF1"/>
    <w:pPr>
      <w:ind w:left="720"/>
      <w:contextualSpacing/>
    </w:pPr>
  </w:style>
  <w:style w:type="character" w:styleId="a4">
    <w:name w:val="Hyperlink"/>
    <w:basedOn w:val="a0"/>
    <w:uiPriority w:val="99"/>
    <w:unhideWhenUsed/>
    <w:rsid w:val="0019005E"/>
    <w:rPr>
      <w:color w:val="0563C1" w:themeColor="hyperlink"/>
      <w:u w:val="single"/>
    </w:rPr>
  </w:style>
  <w:style w:type="character" w:styleId="a5">
    <w:name w:val="Unresolved Mention"/>
    <w:basedOn w:val="a0"/>
    <w:uiPriority w:val="99"/>
    <w:semiHidden/>
    <w:unhideWhenUsed/>
    <w:rsid w:val="0019005E"/>
    <w:rPr>
      <w:color w:val="605E5C"/>
      <w:shd w:val="clear" w:color="auto" w:fill="E1DFDD"/>
    </w:rPr>
  </w:style>
  <w:style w:type="paragraph" w:styleId="a6">
    <w:name w:val="Revision"/>
    <w:hidden/>
    <w:uiPriority w:val="99"/>
    <w:semiHidden/>
    <w:rsid w:val="00BB7226"/>
    <w:pPr>
      <w:spacing w:after="0" w:line="240" w:lineRule="auto"/>
    </w:pPr>
    <w:rPr>
      <w:rFonts w:ascii="Calibri" w:eastAsia="Calibri" w:hAnsi="Calibri"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anunt-cu-privire-la-initierea-procesului-de-elaborare-a-proiectului-hotararii-de-guvern-privind-modificarea-anexei-nr-1-la-hotararea-guvernului-nr12422003-despre-unele-masuri-de-implementare-a-legii-cu-privire-la-teatre-circuri-si-organizatii-concertistice/114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767E-FE39-4CF3-9ED3-36FAB98A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1223</Words>
  <Characters>6975</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Olesea Bordan</cp:lastModifiedBy>
  <cp:revision>9</cp:revision>
  <dcterms:created xsi:type="dcterms:W3CDTF">2023-11-09T11:31:00Z</dcterms:created>
  <dcterms:modified xsi:type="dcterms:W3CDTF">2023-11-09T11:39:00Z</dcterms:modified>
</cp:coreProperties>
</file>