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78FCC" w14:textId="5DB50A60" w:rsidR="00091D6F" w:rsidRPr="00AB156B" w:rsidRDefault="00A41F02" w:rsidP="00AB156B">
      <w:pPr>
        <w:jc w:val="center"/>
        <w:rPr>
          <w:rFonts w:ascii="Times New Roman" w:hAnsi="Times New Roman" w:cs="Times New Roman"/>
          <w:sz w:val="16"/>
          <w:szCs w:val="16"/>
          <w:lang w:val="ro-MD"/>
        </w:rPr>
      </w:pPr>
      <w:r w:rsidRPr="00376820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</w:p>
    <w:p w14:paraId="2A443331" w14:textId="77777777" w:rsidR="00091D6F" w:rsidRPr="00C80939" w:rsidRDefault="00091D6F" w:rsidP="00091D6F">
      <w:pPr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0939">
        <w:rPr>
          <w:rFonts w:ascii="Times New Roman" w:eastAsia="Times New Roman" w:hAnsi="Times New Roman" w:cs="Times New Roman"/>
          <w:i/>
          <w:iCs/>
          <w:sz w:val="28"/>
          <w:szCs w:val="28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7"/>
      </w:tblGrid>
      <w:tr w:rsidR="00091D6F" w:rsidRPr="00611124" w14:paraId="0A8E63C7" w14:textId="77777777" w:rsidTr="00CD54E1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56CAD7A" w14:textId="77777777" w:rsidR="00091D6F" w:rsidRPr="00C80939" w:rsidRDefault="00091D6F" w:rsidP="00091D6F">
            <w:pPr>
              <w:pStyle w:val="Titlu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7F086" w14:textId="77777777" w:rsidR="00091D6F" w:rsidRPr="00C80939" w:rsidRDefault="00091D6F" w:rsidP="00091D6F">
            <w:pPr>
              <w:pStyle w:val="Titlu8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C8093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GUVERNUL  REPUBLICII  MOLDOVA</w:t>
            </w:r>
          </w:p>
          <w:p w14:paraId="33E2F7EF" w14:textId="77777777" w:rsidR="00091D6F" w:rsidRPr="00C80939" w:rsidRDefault="00091D6F" w:rsidP="00091D6F">
            <w:pPr>
              <w:pStyle w:val="Titlu8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39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HOTĂRÂRE</w:t>
            </w:r>
            <w:r w:rsidRPr="00C80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nr. ____</w:t>
            </w:r>
          </w:p>
          <w:p w14:paraId="254E4898" w14:textId="77777777" w:rsidR="00091D6F" w:rsidRPr="00C80939" w:rsidRDefault="00091D6F" w:rsidP="00091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din                                        2024</w:t>
            </w:r>
          </w:p>
          <w:p w14:paraId="4743AE9C" w14:textId="77777777" w:rsidR="00091D6F" w:rsidRPr="00C80939" w:rsidRDefault="00091D6F" w:rsidP="00091D6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39">
              <w:rPr>
                <w:rFonts w:ascii="Times New Roman" w:hAnsi="Times New Roman" w:cs="Times New Roman"/>
                <w:b/>
                <w:sz w:val="28"/>
                <w:szCs w:val="28"/>
              </w:rPr>
              <w:t>Chișinău</w:t>
            </w:r>
          </w:p>
        </w:tc>
      </w:tr>
    </w:tbl>
    <w:p w14:paraId="05B10845" w14:textId="39723128" w:rsidR="00D55664" w:rsidRPr="00D55664" w:rsidRDefault="00D55664" w:rsidP="00D55664">
      <w:pPr>
        <w:spacing w:after="0" w:line="240" w:lineRule="auto"/>
        <w:ind w:left="72" w:hanging="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Hlk161255874"/>
      <w:bookmarkStart w:id="1" w:name="_GoBack"/>
      <w:r w:rsidRPr="00D55664">
        <w:rPr>
          <w:rFonts w:ascii="Times New Roman" w:hAnsi="Times New Roman" w:cs="Times New Roman"/>
          <w:b/>
          <w:sz w:val="28"/>
          <w:szCs w:val="28"/>
          <w:lang w:val="ro-MD" w:eastAsia="ro-RO"/>
        </w:rPr>
        <w:t xml:space="preserve">privind transmiterea unor bunuri imobile în gestiunea Agenției Naționale de Îmbunătățiri Funciare și modificarea unor </w:t>
      </w:r>
      <w:r w:rsidR="00C735C7" w:rsidRPr="00D55664">
        <w:rPr>
          <w:rFonts w:ascii="Times New Roman" w:hAnsi="Times New Roman" w:cs="Times New Roman"/>
          <w:b/>
          <w:sz w:val="28"/>
          <w:szCs w:val="28"/>
          <w:lang w:val="ro-MD" w:eastAsia="ro-RO"/>
        </w:rPr>
        <w:t>hotărâri</w:t>
      </w:r>
      <w:r w:rsidR="00C735C7">
        <w:rPr>
          <w:rFonts w:ascii="Times New Roman" w:hAnsi="Times New Roman" w:cs="Times New Roman"/>
          <w:b/>
          <w:sz w:val="28"/>
          <w:szCs w:val="28"/>
          <w:lang w:val="ro-MD" w:eastAsia="ro-RO"/>
        </w:rPr>
        <w:t xml:space="preserve"> ale Guvernului</w:t>
      </w:r>
    </w:p>
    <w:bookmarkEnd w:id="0"/>
    <w:bookmarkEnd w:id="1"/>
    <w:p w14:paraId="13E17886" w14:textId="77777777" w:rsidR="00091D6F" w:rsidRPr="00C80939" w:rsidRDefault="00091D6F" w:rsidP="00091D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C8093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</w:t>
      </w:r>
    </w:p>
    <w:p w14:paraId="4BD9719D" w14:textId="77777777" w:rsidR="00091D6F" w:rsidRPr="00F410BB" w:rsidRDefault="00091D6F" w:rsidP="00646B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În temeiul art.6 alin.(1) lit.a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) şi art.14 alin.(1) lit.c) din </w:t>
      </w:r>
      <w:hyperlink r:id="rId8" w:tgtFrame="_blank" w:history="1">
        <w:r w:rsidRPr="00F410B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Legea nr.121/2007</w:t>
        </w:r>
      </w:hyperlink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privind administrarea şi deetatizarea proprietăţii publice (Monitorul Oficial al Republicii Moldova, 2007, nr.90-93, art.401), cu modificările ulterioare, Guvernul,</w:t>
      </w:r>
    </w:p>
    <w:p w14:paraId="436CF4CE" w14:textId="77777777" w:rsidR="00091D6F" w:rsidRPr="00F410BB" w:rsidRDefault="00091D6F" w:rsidP="00091D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HOTĂRĂŞTE:</w:t>
      </w:r>
    </w:p>
    <w:p w14:paraId="45F85BC7" w14:textId="4BA73671" w:rsidR="00091D6F" w:rsidRPr="00F410BB" w:rsidRDefault="00091D6F" w:rsidP="00646B2A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Se transmit, din administrarea</w:t>
      </w:r>
      <w:r w:rsidR="00201CCC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Agenţiei Proprietăţii Publice, 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gestiunea Î.S. "Staţiunea Tehnologică pentru Irigare Vulcănești"</w:t>
      </w:r>
      <w:r w:rsidR="00D55664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în proces de insolvabilitate</w:t>
      </w:r>
      <w:r w:rsidR="00D55664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) și</w:t>
      </w:r>
      <w:r w:rsidR="00582078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55664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Î.S. "Staţiunea Tehnologică pentru Irigare Ștefan Vodă" (în proces de insolvabilitate) 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în administrarea Ministerului Agriculturii şi Industriei Alimentare</w:t>
      </w:r>
      <w:r w:rsidR="00201CCC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gestiunea Agenţiei Naţionale de Îmbunătăţiri Funciare, bunurile imobile, conform anexei.</w:t>
      </w:r>
    </w:p>
    <w:p w14:paraId="63E5AC12" w14:textId="4128DA39" w:rsidR="00091D6F" w:rsidRPr="00F410BB" w:rsidRDefault="00091D6F" w:rsidP="00646B2A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Agenţia Proprietăţii Publice în comun cu Ministerul Agriculturii şi Industriei Alimentare şi Agenţia Naţională de Îmbunătăţiri Funciare v</w:t>
      </w:r>
      <w:r w:rsidR="00201CCC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institui comisi</w:t>
      </w:r>
      <w:r w:rsidR="00C735C7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ile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transmitere a bunurilor</w:t>
      </w:r>
      <w:r w:rsidR="00646B2A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imobile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şi vor asigura, în termen de 30 de zile, transmiterea bunurilor menţionate în anexă, în conformitate cu prevederile Regulamentului cu privire la modul de transmitere a bunurilor proprietate publică, aprobat prin </w:t>
      </w:r>
      <w:hyperlink r:id="rId9" w:tgtFrame="_blank" w:history="1">
        <w:r w:rsidRPr="00F410BB">
          <w:rPr>
            <w:rFonts w:ascii="Times New Roman" w:eastAsia="Times New Roman" w:hAnsi="Times New Roman" w:cs="Times New Roman"/>
            <w:sz w:val="28"/>
            <w:szCs w:val="28"/>
          </w:rPr>
          <w:t>Hotărârea Guvernului nr.901/2015</w:t>
        </w:r>
      </w:hyperlink>
      <w:r w:rsidRPr="00F4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071304" w14:textId="2D1032E8" w:rsidR="00091D6F" w:rsidRPr="00F410BB" w:rsidRDefault="000954C2" w:rsidP="00646B2A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091D6F"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Agenţia Naţională de Îmbunătăţiri Funciare din subordinea Ministerului Agriculturii şi Industriei Alimentare, în termen de </w:t>
      </w:r>
      <w:r w:rsidR="00201CCC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0 zile, va desfăşura procedura de transmitere a bunurilor imobile, conform anexei, în folosinţă gratuită (comodat) asociaţiilor utilizatorilor de apă pentru irigaţii, conform procedurii reglementate în art.41 din </w:t>
      </w:r>
      <w:hyperlink r:id="rId10" w:tgtFrame="_blank" w:history="1">
        <w:r w:rsidR="00091D6F" w:rsidRPr="00F410BB">
          <w:rPr>
            <w:rFonts w:ascii="Times New Roman" w:eastAsia="Times New Roman" w:hAnsi="Times New Roman" w:cs="Times New Roman"/>
            <w:sz w:val="28"/>
            <w:szCs w:val="28"/>
          </w:rPr>
          <w:t>Legea nr.171/2010</w:t>
        </w:r>
      </w:hyperlink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cu privire la asociaţiile utilizatorilor de apă pentru irigaţii şi în </w:t>
      </w:r>
      <w:hyperlink r:id="rId11" w:tgtFrame="_blank" w:history="1">
        <w:r w:rsidR="00091D6F" w:rsidRPr="00F410BB">
          <w:rPr>
            <w:rFonts w:ascii="Times New Roman" w:eastAsia="Times New Roman" w:hAnsi="Times New Roman" w:cs="Times New Roman"/>
            <w:sz w:val="28"/>
            <w:szCs w:val="28"/>
          </w:rPr>
          <w:t>Hotărârea Guvernului nr.198/2013</w:t>
        </w:r>
      </w:hyperlink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pentru aprobarea Regulamentului privind modul de transmitere a sistemelor de irigare în folosinţă gratuită (comodat) către asociaţiile utilizatorilor de apă pentru irigaţii.</w:t>
      </w:r>
    </w:p>
    <w:p w14:paraId="1371708D" w14:textId="3178DEAD" w:rsidR="00091D6F" w:rsidRPr="00F410BB" w:rsidRDefault="000954C2" w:rsidP="00646B2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91D6F"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tgtFrame="_blank" w:history="1">
        <w:r w:rsidR="00091D6F" w:rsidRPr="00F410BB">
          <w:rPr>
            <w:rFonts w:ascii="Times New Roman" w:eastAsia="Times New Roman" w:hAnsi="Times New Roman" w:cs="Times New Roman"/>
            <w:sz w:val="28"/>
            <w:szCs w:val="28"/>
          </w:rPr>
          <w:t>Hotărârea Guvernului nr.351/2005</w:t>
        </w:r>
      </w:hyperlink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cu privire la aprobarea listelor bunurilor imobile proprietate publică a statului şi la transmiterea unor bunuri imobile (Monitorul Oficial al Republicii Moldova, 2005, nr.129-131, art.1072), cu modificările ulterioare, se modifică după cum urmează:</w:t>
      </w:r>
    </w:p>
    <w:p w14:paraId="01F77A83" w14:textId="6D6BE01D" w:rsidR="00091D6F" w:rsidRPr="00F410BB" w:rsidRDefault="00091D6F" w:rsidP="00646B2A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EA7FD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anexa nr.9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, poziţiile 353, 354, 370-373 se exclud</w:t>
      </w:r>
      <w:r w:rsidR="007D7967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23AA4A" w14:textId="5E819A2A" w:rsidR="00091D6F" w:rsidRPr="00F410BB" w:rsidRDefault="00091D6F" w:rsidP="00646B2A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0954C2" w:rsidRPr="00F410B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anexa nr.22</w:t>
      </w:r>
      <w:r w:rsidR="000954C2" w:rsidRPr="00F410BB">
        <w:rPr>
          <w:rFonts w:ascii="Times New Roman" w:eastAsia="Times New Roman" w:hAnsi="Times New Roman" w:cs="Times New Roman"/>
          <w:sz w:val="28"/>
          <w:szCs w:val="28"/>
          <w:vertAlign w:val="superscript"/>
          <w:lang w:val="ro-MD" w:eastAsia="ru-RU"/>
        </w:rPr>
        <w:t>9</w:t>
      </w:r>
      <w:r w:rsidR="000954C2" w:rsidRPr="00F410B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se modifică după cum urmează:</w:t>
      </w:r>
    </w:p>
    <w:p w14:paraId="0948A34B" w14:textId="715317E7" w:rsidR="00091D6F" w:rsidRPr="00F410BB" w:rsidRDefault="00AB156B" w:rsidP="00646B2A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 anexei va avea următorul cuprins:</w:t>
      </w:r>
    </w:p>
    <w:p w14:paraId="07ABB7F4" w14:textId="77777777" w:rsidR="00091D6F" w:rsidRPr="00F410BB" w:rsidRDefault="00091D6F" w:rsidP="00646B2A">
      <w:pPr>
        <w:pStyle w:val="cb"/>
        <w:spacing w:line="252" w:lineRule="auto"/>
        <w:rPr>
          <w:b w:val="0"/>
          <w:bCs w:val="0"/>
          <w:color w:val="000000"/>
          <w:sz w:val="28"/>
          <w:szCs w:val="28"/>
        </w:rPr>
      </w:pPr>
      <w:r w:rsidRPr="00F410BB">
        <w:rPr>
          <w:b w:val="0"/>
          <w:bCs w:val="0"/>
          <w:color w:val="000000"/>
          <w:sz w:val="28"/>
          <w:szCs w:val="28"/>
        </w:rPr>
        <w:lastRenderedPageBreak/>
        <w:t>“LISTA</w:t>
      </w:r>
    </w:p>
    <w:p w14:paraId="61BCB3E0" w14:textId="77777777" w:rsidR="00091D6F" w:rsidRPr="00F410BB" w:rsidRDefault="00091D6F" w:rsidP="00646B2A">
      <w:pPr>
        <w:pStyle w:val="cb"/>
        <w:spacing w:line="252" w:lineRule="auto"/>
        <w:rPr>
          <w:b w:val="0"/>
          <w:bCs w:val="0"/>
          <w:color w:val="000000"/>
          <w:sz w:val="28"/>
          <w:szCs w:val="28"/>
        </w:rPr>
      </w:pPr>
      <w:r w:rsidRPr="00F410BB">
        <w:rPr>
          <w:b w:val="0"/>
          <w:bCs w:val="0"/>
          <w:color w:val="000000"/>
          <w:sz w:val="28"/>
          <w:szCs w:val="28"/>
        </w:rPr>
        <w:t>bunurilor imobile, proprietate a statului, aflate în administrarea</w:t>
      </w:r>
    </w:p>
    <w:p w14:paraId="1F4D86F9" w14:textId="77777777" w:rsidR="00091D6F" w:rsidRPr="00F410BB" w:rsidRDefault="00091D6F" w:rsidP="00646B2A">
      <w:pPr>
        <w:pStyle w:val="cb"/>
        <w:spacing w:line="252" w:lineRule="auto"/>
        <w:rPr>
          <w:b w:val="0"/>
          <w:bCs w:val="0"/>
          <w:color w:val="000000"/>
          <w:sz w:val="28"/>
          <w:szCs w:val="28"/>
        </w:rPr>
      </w:pPr>
      <w:r w:rsidRPr="00F410BB">
        <w:rPr>
          <w:b w:val="0"/>
          <w:bCs w:val="0"/>
          <w:color w:val="000000"/>
          <w:sz w:val="28"/>
          <w:szCs w:val="28"/>
        </w:rPr>
        <w:t>Ministerului Agriculturii şi Industriei Alimentare”  </w:t>
      </w:r>
    </w:p>
    <w:p w14:paraId="047B66A9" w14:textId="77777777" w:rsidR="00AB156B" w:rsidRPr="00F410BB" w:rsidRDefault="00AB156B" w:rsidP="00646B2A">
      <w:pPr>
        <w:pStyle w:val="cb"/>
        <w:spacing w:line="252" w:lineRule="auto"/>
        <w:rPr>
          <w:b w:val="0"/>
          <w:bCs w:val="0"/>
          <w:color w:val="000000"/>
          <w:sz w:val="28"/>
          <w:szCs w:val="28"/>
        </w:rPr>
      </w:pPr>
    </w:p>
    <w:p w14:paraId="410D8EA4" w14:textId="0EAEE6F1" w:rsidR="002B6D7F" w:rsidRPr="00F410BB" w:rsidRDefault="002B6D7F" w:rsidP="00646B2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410B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r w:rsidRPr="00F410B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) la pozițiile 26 și 27 coloana a cincea, textul ”Agenția ”Apele Moldovei”” se substituie cu textul ”</w:t>
      </w:r>
      <w:r w:rsidRPr="00F410BB">
        <w:rPr>
          <w:rFonts w:ascii="Times New Roman" w:hAnsi="Times New Roman" w:cs="Times New Roman"/>
          <w:sz w:val="28"/>
          <w:szCs w:val="28"/>
          <w:lang w:val="ro-MD"/>
        </w:rPr>
        <w:t>Agenția Națională de Îmbunătățiri Funciare”</w:t>
      </w:r>
      <w:r w:rsidRPr="00F410B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;</w:t>
      </w:r>
    </w:p>
    <w:p w14:paraId="7C3FB5D3" w14:textId="53771674" w:rsidR="00091D6F" w:rsidRPr="00F410BB" w:rsidRDefault="00930728" w:rsidP="00646B2A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AB156B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se completează cu pozițiile 1053</w:t>
      </w:r>
      <w:r w:rsidR="0037052B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105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următorul cuprins: </w:t>
      </w: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805"/>
        <w:gridCol w:w="3273"/>
        <w:gridCol w:w="1944"/>
        <w:gridCol w:w="1203"/>
        <w:gridCol w:w="2551"/>
      </w:tblGrid>
      <w:tr w:rsidR="0037052B" w:rsidRPr="00F410BB" w14:paraId="70B98956" w14:textId="77777777" w:rsidTr="0009527B">
        <w:tc>
          <w:tcPr>
            <w:tcW w:w="805" w:type="dxa"/>
          </w:tcPr>
          <w:p w14:paraId="3DC3B3F2" w14:textId="4FE02321" w:rsidR="0037052B" w:rsidRPr="00F410BB" w:rsidRDefault="0037052B" w:rsidP="0009527B">
            <w:pPr>
              <w:ind w:hanging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” 1053.</w:t>
            </w:r>
          </w:p>
        </w:tc>
        <w:tc>
          <w:tcPr>
            <w:tcW w:w="3273" w:type="dxa"/>
          </w:tcPr>
          <w:p w14:paraId="17DB20B6" w14:textId="0B39C260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Construcţie, număr cadastral 96291070324.01</w:t>
            </w:r>
          </w:p>
        </w:tc>
        <w:tc>
          <w:tcPr>
            <w:tcW w:w="1944" w:type="dxa"/>
            <w:vMerge w:val="restart"/>
          </w:tcPr>
          <w:p w14:paraId="4C8298C5" w14:textId="445788FE" w:rsidR="0037052B" w:rsidRPr="00F410BB" w:rsidRDefault="0037052B" w:rsidP="0057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Găgăuzia, s.Etulia, extravilan</w:t>
            </w:r>
          </w:p>
        </w:tc>
        <w:tc>
          <w:tcPr>
            <w:tcW w:w="1203" w:type="dxa"/>
          </w:tcPr>
          <w:p w14:paraId="60112321" w14:textId="6FCAF033" w:rsidR="0037052B" w:rsidRPr="00F410BB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2551" w:type="dxa"/>
            <w:vMerge w:val="restart"/>
          </w:tcPr>
          <w:p w14:paraId="65D103B4" w14:textId="77777777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Agenţia Naţională de Îmbunătăţiri Funciare</w:t>
            </w:r>
          </w:p>
          <w:p w14:paraId="7BA91C93" w14:textId="1AA53DA7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52B" w:rsidRPr="00F410BB" w14:paraId="0AB89E73" w14:textId="77777777" w:rsidTr="0009527B">
        <w:tc>
          <w:tcPr>
            <w:tcW w:w="805" w:type="dxa"/>
          </w:tcPr>
          <w:p w14:paraId="18D69ABC" w14:textId="41E28A82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1054.</w:t>
            </w:r>
          </w:p>
        </w:tc>
        <w:tc>
          <w:tcPr>
            <w:tcW w:w="3273" w:type="dxa"/>
          </w:tcPr>
          <w:p w14:paraId="7BFAE6C0" w14:textId="2AE86875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Construcţie, număr cadastral 96291070324.02</w:t>
            </w:r>
          </w:p>
        </w:tc>
        <w:tc>
          <w:tcPr>
            <w:tcW w:w="1944" w:type="dxa"/>
            <w:vMerge/>
          </w:tcPr>
          <w:p w14:paraId="63734663" w14:textId="77777777" w:rsidR="0037052B" w:rsidRPr="00F410BB" w:rsidRDefault="0037052B" w:rsidP="00570C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75881F2" w14:textId="576DBC60" w:rsidR="0037052B" w:rsidRPr="00F410BB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458,9</w:t>
            </w:r>
          </w:p>
        </w:tc>
        <w:tc>
          <w:tcPr>
            <w:tcW w:w="2551" w:type="dxa"/>
            <w:vMerge/>
          </w:tcPr>
          <w:p w14:paraId="7F439416" w14:textId="5083A801" w:rsidR="0037052B" w:rsidRPr="00F410BB" w:rsidRDefault="0037052B" w:rsidP="00201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B2A" w:rsidRPr="00F410BB" w14:paraId="41EFF246" w14:textId="77777777" w:rsidTr="00930728">
        <w:tc>
          <w:tcPr>
            <w:tcW w:w="805" w:type="dxa"/>
          </w:tcPr>
          <w:p w14:paraId="46B4EB66" w14:textId="2D0C8AE9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273" w:type="dxa"/>
          </w:tcPr>
          <w:p w14:paraId="25B78245" w14:textId="442FB2B6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Construcție, număr cadastral 94101060323.01</w:t>
            </w:r>
          </w:p>
        </w:tc>
        <w:tc>
          <w:tcPr>
            <w:tcW w:w="1944" w:type="dxa"/>
            <w:vMerge w:val="restart"/>
          </w:tcPr>
          <w:p w14:paraId="0C0D5F38" w14:textId="77777777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r-nul Cahul,</w:t>
            </w:r>
          </w:p>
          <w:p w14:paraId="064214F8" w14:textId="44E48DA9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Alexandru Ioan Cuza, extravilan</w:t>
            </w:r>
          </w:p>
          <w:p w14:paraId="780AAC20" w14:textId="7CFB090A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C7A3E16" w14:textId="48F680FE" w:rsidR="00646B2A" w:rsidRPr="00F410BB" w:rsidRDefault="00646B2A" w:rsidP="00646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357,2</w:t>
            </w:r>
          </w:p>
        </w:tc>
        <w:tc>
          <w:tcPr>
            <w:tcW w:w="2551" w:type="dxa"/>
            <w:vMerge w:val="restart"/>
          </w:tcPr>
          <w:p w14:paraId="08ACB294" w14:textId="50B52869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Agenţia Naţională de Îmbunătăţiri Funciare</w:t>
            </w:r>
            <w:r w:rsidR="004D72EC"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644B9069" w14:textId="202FCF71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B2A" w:rsidRPr="00F410BB" w14:paraId="2C545730" w14:textId="77777777" w:rsidTr="00930728">
        <w:tc>
          <w:tcPr>
            <w:tcW w:w="805" w:type="dxa"/>
          </w:tcPr>
          <w:p w14:paraId="2D2E3103" w14:textId="78593A37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273" w:type="dxa"/>
          </w:tcPr>
          <w:p w14:paraId="601B01CD" w14:textId="7844AFD1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Construcție, număr cadastral 94101060323.02</w:t>
            </w:r>
          </w:p>
        </w:tc>
        <w:tc>
          <w:tcPr>
            <w:tcW w:w="1944" w:type="dxa"/>
            <w:vMerge/>
          </w:tcPr>
          <w:p w14:paraId="0720FAC8" w14:textId="2A2C72EF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416DF3" w14:textId="4FE0FD05" w:rsidR="00646B2A" w:rsidRPr="00F410BB" w:rsidRDefault="00646B2A" w:rsidP="00646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2551" w:type="dxa"/>
            <w:vMerge/>
          </w:tcPr>
          <w:p w14:paraId="4423CBF5" w14:textId="050224CB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6B2A" w:rsidRPr="00F410BB" w14:paraId="417E9497" w14:textId="77777777" w:rsidTr="00930728">
        <w:tc>
          <w:tcPr>
            <w:tcW w:w="805" w:type="dxa"/>
          </w:tcPr>
          <w:p w14:paraId="3AA19678" w14:textId="541D09BA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273" w:type="dxa"/>
          </w:tcPr>
          <w:p w14:paraId="64163EC0" w14:textId="3EBD9FAC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Construcție, număr cadastral 94101060323.03</w:t>
            </w:r>
          </w:p>
        </w:tc>
        <w:tc>
          <w:tcPr>
            <w:tcW w:w="1944" w:type="dxa"/>
            <w:vMerge/>
          </w:tcPr>
          <w:p w14:paraId="6DDBD833" w14:textId="4286A7CC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6021CCE" w14:textId="08F73BD0" w:rsidR="00646B2A" w:rsidRPr="00F410BB" w:rsidRDefault="00646B2A" w:rsidP="00646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551" w:type="dxa"/>
            <w:vMerge/>
          </w:tcPr>
          <w:p w14:paraId="3A17E37A" w14:textId="3854C6A1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6B2A" w:rsidRPr="00F410BB" w14:paraId="0D5A3077" w14:textId="77777777" w:rsidTr="00930728">
        <w:tc>
          <w:tcPr>
            <w:tcW w:w="805" w:type="dxa"/>
          </w:tcPr>
          <w:p w14:paraId="30173375" w14:textId="7BB0A60A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273" w:type="dxa"/>
          </w:tcPr>
          <w:p w14:paraId="051DD7BD" w14:textId="1534C3B1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Construcție hidrotehnică, număr cadastral 94101060323.04</w:t>
            </w:r>
          </w:p>
        </w:tc>
        <w:tc>
          <w:tcPr>
            <w:tcW w:w="1944" w:type="dxa"/>
            <w:vMerge/>
          </w:tcPr>
          <w:p w14:paraId="059B86AA" w14:textId="0EB5857E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A89EAAB" w14:textId="10468405" w:rsidR="00646B2A" w:rsidRPr="00F410BB" w:rsidRDefault="00646B2A" w:rsidP="00646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7468,0</w:t>
            </w:r>
          </w:p>
        </w:tc>
        <w:tc>
          <w:tcPr>
            <w:tcW w:w="2551" w:type="dxa"/>
            <w:vMerge/>
          </w:tcPr>
          <w:p w14:paraId="57FC83D4" w14:textId="038530D1" w:rsidR="00646B2A" w:rsidRPr="00F410BB" w:rsidRDefault="00646B2A" w:rsidP="0064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2A0D4BF" w14:textId="77777777" w:rsidR="00F51F89" w:rsidRPr="00F410BB" w:rsidRDefault="00F51F89" w:rsidP="000954C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8B4AD7" w14:textId="5E13DBCB" w:rsidR="000954C2" w:rsidRPr="00F410BB" w:rsidRDefault="000954C2" w:rsidP="00646B2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Poz</w:t>
      </w:r>
      <w:r w:rsidR="00582078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ițiile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și 2 din Anex</w:t>
      </w:r>
      <w:r w:rsidR="00582078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Hotărârea Guvernului nr.561</w:t>
      </w:r>
      <w:r w:rsidR="00582078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2022 cu privire la transmiterea unor bunuri şi modificarea anexei nr.22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Hotărârea Guvernului nr.351/2005 cu privire la aprobarea listelor bunurilor imobile proprietate publică a statului şi la transmiterea unor bunuri imobile (</w:t>
      </w:r>
      <w:r w:rsidR="00301C96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Monitorul Oficial al Republicii Moldova, 2022, nr.245, art.633</w:t>
      </w:r>
      <w:r w:rsidRPr="00F410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se ex</w:t>
      </w:r>
      <w:r w:rsidR="00582078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lud.</w:t>
      </w:r>
    </w:p>
    <w:p w14:paraId="29F164ED" w14:textId="3AE3E1A0" w:rsidR="00091D6F" w:rsidRPr="00F410BB" w:rsidRDefault="0037052B" w:rsidP="00646B2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091D6F" w:rsidRPr="00F41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91D6F" w:rsidRPr="00F410BB">
        <w:rPr>
          <w:rFonts w:ascii="Times New Roman" w:eastAsia="Times New Roman" w:hAnsi="Times New Roman" w:cs="Times New Roman"/>
          <w:color w:val="000000"/>
          <w:sz w:val="28"/>
          <w:szCs w:val="28"/>
        </w:rPr>
        <w:t> Prezenta hotărâre intră în vigoare la data publicării în Monitorul Oficial al Republicii Moldova.</w:t>
      </w:r>
    </w:p>
    <w:p w14:paraId="040085F8" w14:textId="77777777" w:rsidR="0009527B" w:rsidRDefault="0009527B" w:rsidP="00091D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6770FDF3" w14:textId="2E21093D" w:rsidR="00091D6F" w:rsidRPr="00835632" w:rsidRDefault="00091D6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939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>Prim-ministru</w:t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  <w:t>Dorin RECEAN</w:t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3563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4DBF0C3" w14:textId="77777777" w:rsidR="00582078" w:rsidRDefault="00582078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7DAB0" w14:textId="77777777" w:rsidR="0009527B" w:rsidRDefault="0009527B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CB3834" w14:textId="6435892A" w:rsidR="00091D6F" w:rsidRPr="00C9680A" w:rsidRDefault="00091D6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0CF1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  <w:r w:rsidRPr="00D60CF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9C15766" w14:textId="6BB3A5DC" w:rsidR="00091D6F" w:rsidRPr="00E92EFC" w:rsidRDefault="00091D6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>Viceprim-ministru,</w:t>
      </w:r>
      <w:r w:rsidR="00582078" w:rsidRPr="005820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20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20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20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20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20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2078" w:rsidRPr="00E92EFC">
        <w:rPr>
          <w:rFonts w:ascii="Times New Roman" w:eastAsia="Times New Roman" w:hAnsi="Times New Roman" w:cs="Times New Roman"/>
          <w:b/>
          <w:sz w:val="28"/>
          <w:szCs w:val="28"/>
        </w:rPr>
        <w:t>Vladimir BOLEA</w:t>
      </w:r>
    </w:p>
    <w:p w14:paraId="5942AAF0" w14:textId="77777777" w:rsidR="00091D6F" w:rsidRPr="00E92EFC" w:rsidRDefault="00091D6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>ministrul agriculturii</w:t>
      </w:r>
    </w:p>
    <w:p w14:paraId="6DA48C95" w14:textId="446C2627" w:rsidR="00091D6F" w:rsidRPr="00E92EFC" w:rsidRDefault="00091D6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>și industriei alimentare</w:t>
      </w: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2EF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57050FA" w14:textId="77777777" w:rsidR="00C93171" w:rsidRDefault="00C93171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C77F9" w14:textId="77777777" w:rsidR="00EA7FDF" w:rsidRDefault="00EA7FD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FFD2C" w14:textId="77777777" w:rsidR="005F3007" w:rsidRDefault="005F3007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D05CED" w14:textId="77777777" w:rsidR="005F3007" w:rsidRDefault="005F3007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899EB4" w14:textId="77777777" w:rsidR="005F3007" w:rsidRDefault="005F3007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33340" w14:textId="77777777" w:rsidR="0037052B" w:rsidRDefault="0037052B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360FF" w14:textId="77777777" w:rsidR="00646B2A" w:rsidRDefault="00646B2A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D04C8" w14:textId="77777777" w:rsidR="00646B2A" w:rsidRDefault="00646B2A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382267" w14:textId="77777777" w:rsidR="00EA7FDF" w:rsidRPr="00C9680A" w:rsidRDefault="00EA7FDF" w:rsidP="00091D6F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18BC9C" w14:textId="0D24CFE6" w:rsidR="00091D6F" w:rsidRPr="00C80939" w:rsidRDefault="0037052B" w:rsidP="00570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”</w:t>
      </w:r>
      <w:r w:rsidR="00091D6F" w:rsidRPr="00C80939">
        <w:rPr>
          <w:rFonts w:ascii="Times New Roman" w:eastAsia="Times New Roman" w:hAnsi="Times New Roman" w:cs="Times New Roman"/>
          <w:color w:val="000000"/>
          <w:sz w:val="18"/>
          <w:szCs w:val="18"/>
        </w:rPr>
        <w:t>Anexă</w:t>
      </w:r>
    </w:p>
    <w:p w14:paraId="5F4B8372" w14:textId="77777777" w:rsidR="00570CE9" w:rsidRDefault="00091D6F" w:rsidP="00570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09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la Hotărârea Guvernului </w:t>
      </w:r>
    </w:p>
    <w:p w14:paraId="36086684" w14:textId="7440B519" w:rsidR="00091D6F" w:rsidRPr="00C80939" w:rsidRDefault="00091D6F" w:rsidP="00570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0939">
        <w:rPr>
          <w:rFonts w:ascii="Times New Roman" w:eastAsia="Times New Roman" w:hAnsi="Times New Roman" w:cs="Times New Roman"/>
          <w:color w:val="000000"/>
          <w:sz w:val="18"/>
          <w:szCs w:val="18"/>
        </w:rPr>
        <w:t>nr.</w:t>
      </w:r>
      <w:r w:rsidR="00570CE9">
        <w:rPr>
          <w:rFonts w:ascii="Times New Roman" w:eastAsia="Times New Roman" w:hAnsi="Times New Roman" w:cs="Times New Roman"/>
          <w:color w:val="000000"/>
          <w:sz w:val="18"/>
          <w:szCs w:val="18"/>
        </w:rPr>
        <w:t>___ din  _________</w:t>
      </w:r>
      <w:r w:rsidRPr="00C9680A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</w:p>
    <w:p w14:paraId="7B51B87B" w14:textId="77777777" w:rsidR="00091D6F" w:rsidRPr="00C80939" w:rsidRDefault="00091D6F" w:rsidP="00091D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80939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</w:p>
    <w:p w14:paraId="091F416B" w14:textId="77777777" w:rsidR="00091D6F" w:rsidRPr="00570CE9" w:rsidRDefault="00091D6F" w:rsidP="00C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LISTA</w:t>
      </w:r>
    </w:p>
    <w:p w14:paraId="0F1D6DBB" w14:textId="77777777" w:rsidR="00091D6F" w:rsidRPr="00570CE9" w:rsidRDefault="00091D6F" w:rsidP="00C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bunurilor imobile din componenţa sistemelor de irigare care se transmit</w:t>
      </w:r>
    </w:p>
    <w:p w14:paraId="770759D3" w14:textId="77777777" w:rsidR="00091D6F" w:rsidRPr="00570CE9" w:rsidRDefault="00091D6F" w:rsidP="00C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 administrarea Agenţiei Proprietăţii Publice în administrarea</w:t>
      </w:r>
    </w:p>
    <w:p w14:paraId="700DEB03" w14:textId="77777777" w:rsidR="00091D6F" w:rsidRPr="00570CE9" w:rsidRDefault="00091D6F" w:rsidP="00C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Ministerului Agriculturii şi Industriei Alimentare</w:t>
      </w:r>
    </w:p>
    <w:p w14:paraId="00C4C3AD" w14:textId="40CCA542" w:rsidR="00091D6F" w:rsidRPr="00570CE9" w:rsidRDefault="00091D6F" w:rsidP="00AB1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(gestiunea Agenţiei Naţionale de Îmbunătăţiri Funciare)</w:t>
      </w:r>
    </w:p>
    <w:tbl>
      <w:tblPr>
        <w:tblpPr w:leftFromText="180" w:rightFromText="180" w:vertAnchor="text" w:horzAnchor="margin" w:tblpXSpec="center" w:tblpY="536"/>
        <w:tblW w:w="4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008"/>
        <w:gridCol w:w="1505"/>
        <w:gridCol w:w="1411"/>
        <w:gridCol w:w="2828"/>
      </w:tblGrid>
      <w:tr w:rsidR="00091D6F" w:rsidRPr="00B1531A" w14:paraId="5C121951" w14:textId="77777777" w:rsidTr="0037052B">
        <w:trPr>
          <w:trHeight w:val="1802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9368B7" w14:textId="77777777" w:rsidR="00091D6F" w:rsidRPr="00556768" w:rsidRDefault="00091D6F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n/o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24F60C" w14:textId="77777777" w:rsidR="00091D6F" w:rsidRPr="00556768" w:rsidRDefault="00091D6F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bunului imobil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FFE6DD" w14:textId="660961EE" w:rsidR="00091D6F" w:rsidRPr="00556768" w:rsidRDefault="00AB156B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091D6F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488CD5" w14:textId="686446EB" w:rsidR="00091D6F" w:rsidRPr="00556768" w:rsidRDefault="00AB156B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Suprafața</w:t>
            </w:r>
            <w:r w:rsidR="00091D6F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sol sau </w:t>
            </w: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suprafața</w:t>
            </w:r>
            <w:r w:rsidR="00091D6F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încăperii izolate,</w:t>
            </w:r>
            <w:r w:rsidR="00091D6F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m2/nr.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1D6F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 nivele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4F8FC3" w14:textId="5B7652DE" w:rsidR="00091D6F" w:rsidRPr="00556768" w:rsidRDefault="00091D6F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Denumirea </w:t>
            </w:r>
            <w:r w:rsidR="00AB156B"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instituției</w:t>
            </w:r>
            <w:r w:rsidRPr="00556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sau </w:t>
            </w:r>
            <w:r w:rsidRPr="00556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întreprinderii de stat care gestionează bunurile proprietate a statului</w:t>
            </w:r>
          </w:p>
          <w:p w14:paraId="3E4AF126" w14:textId="77777777" w:rsidR="00091D6F" w:rsidRPr="00556768" w:rsidRDefault="00091D6F" w:rsidP="00C931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2B" w:rsidRPr="00B1531A" w14:paraId="06B529A2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22273" w14:textId="77777777" w:rsidR="0037052B" w:rsidRPr="00611124" w:rsidRDefault="0037052B" w:rsidP="00091D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07070" w14:textId="2D7401AF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Construcție, număr cadastral 96291070324.01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14334" w14:textId="77777777" w:rsidR="0037052B" w:rsidRDefault="0037052B" w:rsidP="001C754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 xml:space="preserve">UTA Găgăuzia, </w:t>
            </w:r>
          </w:p>
          <w:p w14:paraId="51A6EC57" w14:textId="3A4BE82D" w:rsidR="0037052B" w:rsidRPr="00FB253A" w:rsidRDefault="0037052B" w:rsidP="001C754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Etulia, extravilan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5B7F3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805,5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F96D6" w14:textId="77777777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Î.S. "Stațiunea Tehnologică pentru Irigare Vulcănești"</w:t>
            </w:r>
          </w:p>
          <w:p w14:paraId="3B2E9FCC" w14:textId="535379A9" w:rsidR="0037052B" w:rsidRPr="00FB253A" w:rsidRDefault="0037052B" w:rsidP="0051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75C0636A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ADB21" w14:textId="77777777" w:rsidR="0037052B" w:rsidRPr="00611124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9323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5726F" w14:textId="583A6C75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Construcție, număr cadastral 96291070324.02</w:t>
            </w:r>
          </w:p>
        </w:tc>
        <w:tc>
          <w:tcPr>
            <w:tcW w:w="80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83C01A" w14:textId="77777777" w:rsidR="0037052B" w:rsidRPr="00FB253A" w:rsidRDefault="0037052B" w:rsidP="00FB253A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D6CA0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458,9</w:t>
            </w:r>
          </w:p>
        </w:tc>
        <w:tc>
          <w:tcPr>
            <w:tcW w:w="1513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D2566" w14:textId="3BE66DD0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6E400D3F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2BD89" w14:textId="77777777" w:rsidR="0037052B" w:rsidRPr="00611124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9323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E1D7E" w14:textId="452C6E47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Construcție, număr cadastral 94101060323.01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16C85D" w14:textId="77777777" w:rsidR="0037052B" w:rsidRDefault="0037052B" w:rsidP="001C7549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 xml:space="preserve">r-nul Cahul, </w:t>
            </w:r>
          </w:p>
          <w:p w14:paraId="625E33D4" w14:textId="3E114C3C" w:rsidR="0037052B" w:rsidRPr="00FB253A" w:rsidRDefault="0037052B" w:rsidP="001C7549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s. Alexandru Ioan Cuza, extravilan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729AD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357,2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EE2F1" w14:textId="77777777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Î.S. "Stațiunea Tehnologică pentru Irigare Vulcănești"</w:t>
            </w:r>
          </w:p>
          <w:p w14:paraId="6F06ADA2" w14:textId="7BDB65AA" w:rsidR="0037052B" w:rsidRPr="00FB253A" w:rsidRDefault="0037052B" w:rsidP="002D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32B2DA16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90B38" w14:textId="77777777" w:rsidR="0037052B" w:rsidRPr="00611124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323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03B62" w14:textId="4A406403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Construcție, număr cadastral 94101060323.02</w:t>
            </w:r>
          </w:p>
        </w:tc>
        <w:tc>
          <w:tcPr>
            <w:tcW w:w="8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3308D9" w14:textId="77777777" w:rsidR="0037052B" w:rsidRPr="00FB253A" w:rsidRDefault="0037052B" w:rsidP="00FB253A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75C67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513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0A0BA" w14:textId="0D1C9438" w:rsidR="0037052B" w:rsidRPr="00FB253A" w:rsidRDefault="0037052B" w:rsidP="002D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633754F6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541A8" w14:textId="77777777" w:rsidR="0037052B" w:rsidRPr="00611124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323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47E55" w14:textId="67AF0FA5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Construcție, număr cadastral 94101060323.03</w:t>
            </w:r>
          </w:p>
        </w:tc>
        <w:tc>
          <w:tcPr>
            <w:tcW w:w="8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BF547A" w14:textId="77777777" w:rsidR="0037052B" w:rsidRPr="00FB253A" w:rsidRDefault="0037052B" w:rsidP="00FB253A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89EBD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64,3</w:t>
            </w:r>
          </w:p>
        </w:tc>
        <w:tc>
          <w:tcPr>
            <w:tcW w:w="1513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EB15F" w14:textId="495805AA" w:rsidR="0037052B" w:rsidRPr="00FB253A" w:rsidRDefault="0037052B" w:rsidP="002D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6326BE87" w14:textId="77777777" w:rsidTr="0037052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35E32" w14:textId="77777777" w:rsidR="0037052B" w:rsidRPr="00611124" w:rsidRDefault="0037052B" w:rsidP="00570C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323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19588" w14:textId="08D76B43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Construcție hidrotehnică, număr cadastral 94101060323.04</w:t>
            </w:r>
          </w:p>
        </w:tc>
        <w:tc>
          <w:tcPr>
            <w:tcW w:w="80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D2556E" w14:textId="77777777" w:rsidR="0037052B" w:rsidRPr="00FB253A" w:rsidRDefault="0037052B" w:rsidP="00FB253A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41A53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7468,0</w:t>
            </w:r>
          </w:p>
        </w:tc>
        <w:tc>
          <w:tcPr>
            <w:tcW w:w="1513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2D949" w14:textId="04A0DC42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532380C4" w14:textId="77777777" w:rsidTr="00E572A1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15E5D2" w14:textId="012CE985" w:rsidR="0037052B" w:rsidRDefault="0037052B" w:rsidP="009879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A1E55DF" w14:textId="5EE6A369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Stația de pompare T-2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83699A4" w14:textId="77777777" w:rsidR="0037052B" w:rsidRPr="00FB253A" w:rsidRDefault="0037052B" w:rsidP="001C7549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s. Talmaza,</w:t>
            </w:r>
          </w:p>
          <w:p w14:paraId="08D128C7" w14:textId="41597B5C" w:rsidR="0037052B" w:rsidRPr="00FB253A" w:rsidRDefault="0037052B" w:rsidP="001C7549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r-nul Ștefan Vodă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69388D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450/1</w:t>
            </w:r>
          </w:p>
          <w:p w14:paraId="5B1608D2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45586D" w14:textId="77777777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Î.S. </w:t>
            </w:r>
            <w:r w:rsidRPr="00FB253A">
              <w:rPr>
                <w:rFonts w:ascii="Times New Roman" w:eastAsia="Times New Roman" w:hAnsi="Times New Roman" w:cs="Times New Roman"/>
                <w:color w:val="000000"/>
              </w:rPr>
              <w:t xml:space="preserve">"Stațiunea Tehnologică pentru Irigare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Ștefan Vodă</w:t>
            </w: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775D58C5" w14:textId="2AD825A4" w:rsidR="0037052B" w:rsidRPr="00FB253A" w:rsidRDefault="0037052B" w:rsidP="00E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052B" w:rsidRPr="00B1531A" w14:paraId="0C2DADBA" w14:textId="77777777" w:rsidTr="00E572A1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777A991" w14:textId="60D25C54" w:rsidR="0037052B" w:rsidRDefault="0037052B" w:rsidP="009879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B10EA5" w14:textId="1BB7B359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Clădirea de serviciu a stației de pompare T-2</w:t>
            </w:r>
          </w:p>
        </w:tc>
        <w:tc>
          <w:tcPr>
            <w:tcW w:w="8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BAA3B" w14:textId="77777777" w:rsidR="0037052B" w:rsidRPr="00FB253A" w:rsidRDefault="0037052B" w:rsidP="00FB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AB316C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3A">
              <w:rPr>
                <w:rFonts w:ascii="Times New Roman" w:eastAsia="Times New Roman" w:hAnsi="Times New Roman" w:cs="Times New Roman"/>
                <w:color w:val="000000"/>
              </w:rPr>
              <w:t>60/1</w:t>
            </w:r>
          </w:p>
          <w:p w14:paraId="240E6E8E" w14:textId="77777777" w:rsidR="0037052B" w:rsidRPr="00FB253A" w:rsidRDefault="0037052B" w:rsidP="00F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B3FE3F" w14:textId="32B7EE7F" w:rsidR="0037052B" w:rsidRPr="00FB253A" w:rsidRDefault="0037052B" w:rsidP="001C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58AF6A3" w14:textId="2122A46E" w:rsidR="00091D6F" w:rsidRDefault="00091D6F" w:rsidP="00AB15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F24B684" w14:textId="77777777" w:rsidR="00091D6F" w:rsidRDefault="00091D6F" w:rsidP="00091D6F">
      <w:pPr>
        <w:rPr>
          <w:rFonts w:ascii="Times New Roman" w:hAnsi="Times New Roman" w:cs="Times New Roman"/>
        </w:rPr>
      </w:pPr>
    </w:p>
    <w:p w14:paraId="5E7A9DA0" w14:textId="77777777" w:rsidR="00091D6F" w:rsidRDefault="00091D6F" w:rsidP="00091D6F">
      <w:pPr>
        <w:rPr>
          <w:rFonts w:ascii="Times New Roman" w:hAnsi="Times New Roman" w:cs="Times New Roman"/>
        </w:rPr>
      </w:pPr>
    </w:p>
    <w:p w14:paraId="20FDDB65" w14:textId="77777777" w:rsidR="00091D6F" w:rsidRDefault="00091D6F" w:rsidP="00091D6F">
      <w:pPr>
        <w:rPr>
          <w:rFonts w:ascii="Times New Roman" w:hAnsi="Times New Roman" w:cs="Times New Roman"/>
        </w:rPr>
      </w:pPr>
    </w:p>
    <w:p w14:paraId="45D6641E" w14:textId="77777777" w:rsidR="00091D6F" w:rsidRDefault="00091D6F" w:rsidP="00091D6F">
      <w:pPr>
        <w:rPr>
          <w:rFonts w:ascii="Times New Roman" w:hAnsi="Times New Roman" w:cs="Times New Roman"/>
        </w:rPr>
      </w:pPr>
    </w:p>
    <w:p w14:paraId="43A7990E" w14:textId="77777777" w:rsidR="00091D6F" w:rsidRPr="00091D6F" w:rsidRDefault="00091D6F" w:rsidP="00091D6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91D6F" w:rsidRPr="00091D6F" w:rsidSect="00CE5C24">
      <w:pgSz w:w="11910" w:h="16840"/>
      <w:pgMar w:top="426" w:right="570" w:bottom="709" w:left="1418" w:header="709" w:footer="10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C9B40" w14:textId="77777777" w:rsidR="00D956BC" w:rsidRDefault="00D956BC" w:rsidP="00BB7D24">
      <w:pPr>
        <w:spacing w:after="0" w:line="240" w:lineRule="auto"/>
      </w:pPr>
      <w:r>
        <w:separator/>
      </w:r>
    </w:p>
  </w:endnote>
  <w:endnote w:type="continuationSeparator" w:id="0">
    <w:p w14:paraId="7FE39E85" w14:textId="77777777" w:rsidR="00D956BC" w:rsidRDefault="00D956BC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83545" w14:textId="77777777" w:rsidR="00D956BC" w:rsidRDefault="00D956BC" w:rsidP="00BB7D24">
      <w:pPr>
        <w:spacing w:after="0" w:line="240" w:lineRule="auto"/>
      </w:pPr>
      <w:r>
        <w:separator/>
      </w:r>
    </w:p>
  </w:footnote>
  <w:footnote w:type="continuationSeparator" w:id="0">
    <w:p w14:paraId="784EB381" w14:textId="77777777" w:rsidR="00D956BC" w:rsidRDefault="00D956BC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4"/>
    <w:rsid w:val="000277C7"/>
    <w:rsid w:val="00063391"/>
    <w:rsid w:val="00065569"/>
    <w:rsid w:val="00091D6F"/>
    <w:rsid w:val="0009527B"/>
    <w:rsid w:val="000954C2"/>
    <w:rsid w:val="00097680"/>
    <w:rsid w:val="00097C6E"/>
    <w:rsid w:val="000C362E"/>
    <w:rsid w:val="000C4169"/>
    <w:rsid w:val="000C4653"/>
    <w:rsid w:val="000D5910"/>
    <w:rsid w:val="000F0538"/>
    <w:rsid w:val="000F10F6"/>
    <w:rsid w:val="000F3824"/>
    <w:rsid w:val="001049C3"/>
    <w:rsid w:val="00140F4B"/>
    <w:rsid w:val="00141956"/>
    <w:rsid w:val="00150E84"/>
    <w:rsid w:val="001661F4"/>
    <w:rsid w:val="00191092"/>
    <w:rsid w:val="001C3BCF"/>
    <w:rsid w:val="001C7549"/>
    <w:rsid w:val="001D279C"/>
    <w:rsid w:val="001D61DD"/>
    <w:rsid w:val="00201CCC"/>
    <w:rsid w:val="002351DF"/>
    <w:rsid w:val="00245DFE"/>
    <w:rsid w:val="00261399"/>
    <w:rsid w:val="00265455"/>
    <w:rsid w:val="002657F4"/>
    <w:rsid w:val="00291BFF"/>
    <w:rsid w:val="002B6D7F"/>
    <w:rsid w:val="002C2168"/>
    <w:rsid w:val="002D039D"/>
    <w:rsid w:val="002F1BEA"/>
    <w:rsid w:val="002F2AA9"/>
    <w:rsid w:val="002F3B4C"/>
    <w:rsid w:val="002F3E00"/>
    <w:rsid w:val="002F60E3"/>
    <w:rsid w:val="00301C96"/>
    <w:rsid w:val="00323EC2"/>
    <w:rsid w:val="00357751"/>
    <w:rsid w:val="0037052B"/>
    <w:rsid w:val="003743C5"/>
    <w:rsid w:val="00376820"/>
    <w:rsid w:val="003813D4"/>
    <w:rsid w:val="00382259"/>
    <w:rsid w:val="003A6E57"/>
    <w:rsid w:val="003C2E54"/>
    <w:rsid w:val="003F4632"/>
    <w:rsid w:val="00406A33"/>
    <w:rsid w:val="00407DA4"/>
    <w:rsid w:val="004153E2"/>
    <w:rsid w:val="00423FB8"/>
    <w:rsid w:val="00426209"/>
    <w:rsid w:val="00427DBC"/>
    <w:rsid w:val="00443397"/>
    <w:rsid w:val="00467DCB"/>
    <w:rsid w:val="00475D8E"/>
    <w:rsid w:val="0048456D"/>
    <w:rsid w:val="0048495A"/>
    <w:rsid w:val="004B1EC1"/>
    <w:rsid w:val="004B2769"/>
    <w:rsid w:val="004C15F4"/>
    <w:rsid w:val="004D0EC2"/>
    <w:rsid w:val="004D72EC"/>
    <w:rsid w:val="004E3AA1"/>
    <w:rsid w:val="0051496C"/>
    <w:rsid w:val="005237E4"/>
    <w:rsid w:val="00545748"/>
    <w:rsid w:val="0056309A"/>
    <w:rsid w:val="005669CA"/>
    <w:rsid w:val="00567D6F"/>
    <w:rsid w:val="00570CE9"/>
    <w:rsid w:val="00582078"/>
    <w:rsid w:val="00583471"/>
    <w:rsid w:val="00584B87"/>
    <w:rsid w:val="00595BC0"/>
    <w:rsid w:val="005B3684"/>
    <w:rsid w:val="005B3E56"/>
    <w:rsid w:val="005C4747"/>
    <w:rsid w:val="005E3F8A"/>
    <w:rsid w:val="005E6DF2"/>
    <w:rsid w:val="005E7802"/>
    <w:rsid w:val="005F3007"/>
    <w:rsid w:val="00603FBC"/>
    <w:rsid w:val="00613EBA"/>
    <w:rsid w:val="0061498B"/>
    <w:rsid w:val="00616F6F"/>
    <w:rsid w:val="00621FF0"/>
    <w:rsid w:val="00625F67"/>
    <w:rsid w:val="006302ED"/>
    <w:rsid w:val="00633BC6"/>
    <w:rsid w:val="00635BA1"/>
    <w:rsid w:val="00646B2A"/>
    <w:rsid w:val="00657BDD"/>
    <w:rsid w:val="006634F3"/>
    <w:rsid w:val="006A31AD"/>
    <w:rsid w:val="006C0655"/>
    <w:rsid w:val="006C2640"/>
    <w:rsid w:val="006C3894"/>
    <w:rsid w:val="006E534A"/>
    <w:rsid w:val="006F25A4"/>
    <w:rsid w:val="007014C4"/>
    <w:rsid w:val="0071040D"/>
    <w:rsid w:val="007127BE"/>
    <w:rsid w:val="00714DFB"/>
    <w:rsid w:val="007254F0"/>
    <w:rsid w:val="00726EBB"/>
    <w:rsid w:val="007329EB"/>
    <w:rsid w:val="00732ADA"/>
    <w:rsid w:val="00740051"/>
    <w:rsid w:val="00742FDC"/>
    <w:rsid w:val="00754120"/>
    <w:rsid w:val="00756012"/>
    <w:rsid w:val="007562A7"/>
    <w:rsid w:val="00774ADF"/>
    <w:rsid w:val="007963AD"/>
    <w:rsid w:val="007A520D"/>
    <w:rsid w:val="007C040E"/>
    <w:rsid w:val="007C296B"/>
    <w:rsid w:val="007C5694"/>
    <w:rsid w:val="007D15E0"/>
    <w:rsid w:val="007D3BB9"/>
    <w:rsid w:val="007D7967"/>
    <w:rsid w:val="007F4939"/>
    <w:rsid w:val="00812379"/>
    <w:rsid w:val="00816C86"/>
    <w:rsid w:val="00824BE7"/>
    <w:rsid w:val="008302C0"/>
    <w:rsid w:val="00841B3E"/>
    <w:rsid w:val="00861172"/>
    <w:rsid w:val="00877F46"/>
    <w:rsid w:val="00895275"/>
    <w:rsid w:val="008B724C"/>
    <w:rsid w:val="008E287B"/>
    <w:rsid w:val="008E45EC"/>
    <w:rsid w:val="008E69A9"/>
    <w:rsid w:val="00916FA1"/>
    <w:rsid w:val="00927E9A"/>
    <w:rsid w:val="00930728"/>
    <w:rsid w:val="00942169"/>
    <w:rsid w:val="00951233"/>
    <w:rsid w:val="009700D2"/>
    <w:rsid w:val="00972279"/>
    <w:rsid w:val="00974B56"/>
    <w:rsid w:val="00982524"/>
    <w:rsid w:val="00986382"/>
    <w:rsid w:val="009879E6"/>
    <w:rsid w:val="009B5667"/>
    <w:rsid w:val="009B5A88"/>
    <w:rsid w:val="009C6781"/>
    <w:rsid w:val="009D6138"/>
    <w:rsid w:val="009E5CDF"/>
    <w:rsid w:val="009F1115"/>
    <w:rsid w:val="009F1820"/>
    <w:rsid w:val="009F1AE8"/>
    <w:rsid w:val="009F3A94"/>
    <w:rsid w:val="009F3AAF"/>
    <w:rsid w:val="009F4B97"/>
    <w:rsid w:val="009F5506"/>
    <w:rsid w:val="00A03A58"/>
    <w:rsid w:val="00A05630"/>
    <w:rsid w:val="00A05B7B"/>
    <w:rsid w:val="00A07978"/>
    <w:rsid w:val="00A148AF"/>
    <w:rsid w:val="00A14F45"/>
    <w:rsid w:val="00A41F02"/>
    <w:rsid w:val="00A4212A"/>
    <w:rsid w:val="00A543CF"/>
    <w:rsid w:val="00A72B18"/>
    <w:rsid w:val="00A736D8"/>
    <w:rsid w:val="00AA0A3B"/>
    <w:rsid w:val="00AB08A0"/>
    <w:rsid w:val="00AB156B"/>
    <w:rsid w:val="00AE1826"/>
    <w:rsid w:val="00AE79CB"/>
    <w:rsid w:val="00AF2CC2"/>
    <w:rsid w:val="00B105F0"/>
    <w:rsid w:val="00B1061E"/>
    <w:rsid w:val="00B22442"/>
    <w:rsid w:val="00B2619B"/>
    <w:rsid w:val="00B32E11"/>
    <w:rsid w:val="00B34B07"/>
    <w:rsid w:val="00B34CB3"/>
    <w:rsid w:val="00B41558"/>
    <w:rsid w:val="00B51B36"/>
    <w:rsid w:val="00B52159"/>
    <w:rsid w:val="00B52596"/>
    <w:rsid w:val="00B84A01"/>
    <w:rsid w:val="00BA56E9"/>
    <w:rsid w:val="00BA794D"/>
    <w:rsid w:val="00BB7D24"/>
    <w:rsid w:val="00C01486"/>
    <w:rsid w:val="00C06AF5"/>
    <w:rsid w:val="00C139F1"/>
    <w:rsid w:val="00C3129E"/>
    <w:rsid w:val="00C350BD"/>
    <w:rsid w:val="00C36C46"/>
    <w:rsid w:val="00C4063A"/>
    <w:rsid w:val="00C44DBB"/>
    <w:rsid w:val="00C54C6B"/>
    <w:rsid w:val="00C676D4"/>
    <w:rsid w:val="00C735C7"/>
    <w:rsid w:val="00C74D8C"/>
    <w:rsid w:val="00C763B3"/>
    <w:rsid w:val="00C77168"/>
    <w:rsid w:val="00C775C4"/>
    <w:rsid w:val="00C93171"/>
    <w:rsid w:val="00CC0C1C"/>
    <w:rsid w:val="00CC6086"/>
    <w:rsid w:val="00CE5C24"/>
    <w:rsid w:val="00CF6623"/>
    <w:rsid w:val="00CF7ED3"/>
    <w:rsid w:val="00D266E0"/>
    <w:rsid w:val="00D33C0D"/>
    <w:rsid w:val="00D3574D"/>
    <w:rsid w:val="00D36CA2"/>
    <w:rsid w:val="00D36CEC"/>
    <w:rsid w:val="00D4097B"/>
    <w:rsid w:val="00D55664"/>
    <w:rsid w:val="00D55D25"/>
    <w:rsid w:val="00D617A0"/>
    <w:rsid w:val="00D93343"/>
    <w:rsid w:val="00D956BC"/>
    <w:rsid w:val="00DA1CD3"/>
    <w:rsid w:val="00DB133A"/>
    <w:rsid w:val="00DB62CA"/>
    <w:rsid w:val="00DC0FD1"/>
    <w:rsid w:val="00DC31F5"/>
    <w:rsid w:val="00DC67EE"/>
    <w:rsid w:val="00DC79FE"/>
    <w:rsid w:val="00DC7A9F"/>
    <w:rsid w:val="00DD768B"/>
    <w:rsid w:val="00DF1D0A"/>
    <w:rsid w:val="00DF22F2"/>
    <w:rsid w:val="00DF2331"/>
    <w:rsid w:val="00DF52FF"/>
    <w:rsid w:val="00E0501A"/>
    <w:rsid w:val="00E13671"/>
    <w:rsid w:val="00E15127"/>
    <w:rsid w:val="00E54CC1"/>
    <w:rsid w:val="00E61A85"/>
    <w:rsid w:val="00EA7FDF"/>
    <w:rsid w:val="00EB25CC"/>
    <w:rsid w:val="00ED06FC"/>
    <w:rsid w:val="00ED7719"/>
    <w:rsid w:val="00ED7C4E"/>
    <w:rsid w:val="00EE0461"/>
    <w:rsid w:val="00EF01DE"/>
    <w:rsid w:val="00F237EF"/>
    <w:rsid w:val="00F24668"/>
    <w:rsid w:val="00F3250B"/>
    <w:rsid w:val="00F37568"/>
    <w:rsid w:val="00F410BB"/>
    <w:rsid w:val="00F51F89"/>
    <w:rsid w:val="00F55A4F"/>
    <w:rsid w:val="00F6629D"/>
    <w:rsid w:val="00FB253A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E99A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EBA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91D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Tabelgril">
    <w:name w:val="Table Grid"/>
    <w:basedOn w:val="TabelNormal"/>
    <w:uiPriority w:val="39"/>
    <w:rsid w:val="0038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7D24"/>
  </w:style>
  <w:style w:type="paragraph" w:styleId="Subsol">
    <w:name w:val="footer"/>
    <w:basedOn w:val="Normal"/>
    <w:link w:val="Subsol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91D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evizuire">
    <w:name w:val="Revision"/>
    <w:hidden/>
    <w:uiPriority w:val="99"/>
    <w:semiHidden/>
    <w:rsid w:val="00582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b7acbac54664cd53929a87b8b269b3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lex.md/item/view/id/5fd7c6adbb106a79863b5c1262378c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lex.md/item/view/id/d705ff7c65209d7632f6a33c7342f7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lex.md/item/view/id/334c2bcaf3a5b9cb1662b82d7c9cdb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lex.md/item/view/id/71c68c2670e291201c68889923bfb8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3F83-4D48-4BB5-B683-E85B9A34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Viorica Bolun</cp:lastModifiedBy>
  <cp:revision>3</cp:revision>
  <cp:lastPrinted>2024-03-14T12:39:00Z</cp:lastPrinted>
  <dcterms:created xsi:type="dcterms:W3CDTF">2024-04-09T13:03:00Z</dcterms:created>
  <dcterms:modified xsi:type="dcterms:W3CDTF">2024-04-09T13:04:00Z</dcterms:modified>
</cp:coreProperties>
</file>