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6400" w14:textId="77777777" w:rsidR="004C21B8" w:rsidRPr="00DA0B64" w:rsidRDefault="00362E4C" w:rsidP="00A01A03">
      <w:pPr>
        <w:jc w:val="center"/>
        <w:rPr>
          <w:b/>
          <w:sz w:val="25"/>
          <w:szCs w:val="25"/>
          <w:lang w:val="ro-RO"/>
        </w:rPr>
      </w:pPr>
      <w:bookmarkStart w:id="0" w:name="_Hlk168925999"/>
      <w:bookmarkStart w:id="1" w:name="_Hlk168925975"/>
      <w:r w:rsidRPr="00DA0B64">
        <w:rPr>
          <w:b/>
          <w:sz w:val="25"/>
          <w:szCs w:val="25"/>
          <w:lang w:val="ro-RO"/>
        </w:rPr>
        <w:t>Nota informativă</w:t>
      </w:r>
    </w:p>
    <w:p w14:paraId="7C02EAC0" w14:textId="77777777" w:rsidR="00532D60" w:rsidRPr="00DA0B64" w:rsidRDefault="0005506C" w:rsidP="00532D60">
      <w:pPr>
        <w:jc w:val="center"/>
        <w:rPr>
          <w:b/>
          <w:bCs/>
          <w:sz w:val="25"/>
          <w:szCs w:val="25"/>
          <w:lang w:val="ro-RO"/>
        </w:rPr>
      </w:pPr>
      <w:r w:rsidRPr="00DA0B64">
        <w:rPr>
          <w:b/>
          <w:sz w:val="25"/>
          <w:szCs w:val="25"/>
          <w:lang w:val="ro-RO"/>
        </w:rPr>
        <w:t xml:space="preserve">la proiectul </w:t>
      </w:r>
      <w:r w:rsidR="00532D60" w:rsidRPr="00DA0B64">
        <w:rPr>
          <w:b/>
          <w:sz w:val="25"/>
          <w:szCs w:val="25"/>
          <w:lang w:val="ro-RO"/>
        </w:rPr>
        <w:t xml:space="preserve">hotărârii Guvernului </w:t>
      </w:r>
      <w:r w:rsidR="00532D60" w:rsidRPr="00DA0B64">
        <w:rPr>
          <w:b/>
          <w:bCs/>
          <w:sz w:val="25"/>
          <w:szCs w:val="25"/>
          <w:lang w:val="ro-RO"/>
        </w:rPr>
        <w:t xml:space="preserve">cu privire la modificarea </w:t>
      </w:r>
    </w:p>
    <w:p w14:paraId="46451069" w14:textId="4CFC9F2D" w:rsidR="00532D60" w:rsidRPr="00DA0B64" w:rsidRDefault="00532D60" w:rsidP="00532D60">
      <w:pPr>
        <w:jc w:val="center"/>
        <w:rPr>
          <w:b/>
          <w:bCs/>
          <w:sz w:val="25"/>
          <w:szCs w:val="25"/>
          <w:lang w:val="ro-RO"/>
        </w:rPr>
      </w:pPr>
      <w:r w:rsidRPr="00DA0B64">
        <w:rPr>
          <w:b/>
          <w:bCs/>
          <w:sz w:val="25"/>
          <w:szCs w:val="25"/>
          <w:lang w:val="ro-RO"/>
        </w:rPr>
        <w:t>unor hotărâri ale Guvernului</w:t>
      </w:r>
      <w:r w:rsidR="004F11C8" w:rsidRPr="00DA0B64">
        <w:rPr>
          <w:b/>
          <w:bCs/>
          <w:sz w:val="25"/>
          <w:szCs w:val="25"/>
          <w:lang w:val="ro-RO"/>
        </w:rPr>
        <w:t xml:space="preserve"> </w:t>
      </w:r>
    </w:p>
    <w:bookmarkEnd w:id="0"/>
    <w:p w14:paraId="004A2AD0" w14:textId="30A43184" w:rsidR="004146E7" w:rsidRPr="00DA0B64" w:rsidRDefault="004146E7" w:rsidP="00F16373">
      <w:pPr>
        <w:jc w:val="center"/>
        <w:rPr>
          <w:sz w:val="25"/>
          <w:szCs w:val="25"/>
          <w:lang w:val="ro-RO"/>
        </w:rPr>
      </w:pPr>
    </w:p>
    <w:tbl>
      <w:tblPr>
        <w:tblW w:w="5212" w:type="pct"/>
        <w:jc w:val="center"/>
        <w:tblCellMar>
          <w:top w:w="15" w:type="dxa"/>
          <w:left w:w="15" w:type="dxa"/>
          <w:bottom w:w="15" w:type="dxa"/>
          <w:right w:w="15" w:type="dxa"/>
        </w:tblCellMar>
        <w:tblLook w:val="04A0" w:firstRow="1" w:lastRow="0" w:firstColumn="1" w:lastColumn="0" w:noHBand="0" w:noVBand="1"/>
      </w:tblPr>
      <w:tblGrid>
        <w:gridCol w:w="2268"/>
        <w:gridCol w:w="7484"/>
      </w:tblGrid>
      <w:tr w:rsidR="007F159A" w:rsidRPr="00DA0B64" w14:paraId="4EB14A2B" w14:textId="77777777" w:rsidTr="00137975">
        <w:trPr>
          <w:gridBefore w:val="1"/>
          <w:wBefore w:w="1163" w:type="pct"/>
          <w:jc w:val="center"/>
        </w:trPr>
        <w:tc>
          <w:tcPr>
            <w:tcW w:w="0" w:type="auto"/>
            <w:tcBorders>
              <w:top w:val="nil"/>
              <w:left w:val="nil"/>
              <w:bottom w:val="nil"/>
              <w:right w:val="nil"/>
            </w:tcBorders>
            <w:tcMar>
              <w:top w:w="15" w:type="dxa"/>
              <w:left w:w="45" w:type="dxa"/>
              <w:bottom w:w="15" w:type="dxa"/>
              <w:right w:w="45" w:type="dxa"/>
            </w:tcMar>
            <w:hideMark/>
          </w:tcPr>
          <w:p w14:paraId="38592370" w14:textId="77777777" w:rsidR="007F159A" w:rsidRPr="00DA0B64" w:rsidRDefault="007F159A">
            <w:pPr>
              <w:pStyle w:val="cp"/>
              <w:rPr>
                <w:sz w:val="25"/>
                <w:szCs w:val="25"/>
                <w:lang w:val="ro-RO"/>
              </w:rPr>
            </w:pPr>
            <w:bookmarkStart w:id="2" w:name="_Hlk168926024"/>
          </w:p>
        </w:tc>
      </w:tr>
      <w:tr w:rsidR="007F159A" w:rsidRPr="0013156C" w14:paraId="30AA9E74"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72A9E" w14:textId="676C2651" w:rsidR="007F159A" w:rsidRPr="00DA0B64" w:rsidRDefault="007F159A">
            <w:pPr>
              <w:rPr>
                <w:b/>
                <w:sz w:val="25"/>
                <w:szCs w:val="25"/>
                <w:lang w:val="ro-RO"/>
              </w:rPr>
            </w:pPr>
            <w:r w:rsidRPr="00DA0B64">
              <w:rPr>
                <w:b/>
                <w:sz w:val="25"/>
                <w:szCs w:val="25"/>
                <w:lang w:val="ro-RO"/>
              </w:rPr>
              <w:t xml:space="preserve">1. Denumirea autorului </w:t>
            </w:r>
            <w:proofErr w:type="spellStart"/>
            <w:r w:rsidRPr="00DA0B64">
              <w:rPr>
                <w:b/>
                <w:sz w:val="25"/>
                <w:szCs w:val="25"/>
                <w:lang w:val="ro-RO"/>
              </w:rPr>
              <w:t>şi</w:t>
            </w:r>
            <w:proofErr w:type="spellEnd"/>
            <w:r w:rsidRPr="00DA0B64">
              <w:rPr>
                <w:b/>
                <w:sz w:val="25"/>
                <w:szCs w:val="25"/>
                <w:lang w:val="ro-RO"/>
              </w:rPr>
              <w:t xml:space="preserve">, după caz, a </w:t>
            </w:r>
            <w:r w:rsidR="00FF512E" w:rsidRPr="00DA0B64">
              <w:rPr>
                <w:b/>
                <w:sz w:val="25"/>
                <w:szCs w:val="25"/>
                <w:lang w:val="ro-RO"/>
              </w:rPr>
              <w:t>participanților</w:t>
            </w:r>
            <w:r w:rsidRPr="00DA0B64">
              <w:rPr>
                <w:b/>
                <w:sz w:val="25"/>
                <w:szCs w:val="25"/>
                <w:lang w:val="ro-RO"/>
              </w:rPr>
              <w:t xml:space="preserve"> la elaborarea proiectului </w:t>
            </w:r>
          </w:p>
        </w:tc>
      </w:tr>
      <w:tr w:rsidR="007F159A" w:rsidRPr="0013156C" w14:paraId="183D6650"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F37E35" w14:textId="7BDD368D" w:rsidR="00580EFC" w:rsidRPr="00DA0B64" w:rsidRDefault="00E42E7E">
            <w:pPr>
              <w:rPr>
                <w:sz w:val="25"/>
                <w:szCs w:val="25"/>
                <w:lang w:val="ro-RO"/>
              </w:rPr>
            </w:pPr>
            <w:r w:rsidRPr="00DA0B64">
              <w:rPr>
                <w:rFonts w:asciiTheme="majorBidi" w:hAnsiTheme="majorBidi" w:cstheme="majorBidi"/>
                <w:lang w:val="ro-RO"/>
              </w:rPr>
              <w:t>Proiectul hotărârii Guvernului a fost elaborat de către Ministerul Sănătății de comun cu Agenția Națională pentru Sănătate Publică.</w:t>
            </w:r>
          </w:p>
        </w:tc>
      </w:tr>
      <w:tr w:rsidR="007F159A" w:rsidRPr="0013156C" w14:paraId="14240CA7"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AC13E" w14:textId="145F3FF0" w:rsidR="007F159A" w:rsidRPr="00DA0B64" w:rsidRDefault="007F159A" w:rsidP="00051967">
            <w:pPr>
              <w:jc w:val="both"/>
              <w:rPr>
                <w:b/>
                <w:sz w:val="25"/>
                <w:szCs w:val="25"/>
                <w:lang w:val="ro-RO"/>
              </w:rPr>
            </w:pPr>
            <w:r w:rsidRPr="00DA0B64">
              <w:rPr>
                <w:b/>
                <w:sz w:val="25"/>
                <w:szCs w:val="25"/>
                <w:lang w:val="ro-RO"/>
              </w:rPr>
              <w:t xml:space="preserve">2. </w:t>
            </w:r>
            <w:r w:rsidR="00FF512E" w:rsidRPr="00DA0B64">
              <w:rPr>
                <w:b/>
                <w:sz w:val="25"/>
                <w:szCs w:val="25"/>
                <w:lang w:val="ro-RO"/>
              </w:rPr>
              <w:t>Condițiile</w:t>
            </w:r>
            <w:r w:rsidRPr="00DA0B64">
              <w:rPr>
                <w:b/>
                <w:sz w:val="25"/>
                <w:szCs w:val="25"/>
                <w:lang w:val="ro-RO"/>
              </w:rPr>
              <w:t xml:space="preserve"> ce au impus elaborarea proiectului de act normativ </w:t>
            </w:r>
            <w:proofErr w:type="spellStart"/>
            <w:r w:rsidRPr="00DA0B64">
              <w:rPr>
                <w:b/>
                <w:sz w:val="25"/>
                <w:szCs w:val="25"/>
                <w:lang w:val="ro-RO"/>
              </w:rPr>
              <w:t>şi</w:t>
            </w:r>
            <w:proofErr w:type="spellEnd"/>
            <w:r w:rsidRPr="00DA0B64">
              <w:rPr>
                <w:b/>
                <w:sz w:val="25"/>
                <w:szCs w:val="25"/>
                <w:lang w:val="ro-RO"/>
              </w:rPr>
              <w:t xml:space="preserve"> </w:t>
            </w:r>
            <w:r w:rsidR="00FF512E" w:rsidRPr="00DA0B64">
              <w:rPr>
                <w:b/>
                <w:sz w:val="25"/>
                <w:szCs w:val="25"/>
                <w:lang w:val="ro-RO"/>
              </w:rPr>
              <w:t>finalitățile</w:t>
            </w:r>
            <w:r w:rsidRPr="00DA0B64">
              <w:rPr>
                <w:b/>
                <w:sz w:val="25"/>
                <w:szCs w:val="25"/>
                <w:lang w:val="ro-RO"/>
              </w:rPr>
              <w:t xml:space="preserve"> urmărite </w:t>
            </w:r>
          </w:p>
        </w:tc>
      </w:tr>
      <w:tr w:rsidR="007F159A" w:rsidRPr="0013156C" w14:paraId="092D7939"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5FC5CB" w14:textId="77777777" w:rsidR="0013156C" w:rsidRDefault="00E42E7E" w:rsidP="00822AD7">
            <w:pPr>
              <w:jc w:val="both"/>
              <w:rPr>
                <w:rFonts w:asciiTheme="majorBidi" w:hAnsiTheme="majorBidi" w:cstheme="majorBidi"/>
                <w:shd w:val="clear" w:color="auto" w:fill="FFFFFF"/>
                <w:lang w:val="ro-RO"/>
              </w:rPr>
            </w:pPr>
            <w:r w:rsidRPr="00DA0B64">
              <w:rPr>
                <w:rFonts w:asciiTheme="majorBidi" w:hAnsiTheme="majorBidi" w:cstheme="majorBidi"/>
                <w:shd w:val="clear" w:color="auto" w:fill="FFFFFF"/>
                <w:lang w:val="ro-RO"/>
              </w:rPr>
              <w:t xml:space="preserve">Proiectul hotărârii Guvernului prevede </w:t>
            </w:r>
            <w:r w:rsidR="003423D9" w:rsidRPr="00DA0B64">
              <w:rPr>
                <w:rFonts w:asciiTheme="majorBidi" w:hAnsiTheme="majorBidi" w:cstheme="majorBidi"/>
                <w:shd w:val="clear" w:color="auto" w:fill="FFFFFF"/>
                <w:lang w:val="ro-RO"/>
              </w:rPr>
              <w:t xml:space="preserve">transpunerea </w:t>
            </w:r>
            <w:r w:rsidR="002A371A" w:rsidRPr="00DA0B64">
              <w:rPr>
                <w:rFonts w:asciiTheme="majorBidi" w:hAnsiTheme="majorBidi" w:cstheme="majorBidi"/>
                <w:shd w:val="clear" w:color="auto" w:fill="FFFFFF"/>
                <w:lang w:val="ro-RO"/>
              </w:rPr>
              <w:t>a Regulamentului (UE) 2022/2371 al Parlamentului European și al consiliului din 23 noiembrie</w:t>
            </w:r>
            <w:r w:rsidR="00822AD7" w:rsidRPr="00DA0B64">
              <w:rPr>
                <w:rFonts w:asciiTheme="majorBidi" w:hAnsiTheme="majorBidi" w:cstheme="majorBidi"/>
                <w:shd w:val="clear" w:color="auto" w:fill="FFFFFF"/>
                <w:lang w:val="ro-RO"/>
              </w:rPr>
              <w:t xml:space="preserve"> 2022 </w:t>
            </w:r>
            <w:r w:rsidR="002A371A" w:rsidRPr="00DA0B64">
              <w:rPr>
                <w:rFonts w:asciiTheme="majorBidi" w:hAnsiTheme="majorBidi" w:cstheme="majorBidi"/>
                <w:shd w:val="clear" w:color="auto" w:fill="FFFFFF"/>
                <w:lang w:val="ro-RO"/>
              </w:rPr>
              <w:t xml:space="preserve">privind amenințările transfrontaliere grave pentru sănătate și de abrogare a </w:t>
            </w:r>
            <w:r w:rsidR="00822AD7" w:rsidRPr="00DA0B64">
              <w:rPr>
                <w:rFonts w:asciiTheme="majorBidi" w:hAnsiTheme="majorBidi" w:cstheme="majorBidi"/>
                <w:shd w:val="clear" w:color="auto" w:fill="FFFFFF"/>
                <w:lang w:val="ro-RO"/>
              </w:rPr>
              <w:t xml:space="preserve">Decizia nr. 1082/2013/UE a Parlamentului European și a Consiliului din 22 octombrie 2013 privind amenințările transfrontaliere grave pentru sănătate, și </w:t>
            </w:r>
            <w:r w:rsidR="0013156C">
              <w:rPr>
                <w:rFonts w:asciiTheme="majorBidi" w:hAnsiTheme="majorBidi" w:cstheme="majorBidi"/>
                <w:shd w:val="clear" w:color="auto" w:fill="FFFFFF"/>
                <w:lang w:val="ro-RO"/>
              </w:rPr>
              <w:t>abrogarea</w:t>
            </w:r>
            <w:r w:rsidR="0013156C" w:rsidRPr="00DA0B64">
              <w:rPr>
                <w:rFonts w:asciiTheme="majorBidi" w:hAnsiTheme="majorBidi" w:cstheme="majorBidi"/>
                <w:shd w:val="clear" w:color="auto" w:fill="FFFFFF"/>
                <w:lang w:val="ro-RO"/>
              </w:rPr>
              <w:t xml:space="preserve"> </w:t>
            </w:r>
            <w:r w:rsidR="0013156C" w:rsidRPr="00DA0B64">
              <w:rPr>
                <w:rFonts w:asciiTheme="majorBidi" w:hAnsiTheme="majorBidi" w:cstheme="majorBidi"/>
                <w:shd w:val="clear" w:color="auto" w:fill="FFFFFF"/>
                <w:lang w:val="ro-RO"/>
              </w:rPr>
              <w:t xml:space="preserve">Hotărârii Guvernului nr. 951 din 25.11.2013 </w:t>
            </w:r>
            <w:r w:rsidR="0013156C" w:rsidRPr="0013156C">
              <w:rPr>
                <w:rFonts w:asciiTheme="majorBidi" w:hAnsiTheme="majorBidi" w:cstheme="majorBidi"/>
                <w:shd w:val="clear" w:color="auto" w:fill="FFFFFF"/>
                <w:lang w:val="ro-RO"/>
              </w:rPr>
              <w:t xml:space="preserve">pentru aprobarea Regulamentului privind sistemul </w:t>
            </w:r>
            <w:proofErr w:type="spellStart"/>
            <w:r w:rsidR="0013156C" w:rsidRPr="0013156C">
              <w:rPr>
                <w:rFonts w:asciiTheme="majorBidi" w:hAnsiTheme="majorBidi" w:cstheme="majorBidi"/>
                <w:shd w:val="clear" w:color="auto" w:fill="FFFFFF"/>
                <w:lang w:val="ro-RO"/>
              </w:rPr>
              <w:t>naţional</w:t>
            </w:r>
            <w:proofErr w:type="spellEnd"/>
            <w:r w:rsidR="0013156C" w:rsidRPr="0013156C">
              <w:rPr>
                <w:rFonts w:asciiTheme="majorBidi" w:hAnsiTheme="majorBidi" w:cstheme="majorBidi"/>
                <w:shd w:val="clear" w:color="auto" w:fill="FFFFFF"/>
                <w:lang w:val="ro-RO"/>
              </w:rPr>
              <w:t xml:space="preserve"> de supraveghere epidemiologică </w:t>
            </w:r>
            <w:proofErr w:type="spellStart"/>
            <w:r w:rsidR="0013156C" w:rsidRPr="0013156C">
              <w:rPr>
                <w:rFonts w:asciiTheme="majorBidi" w:hAnsiTheme="majorBidi" w:cstheme="majorBidi"/>
                <w:shd w:val="clear" w:color="auto" w:fill="FFFFFF"/>
                <w:lang w:val="ro-RO"/>
              </w:rPr>
              <w:t>şi</w:t>
            </w:r>
            <w:proofErr w:type="spellEnd"/>
            <w:r w:rsidR="0013156C" w:rsidRPr="0013156C">
              <w:rPr>
                <w:rFonts w:asciiTheme="majorBidi" w:hAnsiTheme="majorBidi" w:cstheme="majorBidi"/>
                <w:shd w:val="clear" w:color="auto" w:fill="FFFFFF"/>
                <w:lang w:val="ro-RO"/>
              </w:rPr>
              <w:t xml:space="preserve"> control al bolilor transmisibile </w:t>
            </w:r>
            <w:proofErr w:type="spellStart"/>
            <w:r w:rsidR="0013156C" w:rsidRPr="0013156C">
              <w:rPr>
                <w:rFonts w:asciiTheme="majorBidi" w:hAnsiTheme="majorBidi" w:cstheme="majorBidi"/>
                <w:shd w:val="clear" w:color="auto" w:fill="FFFFFF"/>
                <w:lang w:val="ro-RO"/>
              </w:rPr>
              <w:t>şi</w:t>
            </w:r>
            <w:proofErr w:type="spellEnd"/>
            <w:r w:rsidR="0013156C" w:rsidRPr="0013156C">
              <w:rPr>
                <w:rFonts w:asciiTheme="majorBidi" w:hAnsiTheme="majorBidi" w:cstheme="majorBidi"/>
                <w:shd w:val="clear" w:color="auto" w:fill="FFFFFF"/>
                <w:lang w:val="ro-RO"/>
              </w:rPr>
              <w:t xml:space="preserve"> evenimentelor de sănătate publică</w:t>
            </w:r>
            <w:r w:rsidR="0013156C">
              <w:rPr>
                <w:rFonts w:asciiTheme="majorBidi" w:hAnsiTheme="majorBidi" w:cstheme="majorBidi"/>
                <w:shd w:val="clear" w:color="auto" w:fill="FFFFFF"/>
                <w:lang w:val="ro-RO"/>
              </w:rPr>
              <w:t xml:space="preserve">. </w:t>
            </w:r>
          </w:p>
          <w:p w14:paraId="14515A43" w14:textId="2D77848C" w:rsidR="00822AD7" w:rsidRPr="00DA0B64" w:rsidRDefault="0013156C" w:rsidP="0013156C">
            <w:pPr>
              <w:jc w:val="both"/>
              <w:rPr>
                <w:rFonts w:asciiTheme="majorBidi" w:hAnsiTheme="majorBidi" w:cstheme="majorBidi"/>
                <w:shd w:val="clear" w:color="auto" w:fill="FFFFFF"/>
                <w:lang w:val="ro-RO"/>
              </w:rPr>
            </w:pPr>
            <w:r>
              <w:rPr>
                <w:rFonts w:asciiTheme="majorBidi" w:hAnsiTheme="majorBidi" w:cstheme="majorBidi"/>
                <w:shd w:val="clear" w:color="auto" w:fill="FFFFFF"/>
                <w:lang w:val="ro-RO"/>
              </w:rPr>
              <w:t>Modificarea</w:t>
            </w:r>
            <w:r w:rsidRPr="00DA0B64">
              <w:rPr>
                <w:rFonts w:asciiTheme="majorBidi" w:hAnsiTheme="majorBidi" w:cstheme="majorBidi"/>
                <w:shd w:val="clear" w:color="auto" w:fill="FFFFFF"/>
                <w:lang w:val="ro-RO"/>
              </w:rPr>
              <w:t xml:space="preserve"> </w:t>
            </w:r>
            <w:r>
              <w:rPr>
                <w:rFonts w:asciiTheme="majorBidi" w:hAnsiTheme="majorBidi" w:cstheme="majorBidi"/>
                <w:shd w:val="clear" w:color="auto" w:fill="FFFFFF"/>
                <w:lang w:val="ro-RO"/>
              </w:rPr>
              <w:t>este inițiată</w:t>
            </w:r>
            <w:r w:rsidRPr="00DA0B64">
              <w:rPr>
                <w:rFonts w:asciiTheme="majorBidi" w:hAnsiTheme="majorBidi" w:cstheme="majorBidi"/>
                <w:shd w:val="clear" w:color="auto" w:fill="FFFFFF"/>
                <w:lang w:val="ro-RO"/>
              </w:rPr>
              <w:t xml:space="preserve"> urmare a necesitații actualizării cadrului normativ privind reglementării sistemului </w:t>
            </w:r>
            <w:proofErr w:type="spellStart"/>
            <w:r w:rsidRPr="00DA0B64">
              <w:rPr>
                <w:rFonts w:asciiTheme="majorBidi" w:hAnsiTheme="majorBidi" w:cstheme="majorBidi"/>
                <w:shd w:val="clear" w:color="auto" w:fill="FFFFFF"/>
                <w:lang w:val="ro-RO"/>
              </w:rPr>
              <w:t>naţional</w:t>
            </w:r>
            <w:proofErr w:type="spellEnd"/>
            <w:r w:rsidRPr="00DA0B64">
              <w:rPr>
                <w:rFonts w:asciiTheme="majorBidi" w:hAnsiTheme="majorBidi" w:cstheme="majorBidi"/>
                <w:shd w:val="clear" w:color="auto" w:fill="FFFFFF"/>
                <w:lang w:val="ro-RO"/>
              </w:rPr>
              <w:t xml:space="preserve"> de supraveghere epidemiologică </w:t>
            </w:r>
            <w:proofErr w:type="spellStart"/>
            <w:r w:rsidRPr="00DA0B64">
              <w:rPr>
                <w:rFonts w:asciiTheme="majorBidi" w:hAnsiTheme="majorBidi" w:cstheme="majorBidi"/>
                <w:shd w:val="clear" w:color="auto" w:fill="FFFFFF"/>
                <w:lang w:val="ro-RO"/>
              </w:rPr>
              <w:t>şi</w:t>
            </w:r>
            <w:proofErr w:type="spellEnd"/>
            <w:r w:rsidRPr="00DA0B64">
              <w:rPr>
                <w:rFonts w:asciiTheme="majorBidi" w:hAnsiTheme="majorBidi" w:cstheme="majorBidi"/>
                <w:shd w:val="clear" w:color="auto" w:fill="FFFFFF"/>
                <w:lang w:val="ro-RO"/>
              </w:rPr>
              <w:t xml:space="preserve"> control al bolilor transmisibile </w:t>
            </w:r>
            <w:proofErr w:type="spellStart"/>
            <w:r w:rsidRPr="00DA0B64">
              <w:rPr>
                <w:rFonts w:asciiTheme="majorBidi" w:hAnsiTheme="majorBidi" w:cstheme="majorBidi"/>
                <w:shd w:val="clear" w:color="auto" w:fill="FFFFFF"/>
                <w:lang w:val="ro-RO"/>
              </w:rPr>
              <w:t>şi</w:t>
            </w:r>
            <w:proofErr w:type="spellEnd"/>
            <w:r w:rsidRPr="00DA0B64">
              <w:rPr>
                <w:rFonts w:asciiTheme="majorBidi" w:hAnsiTheme="majorBidi" w:cstheme="majorBidi"/>
                <w:shd w:val="clear" w:color="auto" w:fill="FFFFFF"/>
                <w:lang w:val="ro-RO"/>
              </w:rPr>
              <w:t xml:space="preserve"> evenimentelor de sănătate publică</w:t>
            </w:r>
            <w:r>
              <w:rPr>
                <w:rFonts w:asciiTheme="majorBidi" w:hAnsiTheme="majorBidi" w:cstheme="majorBidi"/>
                <w:shd w:val="clear" w:color="auto" w:fill="FFFFFF"/>
                <w:lang w:val="ro-RO"/>
              </w:rPr>
              <w:t xml:space="preserve"> implementării HG 885/2023 cu privire la </w:t>
            </w:r>
            <w:r w:rsidRPr="0013156C">
              <w:rPr>
                <w:rFonts w:asciiTheme="majorBidi" w:hAnsiTheme="majorBidi" w:cstheme="majorBidi"/>
                <w:shd w:val="clear" w:color="auto" w:fill="FFFFFF"/>
                <w:lang w:val="ro-RO"/>
              </w:rPr>
              <w:t>cu privire la instituirea Sistemului informațional de supraveghere a bolilor transmisibile și evenimentelor de sănătate publică</w:t>
            </w:r>
            <w:r>
              <w:rPr>
                <w:rFonts w:asciiTheme="majorBidi" w:hAnsiTheme="majorBidi" w:cstheme="majorBidi"/>
                <w:shd w:val="clear" w:color="auto" w:fill="FFFFFF"/>
                <w:lang w:val="ro-RO"/>
              </w:rPr>
              <w:t xml:space="preserve"> (SI SBTESP)</w:t>
            </w:r>
            <w:r w:rsidRPr="00DA0B64">
              <w:rPr>
                <w:rFonts w:asciiTheme="majorBidi" w:hAnsiTheme="majorBidi" w:cstheme="majorBidi"/>
                <w:shd w:val="clear" w:color="auto" w:fill="FFFFFF"/>
                <w:lang w:val="ro-RO"/>
              </w:rPr>
              <w:t xml:space="preserve">, care va garanta asigurarea </w:t>
            </w:r>
            <w:proofErr w:type="spellStart"/>
            <w:r w:rsidRPr="00DA0B64">
              <w:rPr>
                <w:rFonts w:asciiTheme="majorBidi" w:hAnsiTheme="majorBidi" w:cstheme="majorBidi"/>
                <w:shd w:val="clear" w:color="auto" w:fill="FFFFFF"/>
                <w:lang w:val="ro-RO"/>
              </w:rPr>
              <w:t>sănătăţii</w:t>
            </w:r>
            <w:proofErr w:type="spellEnd"/>
            <w:r w:rsidRPr="00DA0B64">
              <w:rPr>
                <w:rFonts w:asciiTheme="majorBidi" w:hAnsiTheme="majorBidi" w:cstheme="majorBidi"/>
                <w:shd w:val="clear" w:color="auto" w:fill="FFFFFF"/>
                <w:lang w:val="ro-RO"/>
              </w:rPr>
              <w:t xml:space="preserve"> publice</w:t>
            </w:r>
            <w:r>
              <w:rPr>
                <w:rFonts w:asciiTheme="majorBidi" w:hAnsiTheme="majorBidi" w:cstheme="majorBidi"/>
                <w:shd w:val="clear" w:color="auto" w:fill="FFFFFF"/>
                <w:lang w:val="ro-RO"/>
              </w:rPr>
              <w:t xml:space="preserve"> precum și </w:t>
            </w:r>
            <w:r w:rsidR="00822AD7" w:rsidRPr="00DA0B64">
              <w:rPr>
                <w:rFonts w:asciiTheme="majorBidi" w:hAnsiTheme="majorBidi" w:cstheme="majorBidi"/>
                <w:shd w:val="clear" w:color="auto" w:fill="FFFFFF"/>
                <w:lang w:val="ro-RO"/>
              </w:rPr>
              <w:t xml:space="preserve">ale </w:t>
            </w:r>
            <w:r>
              <w:rPr>
                <w:rFonts w:asciiTheme="majorBidi" w:hAnsiTheme="majorBidi" w:cstheme="majorBidi"/>
                <w:shd w:val="clear" w:color="auto" w:fill="FFFFFF"/>
                <w:lang w:val="ro-RO"/>
              </w:rPr>
              <w:t>HG 222/2023</w:t>
            </w:r>
            <w:r w:rsidRPr="0013156C">
              <w:rPr>
                <w:lang w:val="pt-BR"/>
              </w:rPr>
              <w:t xml:space="preserve"> </w:t>
            </w:r>
            <w:r w:rsidRPr="0013156C">
              <w:rPr>
                <w:rFonts w:asciiTheme="majorBidi" w:hAnsiTheme="majorBidi" w:cstheme="majorBidi"/>
                <w:shd w:val="clear" w:color="auto" w:fill="FFFFFF"/>
                <w:lang w:val="ro-RO"/>
              </w:rPr>
              <w:t>u privire la aprobarea Planului de acțiuni</w:t>
            </w:r>
            <w:r>
              <w:rPr>
                <w:rFonts w:asciiTheme="majorBidi" w:hAnsiTheme="majorBidi" w:cstheme="majorBidi"/>
                <w:shd w:val="clear" w:color="auto" w:fill="FFFFFF"/>
                <w:lang w:val="ro-RO"/>
              </w:rPr>
              <w:t xml:space="preserve"> </w:t>
            </w:r>
            <w:r w:rsidRPr="0013156C">
              <w:rPr>
                <w:rFonts w:asciiTheme="majorBidi" w:hAnsiTheme="majorBidi" w:cstheme="majorBidi"/>
                <w:shd w:val="clear" w:color="auto" w:fill="FFFFFF"/>
                <w:lang w:val="ro-RO"/>
              </w:rPr>
              <w:t>privind punerea în aplicare a Regulamentului</w:t>
            </w:r>
            <w:r>
              <w:rPr>
                <w:rFonts w:asciiTheme="majorBidi" w:hAnsiTheme="majorBidi" w:cstheme="majorBidi"/>
                <w:shd w:val="clear" w:color="auto" w:fill="FFFFFF"/>
                <w:lang w:val="ro-RO"/>
              </w:rPr>
              <w:t xml:space="preserve"> </w:t>
            </w:r>
            <w:r w:rsidRPr="0013156C">
              <w:rPr>
                <w:rFonts w:asciiTheme="majorBidi" w:hAnsiTheme="majorBidi" w:cstheme="majorBidi"/>
                <w:shd w:val="clear" w:color="auto" w:fill="FFFFFF"/>
                <w:lang w:val="ro-RO"/>
              </w:rPr>
              <w:t>Sanitar Internațional (2005) în Republica Moldova</w:t>
            </w:r>
            <w:r>
              <w:rPr>
                <w:rFonts w:asciiTheme="majorBidi" w:hAnsiTheme="majorBidi" w:cstheme="majorBidi"/>
                <w:shd w:val="clear" w:color="auto" w:fill="FFFFFF"/>
                <w:lang w:val="ro-RO"/>
              </w:rPr>
              <w:t xml:space="preserve"> </w:t>
            </w:r>
            <w:r w:rsidRPr="0013156C">
              <w:rPr>
                <w:rFonts w:asciiTheme="majorBidi" w:hAnsiTheme="majorBidi" w:cstheme="majorBidi"/>
                <w:shd w:val="clear" w:color="auto" w:fill="FFFFFF"/>
                <w:lang w:val="ro-RO"/>
              </w:rPr>
              <w:t>pentru anii 2023-2027</w:t>
            </w:r>
            <w:r w:rsidR="00822AD7" w:rsidRPr="00DA0B64">
              <w:rPr>
                <w:rFonts w:asciiTheme="majorBidi" w:hAnsiTheme="majorBidi" w:cstheme="majorBidi"/>
                <w:shd w:val="clear" w:color="auto" w:fill="FFFFFF"/>
                <w:lang w:val="ro-RO"/>
              </w:rPr>
              <w:t>.</w:t>
            </w:r>
          </w:p>
          <w:p w14:paraId="7E23101E" w14:textId="0B832206" w:rsidR="00822AD7" w:rsidRPr="00DA0B64" w:rsidRDefault="00822AD7" w:rsidP="00822AD7">
            <w:pPr>
              <w:jc w:val="both"/>
              <w:rPr>
                <w:rFonts w:asciiTheme="majorBidi" w:hAnsiTheme="majorBidi" w:cstheme="majorBidi"/>
                <w:shd w:val="clear" w:color="auto" w:fill="FFFFFF"/>
                <w:lang w:val="ro-RO"/>
              </w:rPr>
            </w:pPr>
            <w:r w:rsidRPr="00DA0B64">
              <w:rPr>
                <w:rFonts w:asciiTheme="majorBidi" w:hAnsiTheme="majorBidi" w:cstheme="majorBidi"/>
                <w:shd w:val="clear" w:color="auto" w:fill="FFFFFF"/>
                <w:lang w:val="ro-RO"/>
              </w:rPr>
              <w:t xml:space="preserve">Sistemul </w:t>
            </w:r>
            <w:proofErr w:type="spellStart"/>
            <w:r w:rsidRPr="00DA0B64">
              <w:rPr>
                <w:rFonts w:asciiTheme="majorBidi" w:hAnsiTheme="majorBidi" w:cstheme="majorBidi"/>
                <w:shd w:val="clear" w:color="auto" w:fill="FFFFFF"/>
                <w:lang w:val="ro-RO"/>
              </w:rPr>
              <w:t>naţional</w:t>
            </w:r>
            <w:proofErr w:type="spellEnd"/>
            <w:r w:rsidRPr="00DA0B64">
              <w:rPr>
                <w:rFonts w:asciiTheme="majorBidi" w:hAnsiTheme="majorBidi" w:cstheme="majorBidi"/>
                <w:shd w:val="clear" w:color="auto" w:fill="FFFFFF"/>
                <w:lang w:val="ro-RO"/>
              </w:rPr>
              <w:t xml:space="preserve"> de supraveghere epidemiologică </w:t>
            </w:r>
            <w:proofErr w:type="spellStart"/>
            <w:r w:rsidRPr="00DA0B64">
              <w:rPr>
                <w:rFonts w:asciiTheme="majorBidi" w:hAnsiTheme="majorBidi" w:cstheme="majorBidi"/>
                <w:shd w:val="clear" w:color="auto" w:fill="FFFFFF"/>
                <w:lang w:val="ro-RO"/>
              </w:rPr>
              <w:t>şi</w:t>
            </w:r>
            <w:proofErr w:type="spellEnd"/>
            <w:r w:rsidRPr="00DA0B64">
              <w:rPr>
                <w:rFonts w:asciiTheme="majorBidi" w:hAnsiTheme="majorBidi" w:cstheme="majorBidi"/>
                <w:shd w:val="clear" w:color="auto" w:fill="FFFFFF"/>
                <w:lang w:val="ro-RO"/>
              </w:rPr>
              <w:t xml:space="preserve"> control al bolilor transmisibile </w:t>
            </w:r>
            <w:proofErr w:type="spellStart"/>
            <w:r w:rsidRPr="00DA0B64">
              <w:rPr>
                <w:rFonts w:asciiTheme="majorBidi" w:hAnsiTheme="majorBidi" w:cstheme="majorBidi"/>
                <w:shd w:val="clear" w:color="auto" w:fill="FFFFFF"/>
                <w:lang w:val="ro-RO"/>
              </w:rPr>
              <w:t>şi</w:t>
            </w:r>
            <w:proofErr w:type="spellEnd"/>
            <w:r w:rsidRPr="00DA0B64">
              <w:rPr>
                <w:rFonts w:asciiTheme="majorBidi" w:hAnsiTheme="majorBidi" w:cstheme="majorBidi"/>
                <w:shd w:val="clear" w:color="auto" w:fill="FFFFFF"/>
                <w:lang w:val="ro-RO"/>
              </w:rPr>
              <w:t xml:space="preserve"> evenimentelor de sănătate publică prevede </w:t>
            </w:r>
            <w:proofErr w:type="spellStart"/>
            <w:r w:rsidRPr="00DA0B64">
              <w:rPr>
                <w:rFonts w:asciiTheme="majorBidi" w:hAnsiTheme="majorBidi" w:cstheme="majorBidi"/>
                <w:shd w:val="clear" w:color="auto" w:fill="FFFFFF"/>
                <w:lang w:val="ro-RO"/>
              </w:rPr>
              <w:t>activităţi</w:t>
            </w:r>
            <w:proofErr w:type="spellEnd"/>
            <w:r w:rsidRPr="00DA0B64">
              <w:rPr>
                <w:rFonts w:asciiTheme="majorBidi" w:hAnsiTheme="majorBidi" w:cstheme="majorBidi"/>
                <w:shd w:val="clear" w:color="auto" w:fill="FFFFFF"/>
                <w:lang w:val="ro-RO"/>
              </w:rPr>
              <w:t xml:space="preserve"> integrate de colaborare </w:t>
            </w:r>
            <w:proofErr w:type="spellStart"/>
            <w:r w:rsidRPr="00DA0B64">
              <w:rPr>
                <w:rFonts w:asciiTheme="majorBidi" w:hAnsiTheme="majorBidi" w:cstheme="majorBidi"/>
                <w:shd w:val="clear" w:color="auto" w:fill="FFFFFF"/>
                <w:lang w:val="ro-RO"/>
              </w:rPr>
              <w:t>şi</w:t>
            </w:r>
            <w:proofErr w:type="spellEnd"/>
            <w:r w:rsidRPr="00DA0B64">
              <w:rPr>
                <w:rFonts w:asciiTheme="majorBidi" w:hAnsiTheme="majorBidi" w:cstheme="majorBidi"/>
                <w:shd w:val="clear" w:color="auto" w:fill="FFFFFF"/>
                <w:lang w:val="ro-RO"/>
              </w:rPr>
              <w:t xml:space="preserve"> coordonare, </w:t>
            </w:r>
            <w:proofErr w:type="spellStart"/>
            <w:r w:rsidRPr="00DA0B64">
              <w:rPr>
                <w:rFonts w:asciiTheme="majorBidi" w:hAnsiTheme="majorBidi" w:cstheme="majorBidi"/>
                <w:shd w:val="clear" w:color="auto" w:fill="FFFFFF"/>
                <w:lang w:val="ro-RO"/>
              </w:rPr>
              <w:t>direcţionate</w:t>
            </w:r>
            <w:proofErr w:type="spellEnd"/>
            <w:r w:rsidRPr="00DA0B64">
              <w:rPr>
                <w:rFonts w:asciiTheme="majorBidi" w:hAnsiTheme="majorBidi" w:cstheme="majorBidi"/>
                <w:shd w:val="clear" w:color="auto" w:fill="FFFFFF"/>
                <w:lang w:val="ro-RO"/>
              </w:rPr>
              <w:t xml:space="preserve"> spre </w:t>
            </w:r>
            <w:proofErr w:type="spellStart"/>
            <w:r w:rsidRPr="00DA0B64">
              <w:rPr>
                <w:rFonts w:asciiTheme="majorBidi" w:hAnsiTheme="majorBidi" w:cstheme="majorBidi"/>
                <w:shd w:val="clear" w:color="auto" w:fill="FFFFFF"/>
                <w:lang w:val="ro-RO"/>
              </w:rPr>
              <w:t>îmbunătăţirea</w:t>
            </w:r>
            <w:proofErr w:type="spellEnd"/>
            <w:r w:rsidRPr="00DA0B64">
              <w:rPr>
                <w:rFonts w:asciiTheme="majorBidi" w:hAnsiTheme="majorBidi" w:cstheme="majorBidi"/>
                <w:shd w:val="clear" w:color="auto" w:fill="FFFFFF"/>
                <w:lang w:val="ro-RO"/>
              </w:rPr>
              <w:t xml:space="preserve"> prevenirii </w:t>
            </w:r>
            <w:proofErr w:type="spellStart"/>
            <w:r w:rsidRPr="00DA0B64">
              <w:rPr>
                <w:rFonts w:asciiTheme="majorBidi" w:hAnsiTheme="majorBidi" w:cstheme="majorBidi"/>
                <w:shd w:val="clear" w:color="auto" w:fill="FFFFFF"/>
                <w:lang w:val="ro-RO"/>
              </w:rPr>
              <w:t>şi</w:t>
            </w:r>
            <w:proofErr w:type="spellEnd"/>
            <w:r w:rsidRPr="00DA0B64">
              <w:rPr>
                <w:rFonts w:asciiTheme="majorBidi" w:hAnsiTheme="majorBidi" w:cstheme="majorBidi"/>
                <w:shd w:val="clear" w:color="auto" w:fill="FFFFFF"/>
                <w:lang w:val="ro-RO"/>
              </w:rPr>
              <w:t xml:space="preserve"> controlului bolilor transmisibile</w:t>
            </w:r>
          </w:p>
          <w:p w14:paraId="7ADFA3A2" w14:textId="52ABF435" w:rsidR="00EC467C" w:rsidRPr="00DA0B64" w:rsidRDefault="00E42E7E" w:rsidP="00EC467C">
            <w:pPr>
              <w:jc w:val="both"/>
              <w:rPr>
                <w:rFonts w:asciiTheme="majorBidi" w:hAnsiTheme="majorBidi" w:cstheme="majorBidi"/>
                <w:shd w:val="clear" w:color="auto" w:fill="FFFFFF"/>
                <w:lang w:val="ro-RO"/>
              </w:rPr>
            </w:pPr>
            <w:r w:rsidRPr="00DA0B64">
              <w:rPr>
                <w:rFonts w:asciiTheme="majorBidi" w:hAnsiTheme="majorBidi" w:cstheme="majorBidi"/>
                <w:shd w:val="clear" w:color="auto" w:fill="FFFFFF"/>
                <w:lang w:val="ro-RO"/>
              </w:rPr>
              <w:t>Amenințările transfrontaliere pot crește riscul de răspândire a maladiilor transmisibile și perturbare a sistemului de supraveghere la nivel național, care la rândul său poate duce la dereglarea activității întregului sistem de sănătate. În acest context, prezentul proiect vine cu actualizarea mecanismului de înregistrare și notificare a amenințărilor transfrontaliere care ar permite o coordonare eficientă, clară și coerentă care va asigura calitatea și aplicabilitatea acestuia la nivel național în raport cu eventualele amenințăr</w:t>
            </w:r>
            <w:r w:rsidR="006F4FB4" w:rsidRPr="00DA0B64">
              <w:rPr>
                <w:rFonts w:asciiTheme="majorBidi" w:hAnsiTheme="majorBidi" w:cstheme="majorBidi"/>
                <w:shd w:val="clear" w:color="auto" w:fill="FFFFFF"/>
                <w:lang w:val="ro-RO"/>
              </w:rPr>
              <w:t>i la nivel interregional transfrontalier.</w:t>
            </w:r>
            <w:r w:rsidR="00EC467C" w:rsidRPr="00DA0B64">
              <w:rPr>
                <w:rFonts w:asciiTheme="majorBidi" w:hAnsiTheme="majorBidi" w:cstheme="majorBidi"/>
                <w:shd w:val="clear" w:color="auto" w:fill="FFFFFF"/>
                <w:lang w:val="ro-RO"/>
              </w:rPr>
              <w:t xml:space="preserve"> Sistemul de supraveghere epidemiologică este destinat pentru controlul bolilor transmisibile bazat pe indicatori, și </w:t>
            </w:r>
            <w:proofErr w:type="spellStart"/>
            <w:r w:rsidR="00EC467C" w:rsidRPr="00DA0B64">
              <w:rPr>
                <w:rFonts w:asciiTheme="majorBidi" w:hAnsiTheme="majorBidi" w:cstheme="majorBidi"/>
                <w:shd w:val="clear" w:color="auto" w:fill="FFFFFF"/>
                <w:lang w:val="ro-RO"/>
              </w:rPr>
              <w:t>evidenţa</w:t>
            </w:r>
            <w:proofErr w:type="spellEnd"/>
            <w:r w:rsidR="00EC467C" w:rsidRPr="00DA0B64">
              <w:rPr>
                <w:rFonts w:asciiTheme="majorBidi" w:hAnsiTheme="majorBidi" w:cstheme="majorBidi"/>
                <w:shd w:val="clear" w:color="auto" w:fill="FFFFFF"/>
                <w:lang w:val="ro-RO"/>
              </w:rPr>
              <w:t xml:space="preserve">, analiza </w:t>
            </w:r>
            <w:proofErr w:type="spellStart"/>
            <w:r w:rsidR="00EC467C" w:rsidRPr="00DA0B64">
              <w:rPr>
                <w:rFonts w:asciiTheme="majorBidi" w:hAnsiTheme="majorBidi" w:cstheme="majorBidi"/>
                <w:shd w:val="clear" w:color="auto" w:fill="FFFFFF"/>
                <w:lang w:val="ro-RO"/>
              </w:rPr>
              <w:t>şi</w:t>
            </w:r>
            <w:proofErr w:type="spellEnd"/>
            <w:r w:rsidR="00EC467C" w:rsidRPr="00DA0B64">
              <w:rPr>
                <w:rFonts w:asciiTheme="majorBidi" w:hAnsiTheme="majorBidi" w:cstheme="majorBidi"/>
                <w:shd w:val="clear" w:color="auto" w:fill="FFFFFF"/>
                <w:lang w:val="ro-RO"/>
              </w:rPr>
              <w:t xml:space="preserve"> </w:t>
            </w:r>
            <w:proofErr w:type="spellStart"/>
            <w:r w:rsidR="00EC467C" w:rsidRPr="00DA0B64">
              <w:rPr>
                <w:rFonts w:asciiTheme="majorBidi" w:hAnsiTheme="majorBidi" w:cstheme="majorBidi"/>
                <w:shd w:val="clear" w:color="auto" w:fill="FFFFFF"/>
                <w:lang w:val="ro-RO"/>
              </w:rPr>
              <w:t>reacţionarea</w:t>
            </w:r>
            <w:proofErr w:type="spellEnd"/>
            <w:r w:rsidR="00EC467C" w:rsidRPr="00DA0B64">
              <w:rPr>
                <w:rFonts w:asciiTheme="majorBidi" w:hAnsiTheme="majorBidi" w:cstheme="majorBidi"/>
                <w:shd w:val="clear" w:color="auto" w:fill="FFFFFF"/>
                <w:lang w:val="ro-RO"/>
              </w:rPr>
              <w:t xml:space="preserve"> la evenimente cu impact negativ asupra </w:t>
            </w:r>
            <w:proofErr w:type="spellStart"/>
            <w:r w:rsidR="00EC467C" w:rsidRPr="00DA0B64">
              <w:rPr>
                <w:rFonts w:asciiTheme="majorBidi" w:hAnsiTheme="majorBidi" w:cstheme="majorBidi"/>
                <w:shd w:val="clear" w:color="auto" w:fill="FFFFFF"/>
                <w:lang w:val="ro-RO"/>
              </w:rPr>
              <w:t>sănătăţii</w:t>
            </w:r>
            <w:proofErr w:type="spellEnd"/>
            <w:r w:rsidR="00EC467C" w:rsidRPr="00DA0B64">
              <w:rPr>
                <w:rFonts w:asciiTheme="majorBidi" w:hAnsiTheme="majorBidi" w:cstheme="majorBidi"/>
                <w:shd w:val="clear" w:color="auto" w:fill="FFFFFF"/>
                <w:lang w:val="ro-RO"/>
              </w:rPr>
              <w:t xml:space="preserve"> publice, supravegherea evenimentelor de sănătate publică, inclusiv prin implementarea sistemului de alertă precoce </w:t>
            </w:r>
            <w:proofErr w:type="spellStart"/>
            <w:r w:rsidR="00EC467C" w:rsidRPr="00DA0B64">
              <w:rPr>
                <w:rFonts w:asciiTheme="majorBidi" w:hAnsiTheme="majorBidi" w:cstheme="majorBidi"/>
                <w:shd w:val="clear" w:color="auto" w:fill="FFFFFF"/>
                <w:lang w:val="ro-RO"/>
              </w:rPr>
              <w:t>şi</w:t>
            </w:r>
            <w:proofErr w:type="spellEnd"/>
            <w:r w:rsidR="00EC467C" w:rsidRPr="00DA0B64">
              <w:rPr>
                <w:rFonts w:asciiTheme="majorBidi" w:hAnsiTheme="majorBidi" w:cstheme="majorBidi"/>
                <w:shd w:val="clear" w:color="auto" w:fill="FFFFFF"/>
                <w:lang w:val="ro-RO"/>
              </w:rPr>
              <w:t xml:space="preserve"> răspuns rapid.</w:t>
            </w:r>
          </w:p>
          <w:p w14:paraId="7FEFE305" w14:textId="3A31439E" w:rsidR="00B43F11" w:rsidRPr="00DA0B64" w:rsidRDefault="00EC467C" w:rsidP="00B43F11">
            <w:pPr>
              <w:jc w:val="both"/>
              <w:rPr>
                <w:rFonts w:asciiTheme="majorBidi" w:hAnsiTheme="majorBidi" w:cstheme="majorBidi"/>
                <w:shd w:val="clear" w:color="auto" w:fill="FFFFFF"/>
                <w:lang w:val="ro-RO"/>
              </w:rPr>
            </w:pPr>
            <w:r w:rsidRPr="00DA0B64">
              <w:rPr>
                <w:rFonts w:asciiTheme="majorBidi" w:hAnsiTheme="majorBidi" w:cstheme="majorBidi"/>
                <w:shd w:val="clear" w:color="auto" w:fill="FFFFFF"/>
                <w:lang w:val="ro-RO"/>
              </w:rPr>
              <w:t xml:space="preserve">Regulamentul (UE) 2022/2371 al Parlamentului European și al consiliului din 23 noiembrie 2022 privind amenințările transfrontaliere grave pentru sănătate </w:t>
            </w:r>
            <w:r w:rsidR="00047565" w:rsidRPr="00DA0B64">
              <w:rPr>
                <w:rFonts w:asciiTheme="majorBidi" w:hAnsiTheme="majorBidi" w:cstheme="majorBidi"/>
                <w:shd w:val="clear" w:color="auto" w:fill="FFFFFF"/>
                <w:lang w:val="ro-RO"/>
              </w:rPr>
              <w:t xml:space="preserve">cât și </w:t>
            </w:r>
            <w:r w:rsidRPr="00DA0B64">
              <w:rPr>
                <w:rFonts w:asciiTheme="majorBidi" w:hAnsiTheme="majorBidi" w:cstheme="majorBidi"/>
                <w:shd w:val="clear" w:color="auto" w:fill="FFFFFF"/>
                <w:lang w:val="ro-RO"/>
              </w:rPr>
              <w:t xml:space="preserve">în </w:t>
            </w:r>
            <w:r w:rsidR="006F4FB4" w:rsidRPr="00DA0B64">
              <w:rPr>
                <w:rFonts w:asciiTheme="majorBidi" w:hAnsiTheme="majorBidi" w:cstheme="majorBidi"/>
                <w:shd w:val="clear" w:color="auto" w:fill="FFFFFF"/>
                <w:lang w:val="ro-RO"/>
              </w:rPr>
              <w:t>conformitate cu cadrul OMS de pregătire și răspuns în situații de urgență prevăzut în RSI,</w:t>
            </w:r>
            <w:r w:rsidRPr="00DA0B64">
              <w:rPr>
                <w:rFonts w:asciiTheme="majorBidi" w:hAnsiTheme="majorBidi" w:cstheme="majorBidi"/>
                <w:shd w:val="clear" w:color="auto" w:fill="FFFFFF"/>
                <w:lang w:val="ro-RO"/>
              </w:rPr>
              <w:t xml:space="preserve"> </w:t>
            </w:r>
            <w:r w:rsidR="00047565" w:rsidRPr="00DA0B64">
              <w:rPr>
                <w:rFonts w:asciiTheme="majorBidi" w:hAnsiTheme="majorBidi" w:cstheme="majorBidi"/>
                <w:shd w:val="clear" w:color="auto" w:fill="FFFFFF"/>
                <w:lang w:val="ro-RO"/>
              </w:rPr>
              <w:t>presupune</w:t>
            </w:r>
            <w:r w:rsidR="00B43F11" w:rsidRPr="00DA0B64">
              <w:rPr>
                <w:rFonts w:asciiTheme="majorBidi" w:hAnsiTheme="majorBidi" w:cstheme="majorBidi"/>
                <w:shd w:val="clear" w:color="auto" w:fill="FFFFFF"/>
                <w:lang w:val="ro-RO"/>
              </w:rPr>
              <w:t xml:space="preserve"> pentru a aborda amenințările transfrontaliere grave pentru sănătate și consecințele acestora, stabilește norme privind:</w:t>
            </w:r>
          </w:p>
          <w:p w14:paraId="0A253377" w14:textId="77CF55DB" w:rsidR="00034FA7" w:rsidRPr="00DA0B64" w:rsidRDefault="00034FA7" w:rsidP="00B43F11">
            <w:pPr>
              <w:jc w:val="both"/>
              <w:rPr>
                <w:rFonts w:asciiTheme="majorBidi" w:hAnsiTheme="majorBidi" w:cstheme="majorBidi"/>
                <w:shd w:val="clear" w:color="auto" w:fill="FFFFFF"/>
                <w:lang w:val="ro-RO"/>
              </w:rPr>
            </w:pPr>
            <w:r w:rsidRPr="00DA0B64">
              <w:rPr>
                <w:rFonts w:asciiTheme="majorBidi" w:hAnsiTheme="majorBidi" w:cstheme="majorBidi"/>
                <w:shd w:val="clear" w:color="auto" w:fill="FFFFFF"/>
                <w:lang w:val="ro-RO"/>
              </w:rPr>
              <w:t xml:space="preserve">Instituirea unui comitet consultativ în cazul producerii și recunoașterii unei urgențe de sănătate publică la nivelul UE, </w:t>
            </w:r>
            <w:r w:rsidR="00B43F11" w:rsidRPr="00DA0B64">
              <w:rPr>
                <w:rFonts w:asciiTheme="majorBidi" w:hAnsiTheme="majorBidi" w:cstheme="majorBidi"/>
                <w:shd w:val="clear" w:color="auto" w:fill="FFFFFF"/>
                <w:lang w:val="ro-RO"/>
              </w:rPr>
              <w:t xml:space="preserve">planificarea prevenirii, pregătirii și răspunsului, </w:t>
            </w:r>
            <w:r w:rsidRPr="00DA0B64">
              <w:rPr>
                <w:rFonts w:asciiTheme="majorBidi" w:hAnsiTheme="majorBidi" w:cstheme="majorBidi"/>
                <w:shd w:val="clear" w:color="auto" w:fill="FFFFFF"/>
                <w:lang w:val="ro-RO"/>
              </w:rPr>
              <w:t xml:space="preserve">inclusiv, </w:t>
            </w:r>
            <w:r w:rsidR="00B43F11" w:rsidRPr="00DA0B64">
              <w:rPr>
                <w:rFonts w:asciiTheme="majorBidi" w:hAnsiTheme="majorBidi" w:cstheme="majorBidi"/>
                <w:shd w:val="clear" w:color="auto" w:fill="FFFFFF"/>
                <w:lang w:val="ro-RO"/>
              </w:rPr>
              <w:t>cercetarea și inovarea pentru situații de urgență;</w:t>
            </w:r>
            <w:r w:rsidRPr="00DA0B64">
              <w:rPr>
                <w:rFonts w:asciiTheme="majorBidi" w:hAnsiTheme="majorBidi" w:cstheme="majorBidi"/>
                <w:shd w:val="clear" w:color="auto" w:fill="FFFFFF"/>
                <w:lang w:val="ro-RO"/>
              </w:rPr>
              <w:t xml:space="preserve"> </w:t>
            </w:r>
            <w:r w:rsidR="00B43F11" w:rsidRPr="00DA0B64">
              <w:rPr>
                <w:rFonts w:asciiTheme="majorBidi" w:hAnsiTheme="majorBidi" w:cstheme="majorBidi"/>
                <w:shd w:val="clear" w:color="auto" w:fill="FFFFFF"/>
                <w:lang w:val="ro-RO"/>
              </w:rPr>
              <w:t>supravegherea epidemiologică și monitorizarea;</w:t>
            </w:r>
            <w:r w:rsidRPr="00DA0B64">
              <w:rPr>
                <w:rFonts w:asciiTheme="majorBidi" w:hAnsiTheme="majorBidi" w:cstheme="majorBidi"/>
                <w:shd w:val="clear" w:color="auto" w:fill="FFFFFF"/>
                <w:lang w:val="ro-RO"/>
              </w:rPr>
              <w:t xml:space="preserve"> </w:t>
            </w:r>
            <w:r w:rsidR="00E12EA1" w:rsidRPr="00DA0B64">
              <w:rPr>
                <w:rFonts w:asciiTheme="majorBidi" w:hAnsiTheme="majorBidi" w:cstheme="majorBidi"/>
                <w:shd w:val="clear" w:color="auto" w:fill="FFFFFF"/>
                <w:lang w:val="ro-RO"/>
              </w:rPr>
              <w:t>achizițiile publice comune de contramăsuri medicale;</w:t>
            </w:r>
            <w:r w:rsidRPr="00DA0B64">
              <w:rPr>
                <w:rFonts w:asciiTheme="majorBidi" w:hAnsiTheme="majorBidi" w:cstheme="majorBidi"/>
                <w:shd w:val="clear" w:color="auto" w:fill="FFFFFF"/>
                <w:lang w:val="ro-RO"/>
              </w:rPr>
              <w:t xml:space="preserve"> </w:t>
            </w:r>
            <w:r w:rsidR="00E12EA1" w:rsidRPr="00DA0B64">
              <w:rPr>
                <w:rFonts w:asciiTheme="majorBidi" w:hAnsiTheme="majorBidi" w:cstheme="majorBidi"/>
                <w:shd w:val="clear" w:color="auto" w:fill="FFFFFF"/>
                <w:lang w:val="ro-RO"/>
              </w:rPr>
              <w:t>rețeaua de supraveghere epidemiologică;</w:t>
            </w:r>
            <w:r w:rsidRPr="00DA0B64">
              <w:rPr>
                <w:rFonts w:asciiTheme="majorBidi" w:hAnsiTheme="majorBidi" w:cstheme="majorBidi"/>
                <w:shd w:val="clear" w:color="auto" w:fill="FFFFFF"/>
                <w:lang w:val="ro-RO"/>
              </w:rPr>
              <w:t xml:space="preserve"> sistemul de alertă precoce și răspuns (SAPR); evaluarea riscurilor; coordonarea răspunsului; și recunoașterea unei urgențe de sănătate publică la nivelul Uniunii.</w:t>
            </w:r>
          </w:p>
          <w:p w14:paraId="29540EB8" w14:textId="228618E2" w:rsidR="00F04464" w:rsidRPr="00DA0B64" w:rsidRDefault="00034FA7" w:rsidP="00F04464">
            <w:pPr>
              <w:jc w:val="both"/>
              <w:rPr>
                <w:rFonts w:asciiTheme="majorBidi" w:hAnsiTheme="majorBidi" w:cstheme="majorBidi"/>
                <w:shd w:val="clear" w:color="auto" w:fill="FFFFFF"/>
                <w:lang w:val="ro-RO"/>
              </w:rPr>
            </w:pPr>
            <w:r w:rsidRPr="00DA0B64">
              <w:rPr>
                <w:rFonts w:asciiTheme="majorBidi" w:hAnsiTheme="majorBidi" w:cstheme="majorBidi"/>
                <w:shd w:val="clear" w:color="auto" w:fill="FFFFFF"/>
                <w:lang w:val="ro-RO"/>
              </w:rPr>
              <w:t xml:space="preserve">Întrucât </w:t>
            </w:r>
            <w:r w:rsidR="00047565" w:rsidRPr="00DA0B64">
              <w:rPr>
                <w:rFonts w:asciiTheme="majorBidi" w:hAnsiTheme="majorBidi" w:cstheme="majorBidi"/>
                <w:shd w:val="clear" w:color="auto" w:fill="FFFFFF"/>
                <w:lang w:val="ro-RO"/>
              </w:rPr>
              <w:t>Sistemul de supraveghere epidemiologică</w:t>
            </w:r>
            <w:r w:rsidRPr="00DA0B64">
              <w:rPr>
                <w:rFonts w:asciiTheme="majorBidi" w:hAnsiTheme="majorBidi" w:cstheme="majorBidi"/>
                <w:shd w:val="clear" w:color="auto" w:fill="FFFFFF"/>
                <w:lang w:val="ro-RO"/>
              </w:rPr>
              <w:t xml:space="preserve">, </w:t>
            </w:r>
            <w:r w:rsidR="00047565" w:rsidRPr="00DA0B64">
              <w:rPr>
                <w:rFonts w:asciiTheme="majorBidi" w:hAnsiTheme="majorBidi" w:cstheme="majorBidi"/>
                <w:shd w:val="clear" w:color="auto" w:fill="FFFFFF"/>
                <w:lang w:val="ro-RO"/>
              </w:rPr>
              <w:t xml:space="preserve">este destinat pentru controlul bolilor transmisibile bazat pe indicatori, și </w:t>
            </w:r>
            <w:proofErr w:type="spellStart"/>
            <w:r w:rsidR="00047565" w:rsidRPr="00DA0B64">
              <w:rPr>
                <w:rFonts w:asciiTheme="majorBidi" w:hAnsiTheme="majorBidi" w:cstheme="majorBidi"/>
                <w:shd w:val="clear" w:color="auto" w:fill="FFFFFF"/>
                <w:lang w:val="ro-RO"/>
              </w:rPr>
              <w:t>evidenţa</w:t>
            </w:r>
            <w:proofErr w:type="spellEnd"/>
            <w:r w:rsidR="00047565" w:rsidRPr="00DA0B64">
              <w:rPr>
                <w:rFonts w:asciiTheme="majorBidi" w:hAnsiTheme="majorBidi" w:cstheme="majorBidi"/>
                <w:shd w:val="clear" w:color="auto" w:fill="FFFFFF"/>
                <w:lang w:val="ro-RO"/>
              </w:rPr>
              <w:t xml:space="preserve">, analiza </w:t>
            </w:r>
            <w:proofErr w:type="spellStart"/>
            <w:r w:rsidR="00047565" w:rsidRPr="00DA0B64">
              <w:rPr>
                <w:rFonts w:asciiTheme="majorBidi" w:hAnsiTheme="majorBidi" w:cstheme="majorBidi"/>
                <w:shd w:val="clear" w:color="auto" w:fill="FFFFFF"/>
                <w:lang w:val="ro-RO"/>
              </w:rPr>
              <w:t>şi</w:t>
            </w:r>
            <w:proofErr w:type="spellEnd"/>
            <w:r w:rsidR="00047565" w:rsidRPr="00DA0B64">
              <w:rPr>
                <w:rFonts w:asciiTheme="majorBidi" w:hAnsiTheme="majorBidi" w:cstheme="majorBidi"/>
                <w:shd w:val="clear" w:color="auto" w:fill="FFFFFF"/>
                <w:lang w:val="ro-RO"/>
              </w:rPr>
              <w:t xml:space="preserve"> </w:t>
            </w:r>
            <w:proofErr w:type="spellStart"/>
            <w:r w:rsidR="00047565" w:rsidRPr="00DA0B64">
              <w:rPr>
                <w:rFonts w:asciiTheme="majorBidi" w:hAnsiTheme="majorBidi" w:cstheme="majorBidi"/>
                <w:shd w:val="clear" w:color="auto" w:fill="FFFFFF"/>
                <w:lang w:val="ro-RO"/>
              </w:rPr>
              <w:t>reacţionarea</w:t>
            </w:r>
            <w:proofErr w:type="spellEnd"/>
            <w:r w:rsidR="00047565" w:rsidRPr="00DA0B64">
              <w:rPr>
                <w:rFonts w:asciiTheme="majorBidi" w:hAnsiTheme="majorBidi" w:cstheme="majorBidi"/>
                <w:shd w:val="clear" w:color="auto" w:fill="FFFFFF"/>
                <w:lang w:val="ro-RO"/>
              </w:rPr>
              <w:t xml:space="preserve"> la evenimente cu impact negativ asupra </w:t>
            </w:r>
            <w:proofErr w:type="spellStart"/>
            <w:r w:rsidR="00047565" w:rsidRPr="00DA0B64">
              <w:rPr>
                <w:rFonts w:asciiTheme="majorBidi" w:hAnsiTheme="majorBidi" w:cstheme="majorBidi"/>
                <w:shd w:val="clear" w:color="auto" w:fill="FFFFFF"/>
                <w:lang w:val="ro-RO"/>
              </w:rPr>
              <w:t>sănătăţii</w:t>
            </w:r>
            <w:proofErr w:type="spellEnd"/>
            <w:r w:rsidR="00047565" w:rsidRPr="00DA0B64">
              <w:rPr>
                <w:rFonts w:asciiTheme="majorBidi" w:hAnsiTheme="majorBidi" w:cstheme="majorBidi"/>
                <w:shd w:val="clear" w:color="auto" w:fill="FFFFFF"/>
                <w:lang w:val="ro-RO"/>
              </w:rPr>
              <w:t xml:space="preserve"> publice, supravegherea evenimentelor de sănătate publică, inclusiv prin implementarea sistemului de alertă precoce </w:t>
            </w:r>
            <w:proofErr w:type="spellStart"/>
            <w:r w:rsidR="00047565" w:rsidRPr="00DA0B64">
              <w:rPr>
                <w:rFonts w:asciiTheme="majorBidi" w:hAnsiTheme="majorBidi" w:cstheme="majorBidi"/>
                <w:shd w:val="clear" w:color="auto" w:fill="FFFFFF"/>
                <w:lang w:val="ro-RO"/>
              </w:rPr>
              <w:t>şi</w:t>
            </w:r>
            <w:proofErr w:type="spellEnd"/>
            <w:r w:rsidR="00047565" w:rsidRPr="00DA0B64">
              <w:rPr>
                <w:rFonts w:asciiTheme="majorBidi" w:hAnsiTheme="majorBidi" w:cstheme="majorBidi"/>
                <w:shd w:val="clear" w:color="auto" w:fill="FFFFFF"/>
                <w:lang w:val="ro-RO"/>
              </w:rPr>
              <w:t xml:space="preserve"> răspuns rapid</w:t>
            </w:r>
            <w:r w:rsidRPr="00DA0B64">
              <w:rPr>
                <w:rFonts w:asciiTheme="majorBidi" w:hAnsiTheme="majorBidi" w:cstheme="majorBidi"/>
                <w:shd w:val="clear" w:color="auto" w:fill="FFFFFF"/>
                <w:lang w:val="ro-RO"/>
              </w:rPr>
              <w:t xml:space="preserve">, </w:t>
            </w:r>
            <w:r w:rsidR="0013156C">
              <w:rPr>
                <w:rFonts w:asciiTheme="majorBidi" w:hAnsiTheme="majorBidi" w:cstheme="majorBidi"/>
                <w:shd w:val="clear" w:color="auto" w:fill="FFFFFF"/>
                <w:lang w:val="ro-RO"/>
              </w:rPr>
              <w:t xml:space="preserve">astfel aceste </w:t>
            </w:r>
            <w:proofErr w:type="spellStart"/>
            <w:r w:rsidR="0013156C">
              <w:rPr>
                <w:rFonts w:asciiTheme="majorBidi" w:hAnsiTheme="majorBidi" w:cstheme="majorBidi"/>
                <w:shd w:val="clear" w:color="auto" w:fill="FFFFFF"/>
                <w:lang w:val="ro-RO"/>
              </w:rPr>
              <w:t>premize</w:t>
            </w:r>
            <w:proofErr w:type="spellEnd"/>
            <w:r w:rsidR="0013156C">
              <w:rPr>
                <w:rFonts w:asciiTheme="majorBidi" w:hAnsiTheme="majorBidi" w:cstheme="majorBidi"/>
                <w:shd w:val="clear" w:color="auto" w:fill="FFFFFF"/>
                <w:lang w:val="ro-RO"/>
              </w:rPr>
              <w:t xml:space="preserve"> au dus la necesitatea ca </w:t>
            </w:r>
            <w:r w:rsidRPr="00DA0B64">
              <w:rPr>
                <w:rFonts w:asciiTheme="majorBidi" w:hAnsiTheme="majorBidi" w:cstheme="majorBidi"/>
                <w:shd w:val="clear" w:color="auto" w:fill="FFFFFF"/>
                <w:lang w:val="ro-RO"/>
              </w:rPr>
              <w:t xml:space="preserve">Hotărârea Guvernului nr. 951 din 25.11.2013 </w:t>
            </w:r>
            <w:r w:rsidR="0013156C">
              <w:rPr>
                <w:rFonts w:asciiTheme="majorBidi" w:hAnsiTheme="majorBidi" w:cstheme="majorBidi"/>
                <w:shd w:val="clear" w:color="auto" w:fill="FFFFFF"/>
                <w:lang w:val="ro-RO"/>
              </w:rPr>
              <w:t xml:space="preserve">să fie </w:t>
            </w:r>
            <w:r w:rsidRPr="00DA0B64">
              <w:rPr>
                <w:rFonts w:asciiTheme="majorBidi" w:hAnsiTheme="majorBidi" w:cstheme="majorBidi"/>
                <w:shd w:val="clear" w:color="auto" w:fill="FFFFFF"/>
                <w:lang w:val="ro-RO"/>
              </w:rPr>
              <w:t xml:space="preserve">racordată și modificată astfel ca să </w:t>
            </w:r>
            <w:r w:rsidR="00F04464" w:rsidRPr="00DA0B64">
              <w:rPr>
                <w:rFonts w:asciiTheme="majorBidi" w:hAnsiTheme="majorBidi" w:cstheme="majorBidi"/>
                <w:shd w:val="clear" w:color="auto" w:fill="FFFFFF"/>
                <w:lang w:val="ro-RO"/>
              </w:rPr>
              <w:t xml:space="preserve">fie în </w:t>
            </w:r>
            <w:proofErr w:type="spellStart"/>
            <w:r w:rsidR="00F04464" w:rsidRPr="00DA0B64">
              <w:rPr>
                <w:rFonts w:asciiTheme="majorBidi" w:hAnsiTheme="majorBidi" w:cstheme="majorBidi"/>
                <w:shd w:val="clear" w:color="auto" w:fill="FFFFFF"/>
                <w:lang w:val="ro-RO"/>
              </w:rPr>
              <w:t>corcondanță</w:t>
            </w:r>
            <w:proofErr w:type="spellEnd"/>
            <w:r w:rsidR="00F04464" w:rsidRPr="00DA0B64">
              <w:rPr>
                <w:rFonts w:asciiTheme="majorBidi" w:hAnsiTheme="majorBidi" w:cstheme="majorBidi"/>
                <w:shd w:val="clear" w:color="auto" w:fill="FFFFFF"/>
                <w:lang w:val="ro-RO"/>
              </w:rPr>
              <w:t xml:space="preserve"> cu prevederile legislației UE. </w:t>
            </w:r>
          </w:p>
          <w:p w14:paraId="646869B8" w14:textId="5FA0B6E9" w:rsidR="00371DD3" w:rsidRPr="00DA0B64" w:rsidRDefault="00E42E7E" w:rsidP="00371DD3">
            <w:pPr>
              <w:jc w:val="both"/>
              <w:rPr>
                <w:rFonts w:asciiTheme="majorBidi" w:hAnsiTheme="majorBidi" w:cstheme="majorBidi"/>
                <w:color w:val="000000" w:themeColor="text1"/>
                <w:shd w:val="clear" w:color="auto" w:fill="FFFFFF"/>
                <w:lang w:val="ro-RO"/>
              </w:rPr>
            </w:pPr>
            <w:r w:rsidRPr="00DA0B64">
              <w:rPr>
                <w:rFonts w:asciiTheme="majorBidi" w:hAnsiTheme="majorBidi" w:cstheme="majorBidi"/>
                <w:color w:val="000000" w:themeColor="text1"/>
                <w:shd w:val="clear" w:color="auto" w:fill="FFFFFF"/>
                <w:lang w:val="ro-RO"/>
              </w:rPr>
              <w:t>Acest</w:t>
            </w:r>
            <w:r w:rsidR="00F04464" w:rsidRPr="00DA0B64">
              <w:rPr>
                <w:rFonts w:asciiTheme="majorBidi" w:hAnsiTheme="majorBidi" w:cstheme="majorBidi"/>
                <w:color w:val="000000" w:themeColor="text1"/>
                <w:shd w:val="clear" w:color="auto" w:fill="FFFFFF"/>
                <w:lang w:val="ro-RO"/>
              </w:rPr>
              <w:t>e ajustări</w:t>
            </w:r>
            <w:r w:rsidRPr="00DA0B64">
              <w:rPr>
                <w:rFonts w:asciiTheme="majorBidi" w:hAnsiTheme="majorBidi" w:cstheme="majorBidi"/>
                <w:color w:val="000000" w:themeColor="text1"/>
                <w:shd w:val="clear" w:color="auto" w:fill="FFFFFF"/>
                <w:lang w:val="ro-RO"/>
              </w:rPr>
              <w:t xml:space="preserve"> garantează, că autoritățile competente din domeniul sănătății publice sunt informate în mod corespunzător și la timp, inclusiv coordonează măsurile de sănătate publică de răspuns la </w:t>
            </w:r>
            <w:r w:rsidRPr="00DA0B64">
              <w:rPr>
                <w:rFonts w:asciiTheme="majorBidi" w:hAnsiTheme="majorBidi" w:cstheme="majorBidi"/>
                <w:color w:val="000000" w:themeColor="text1"/>
                <w:shd w:val="clear" w:color="auto" w:fill="FFFFFF"/>
                <w:lang w:val="ro-RO"/>
              </w:rPr>
              <w:lastRenderedPageBreak/>
              <w:t xml:space="preserve">nivelul </w:t>
            </w:r>
            <w:r w:rsidR="00F04464" w:rsidRPr="00DA0B64">
              <w:rPr>
                <w:rFonts w:asciiTheme="majorBidi" w:hAnsiTheme="majorBidi" w:cstheme="majorBidi"/>
                <w:color w:val="000000" w:themeColor="text1"/>
                <w:shd w:val="clear" w:color="auto" w:fill="FFFFFF"/>
                <w:lang w:val="ro-RO"/>
              </w:rPr>
              <w:t xml:space="preserve">național și în spațiul UE, </w:t>
            </w:r>
            <w:r w:rsidRPr="00DA0B64">
              <w:rPr>
                <w:rFonts w:asciiTheme="majorBidi" w:hAnsiTheme="majorBidi" w:cstheme="majorBidi"/>
                <w:color w:val="000000" w:themeColor="text1"/>
                <w:shd w:val="clear" w:color="auto" w:fill="FFFFFF"/>
                <w:lang w:val="ro-RO"/>
              </w:rPr>
              <w:t>respectiv autoritățile competente sunt obligate să notifice pericolele ce se includ în criteriile de alertă de sănătate publică, menționate în prezentul proiect al HG</w:t>
            </w:r>
            <w:r w:rsidR="00F04464" w:rsidRPr="00DA0B64">
              <w:rPr>
                <w:rFonts w:asciiTheme="majorBidi" w:hAnsiTheme="majorBidi" w:cstheme="majorBidi"/>
                <w:color w:val="000000" w:themeColor="text1"/>
                <w:shd w:val="clear" w:color="auto" w:fill="FFFFFF"/>
                <w:lang w:val="ro-RO"/>
              </w:rPr>
              <w:t xml:space="preserve"> cât și ajusteze normele naționale pentru a-și spori capacitățile în a putea aborda amenințările transfrontaliere grave pentru sănătate și consecințele acestora. </w:t>
            </w:r>
          </w:p>
          <w:p w14:paraId="097A882F" w14:textId="0EFD5498" w:rsidR="00371DD3" w:rsidRPr="00DA0B64" w:rsidRDefault="00E42E7E" w:rsidP="00371DD3">
            <w:pPr>
              <w:pStyle w:val="ListParagraph"/>
              <w:ind w:left="0" w:firstLine="540"/>
              <w:jc w:val="both"/>
              <w:rPr>
                <w:rFonts w:asciiTheme="majorBidi" w:hAnsiTheme="majorBidi" w:cstheme="majorBidi"/>
                <w:color w:val="000000" w:themeColor="text1"/>
                <w:sz w:val="24"/>
                <w:szCs w:val="24"/>
                <w:shd w:val="clear" w:color="auto" w:fill="FFFFFF"/>
                <w:lang w:val="ro-RO"/>
              </w:rPr>
            </w:pPr>
            <w:r w:rsidRPr="00DA0B64">
              <w:rPr>
                <w:rFonts w:asciiTheme="majorBidi" w:hAnsiTheme="majorBidi" w:cstheme="majorBidi"/>
                <w:color w:val="000000" w:themeColor="text1"/>
                <w:sz w:val="24"/>
                <w:szCs w:val="24"/>
                <w:shd w:val="clear" w:color="auto" w:fill="FFFFFF"/>
                <w:lang w:val="ro-RO"/>
              </w:rPr>
              <w:t>Agenția Națională pentru Sănătate Publică este autoritatea competentă pentru înregistrarea și notificarea amenințărilor transfrontaliere la nivel național și transmiterea informației prin intermediul portalurilor internaționale către OMS. În contextul aderării la UE, este necesar a conecta sistemul informațional național de notificare a evenimentelor de sănătate publică către sistemul UE de notificare,</w:t>
            </w:r>
            <w:r w:rsidR="00371DD3" w:rsidRPr="00DA0B64">
              <w:rPr>
                <w:rFonts w:asciiTheme="majorBidi" w:hAnsiTheme="majorBidi" w:cstheme="majorBidi"/>
                <w:color w:val="000000" w:themeColor="text1"/>
                <w:sz w:val="24"/>
                <w:szCs w:val="24"/>
                <w:shd w:val="clear" w:color="auto" w:fill="FFFFFF"/>
                <w:lang w:val="ro-RO"/>
              </w:rPr>
              <w:t xml:space="preserve"> cu ajustarea mecanismelor de coordonare a răspunsului la normele UE,</w:t>
            </w:r>
            <w:r w:rsidRPr="00DA0B64">
              <w:rPr>
                <w:rFonts w:asciiTheme="majorBidi" w:hAnsiTheme="majorBidi" w:cstheme="majorBidi"/>
                <w:color w:val="000000" w:themeColor="text1"/>
                <w:sz w:val="24"/>
                <w:szCs w:val="24"/>
                <w:shd w:val="clear" w:color="auto" w:fill="FFFFFF"/>
                <w:lang w:val="ro-RO"/>
              </w:rPr>
              <w:t xml:space="preserve"> care ar permite și coordonarea ulterioară a măsurilor de sănătate publică la nivel național și statele membre ale UE.</w:t>
            </w:r>
          </w:p>
          <w:p w14:paraId="0100724C" w14:textId="486C9AC6" w:rsidR="00E42E7E" w:rsidRPr="00DA0B64" w:rsidRDefault="00E42E7E" w:rsidP="00371DD3">
            <w:pPr>
              <w:pStyle w:val="ListParagraph"/>
              <w:ind w:left="0" w:firstLine="540"/>
              <w:jc w:val="both"/>
              <w:rPr>
                <w:rFonts w:asciiTheme="majorBidi" w:hAnsiTheme="majorBidi" w:cstheme="majorBidi"/>
                <w:color w:val="000000" w:themeColor="text1"/>
                <w:sz w:val="24"/>
                <w:szCs w:val="24"/>
                <w:shd w:val="clear" w:color="auto" w:fill="FFFFFF"/>
                <w:lang w:val="ro-RO"/>
              </w:rPr>
            </w:pPr>
            <w:r w:rsidRPr="00DA0B64">
              <w:rPr>
                <w:rFonts w:asciiTheme="majorBidi" w:hAnsiTheme="majorBidi" w:cstheme="majorBidi"/>
                <w:color w:val="000000" w:themeColor="text1"/>
                <w:sz w:val="24"/>
                <w:szCs w:val="24"/>
                <w:shd w:val="clear" w:color="auto" w:fill="FFFFFF"/>
                <w:lang w:val="ro-RO"/>
              </w:rPr>
              <w:t>În contextul celor expuse, prezentul proiect de hotărâre urmărește alinierea procedurilor de înregistrare și notificare a amenințărilor transfrontaliere și coordonarea măsurilor de răspuns la nivel național și Uniunea Europeană.</w:t>
            </w:r>
          </w:p>
        </w:tc>
      </w:tr>
      <w:tr w:rsidR="007F159A" w:rsidRPr="0013156C" w14:paraId="2564C222"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0283F" w14:textId="3C7E1D70" w:rsidR="007F159A" w:rsidRPr="00DA0B64" w:rsidRDefault="007F159A" w:rsidP="00752ED0">
            <w:pPr>
              <w:jc w:val="both"/>
              <w:rPr>
                <w:b/>
                <w:sz w:val="25"/>
                <w:szCs w:val="25"/>
                <w:lang w:val="ro-RO"/>
              </w:rPr>
            </w:pPr>
            <w:r w:rsidRPr="00DA0B64">
              <w:rPr>
                <w:b/>
                <w:sz w:val="25"/>
                <w:szCs w:val="25"/>
                <w:lang w:val="ro-RO"/>
              </w:rPr>
              <w:lastRenderedPageBreak/>
              <w:t xml:space="preserve">3. Descrierea gradului de compatibilitate pentru proiectele care au ca scop armonizarea </w:t>
            </w:r>
            <w:proofErr w:type="spellStart"/>
            <w:r w:rsidRPr="00DA0B64">
              <w:rPr>
                <w:b/>
                <w:sz w:val="25"/>
                <w:szCs w:val="25"/>
                <w:lang w:val="ro-RO"/>
              </w:rPr>
              <w:t>legislaţiei</w:t>
            </w:r>
            <w:proofErr w:type="spellEnd"/>
            <w:r w:rsidRPr="00DA0B64">
              <w:rPr>
                <w:b/>
                <w:sz w:val="25"/>
                <w:szCs w:val="25"/>
                <w:lang w:val="ro-RO"/>
              </w:rPr>
              <w:t xml:space="preserve"> </w:t>
            </w:r>
            <w:proofErr w:type="spellStart"/>
            <w:r w:rsidRPr="00DA0B64">
              <w:rPr>
                <w:b/>
                <w:sz w:val="25"/>
                <w:szCs w:val="25"/>
                <w:lang w:val="ro-RO"/>
              </w:rPr>
              <w:t>naţionale</w:t>
            </w:r>
            <w:proofErr w:type="spellEnd"/>
            <w:r w:rsidRPr="00DA0B64">
              <w:rPr>
                <w:b/>
                <w:sz w:val="25"/>
                <w:szCs w:val="25"/>
                <w:lang w:val="ro-RO"/>
              </w:rPr>
              <w:t xml:space="preserve"> cu </w:t>
            </w:r>
            <w:r w:rsidR="00FF512E" w:rsidRPr="00DA0B64">
              <w:rPr>
                <w:b/>
                <w:sz w:val="25"/>
                <w:szCs w:val="25"/>
                <w:lang w:val="ro-RO"/>
              </w:rPr>
              <w:t>legislația</w:t>
            </w:r>
            <w:r w:rsidRPr="00DA0B64">
              <w:rPr>
                <w:b/>
                <w:sz w:val="25"/>
                <w:szCs w:val="25"/>
                <w:lang w:val="ro-RO"/>
              </w:rPr>
              <w:t xml:space="preserve"> Uniunii Europene </w:t>
            </w:r>
          </w:p>
        </w:tc>
      </w:tr>
      <w:tr w:rsidR="007F159A" w:rsidRPr="0013156C" w14:paraId="228D4453"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AB422" w14:textId="691E52B8" w:rsidR="000441EE" w:rsidRPr="00DA0B64" w:rsidRDefault="00752ED0" w:rsidP="00FD2C17">
            <w:pPr>
              <w:jc w:val="both"/>
              <w:rPr>
                <w:sz w:val="25"/>
                <w:szCs w:val="25"/>
                <w:lang w:val="ro-RO"/>
              </w:rPr>
            </w:pPr>
            <w:r w:rsidRPr="00DA0B64">
              <w:rPr>
                <w:sz w:val="25"/>
                <w:szCs w:val="25"/>
                <w:lang w:val="ro-RO"/>
              </w:rPr>
              <w:t xml:space="preserve">Proiectul </w:t>
            </w:r>
            <w:r w:rsidR="00532D60" w:rsidRPr="00DA0B64">
              <w:rPr>
                <w:sz w:val="25"/>
                <w:szCs w:val="25"/>
                <w:lang w:val="ro-RO"/>
              </w:rPr>
              <w:t>hotărârii Guvernului</w:t>
            </w:r>
            <w:r w:rsidR="00F52AF7" w:rsidRPr="00DA0B64">
              <w:rPr>
                <w:sz w:val="25"/>
                <w:szCs w:val="25"/>
                <w:lang w:val="ro-RO"/>
              </w:rPr>
              <w:t xml:space="preserve"> </w:t>
            </w:r>
            <w:r w:rsidRPr="00DA0B64">
              <w:rPr>
                <w:sz w:val="25"/>
                <w:szCs w:val="25"/>
                <w:lang w:val="ro-RO"/>
              </w:rPr>
              <w:t xml:space="preserve">vizează armonizarea </w:t>
            </w:r>
            <w:r w:rsidR="00FF512E" w:rsidRPr="00DA0B64">
              <w:rPr>
                <w:sz w:val="25"/>
                <w:szCs w:val="25"/>
                <w:lang w:val="ro-RO"/>
              </w:rPr>
              <w:t>legislației</w:t>
            </w:r>
            <w:r w:rsidRPr="00DA0B64">
              <w:rPr>
                <w:sz w:val="25"/>
                <w:szCs w:val="25"/>
                <w:lang w:val="ro-RO"/>
              </w:rPr>
              <w:t xml:space="preserve"> </w:t>
            </w:r>
            <w:r w:rsidR="00FF512E" w:rsidRPr="00DA0B64">
              <w:rPr>
                <w:sz w:val="25"/>
                <w:szCs w:val="25"/>
                <w:lang w:val="ro-RO"/>
              </w:rPr>
              <w:t>naționale</w:t>
            </w:r>
            <w:r w:rsidRPr="00DA0B64">
              <w:rPr>
                <w:sz w:val="25"/>
                <w:szCs w:val="25"/>
                <w:lang w:val="ro-RO"/>
              </w:rPr>
              <w:t xml:space="preserve"> cu </w:t>
            </w:r>
            <w:r w:rsidR="00FF512E" w:rsidRPr="00DA0B64">
              <w:rPr>
                <w:sz w:val="25"/>
                <w:szCs w:val="25"/>
                <w:lang w:val="ro-RO"/>
              </w:rPr>
              <w:t>legislația</w:t>
            </w:r>
            <w:r w:rsidRPr="00DA0B64">
              <w:rPr>
                <w:sz w:val="25"/>
                <w:szCs w:val="25"/>
                <w:lang w:val="ro-RO"/>
              </w:rPr>
              <w:t xml:space="preserve"> UE</w:t>
            </w:r>
            <w:r w:rsidR="00FD2C17" w:rsidRPr="00DA0B64">
              <w:rPr>
                <w:sz w:val="25"/>
                <w:szCs w:val="25"/>
                <w:lang w:val="ro-RO"/>
              </w:rPr>
              <w:t xml:space="preserve"> prin transpunerea  Regulamentului </w:t>
            </w:r>
            <w:r w:rsidR="003423D9" w:rsidRPr="00DA0B64">
              <w:rPr>
                <w:sz w:val="25"/>
                <w:szCs w:val="25"/>
                <w:lang w:val="ro-RO"/>
              </w:rPr>
              <w:t xml:space="preserve">(UE) 2022/2371 </w:t>
            </w:r>
            <w:r w:rsidR="00FD2C17" w:rsidRPr="00DA0B64">
              <w:rPr>
                <w:sz w:val="25"/>
                <w:szCs w:val="25"/>
                <w:lang w:val="ro-RO"/>
              </w:rPr>
              <w:t xml:space="preserve">al Parlamentului European și al Consiliului </w:t>
            </w:r>
            <w:r w:rsidR="003423D9" w:rsidRPr="00DA0B64">
              <w:rPr>
                <w:sz w:val="25"/>
                <w:szCs w:val="25"/>
                <w:lang w:val="ro-RO"/>
              </w:rPr>
              <w:t>din 23 noiembrie 2022 privind amenințările transfrontaliere grave pentru sănătate și de abrogare a Deciziei nr. 1082/2013/UE.</w:t>
            </w:r>
          </w:p>
        </w:tc>
      </w:tr>
      <w:tr w:rsidR="007F159A" w:rsidRPr="00DA0B64" w14:paraId="24A09EB2"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F65C9" w14:textId="0601436F" w:rsidR="007F159A" w:rsidRPr="00DA0B64" w:rsidRDefault="007300BB">
            <w:pPr>
              <w:rPr>
                <w:b/>
                <w:sz w:val="25"/>
                <w:szCs w:val="25"/>
                <w:lang w:val="ro-RO"/>
              </w:rPr>
            </w:pPr>
            <w:r>
              <w:rPr>
                <w:b/>
                <w:sz w:val="25"/>
                <w:szCs w:val="25"/>
                <w:lang w:val="ro-RO"/>
              </w:rPr>
              <w:t>4</w:t>
            </w:r>
            <w:r w:rsidR="007F159A" w:rsidRPr="00DA0B64">
              <w:rPr>
                <w:b/>
                <w:sz w:val="25"/>
                <w:szCs w:val="25"/>
                <w:lang w:val="ro-RO"/>
              </w:rPr>
              <w:t xml:space="preserve">. Fundamentarea </w:t>
            </w:r>
            <w:proofErr w:type="spellStart"/>
            <w:r w:rsidR="007F159A" w:rsidRPr="00DA0B64">
              <w:rPr>
                <w:b/>
                <w:sz w:val="25"/>
                <w:szCs w:val="25"/>
                <w:lang w:val="ro-RO"/>
              </w:rPr>
              <w:t>economico</w:t>
            </w:r>
            <w:proofErr w:type="spellEnd"/>
            <w:r w:rsidR="007F159A" w:rsidRPr="00DA0B64">
              <w:rPr>
                <w:b/>
                <w:sz w:val="25"/>
                <w:szCs w:val="25"/>
                <w:lang w:val="ro-RO"/>
              </w:rPr>
              <w:t xml:space="preserve">-financiară </w:t>
            </w:r>
          </w:p>
        </w:tc>
      </w:tr>
      <w:tr w:rsidR="007F159A" w:rsidRPr="0013156C" w14:paraId="76EDBEAF"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89B4E7" w14:textId="4814A968" w:rsidR="00C92A67" w:rsidRPr="00DA0B64" w:rsidRDefault="006A296B" w:rsidP="00372C9D">
            <w:pPr>
              <w:ind w:firstLine="567"/>
              <w:jc w:val="both"/>
              <w:rPr>
                <w:sz w:val="25"/>
                <w:szCs w:val="25"/>
                <w:lang w:val="ro-RO"/>
              </w:rPr>
            </w:pPr>
            <w:r w:rsidRPr="00DA0B64">
              <w:rPr>
                <w:sz w:val="25"/>
                <w:szCs w:val="25"/>
                <w:lang w:val="ro-RO"/>
              </w:rPr>
              <w:t xml:space="preserve">Amendamentele la </w:t>
            </w:r>
            <w:r w:rsidR="00532D60" w:rsidRPr="00DA0B64">
              <w:rPr>
                <w:sz w:val="25"/>
                <w:szCs w:val="25"/>
                <w:lang w:val="ro-RO"/>
              </w:rPr>
              <w:t>hotărârile Guvernului</w:t>
            </w:r>
            <w:r w:rsidR="008731EF" w:rsidRPr="00DA0B64">
              <w:rPr>
                <w:sz w:val="25"/>
                <w:szCs w:val="25"/>
                <w:lang w:val="ro-RO"/>
              </w:rPr>
              <w:t xml:space="preserve"> propuse spre modificare conform proiectului </w:t>
            </w:r>
            <w:r w:rsidR="00C81912" w:rsidRPr="00DA0B64">
              <w:rPr>
                <w:sz w:val="25"/>
                <w:szCs w:val="25"/>
                <w:lang w:val="ro-RO"/>
              </w:rPr>
              <w:t>nu necesită careva cheltuieli suplimentare din bugetul de stat.</w:t>
            </w:r>
          </w:p>
        </w:tc>
      </w:tr>
      <w:tr w:rsidR="007F159A" w:rsidRPr="0013156C" w14:paraId="6ED9D4C4"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92554" w14:textId="708FF588" w:rsidR="007F159A" w:rsidRPr="00DA0B64" w:rsidRDefault="007300BB">
            <w:pPr>
              <w:rPr>
                <w:b/>
                <w:sz w:val="25"/>
                <w:szCs w:val="25"/>
                <w:lang w:val="ro-RO"/>
              </w:rPr>
            </w:pPr>
            <w:r>
              <w:rPr>
                <w:b/>
                <w:sz w:val="25"/>
                <w:szCs w:val="25"/>
                <w:lang w:val="ro-RO"/>
              </w:rPr>
              <w:t>5</w:t>
            </w:r>
            <w:r w:rsidR="007F159A" w:rsidRPr="00DA0B64">
              <w:rPr>
                <w:b/>
                <w:sz w:val="25"/>
                <w:szCs w:val="25"/>
                <w:lang w:val="ro-RO"/>
              </w:rPr>
              <w:t xml:space="preserve">. Modul de încorporare a actului în cadrul normativ în vigoare </w:t>
            </w:r>
          </w:p>
        </w:tc>
      </w:tr>
      <w:tr w:rsidR="007F159A" w:rsidRPr="0013156C" w14:paraId="45F62ED7"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C44775" w14:textId="377DC4A8" w:rsidR="00824BE9" w:rsidRPr="00DA0B64" w:rsidRDefault="0032686F" w:rsidP="00FD2C17">
            <w:pPr>
              <w:pStyle w:val="tt"/>
              <w:tabs>
                <w:tab w:val="left" w:pos="851"/>
              </w:tabs>
              <w:ind w:firstLine="522"/>
              <w:jc w:val="both"/>
              <w:rPr>
                <w:b w:val="0"/>
                <w:sz w:val="25"/>
                <w:szCs w:val="25"/>
                <w:lang w:val="ro-RO"/>
              </w:rPr>
            </w:pPr>
            <w:r w:rsidRPr="00DA0B64">
              <w:rPr>
                <w:b w:val="0"/>
                <w:sz w:val="25"/>
                <w:szCs w:val="25"/>
                <w:lang w:val="ro-RO"/>
              </w:rPr>
              <w:t>Prezentul proiect</w:t>
            </w:r>
            <w:r w:rsidR="00A82625" w:rsidRPr="00DA0B64">
              <w:rPr>
                <w:b w:val="0"/>
                <w:sz w:val="25"/>
                <w:szCs w:val="25"/>
                <w:lang w:val="ro-RO"/>
              </w:rPr>
              <w:t xml:space="preserve"> se încadrează  în cadrul normativ în vigoare, </w:t>
            </w:r>
            <w:r w:rsidR="00430A68" w:rsidRPr="00DA0B64">
              <w:rPr>
                <w:b w:val="0"/>
                <w:sz w:val="25"/>
                <w:szCs w:val="25"/>
                <w:lang w:val="ro-RO"/>
              </w:rPr>
              <w:t>întrucât</w:t>
            </w:r>
            <w:r w:rsidR="00A82625" w:rsidRPr="00DA0B64">
              <w:rPr>
                <w:b w:val="0"/>
                <w:sz w:val="25"/>
                <w:szCs w:val="25"/>
                <w:lang w:val="ro-RO"/>
              </w:rPr>
              <w:t xml:space="preserve"> are drept scop actualizarea un</w:t>
            </w:r>
            <w:r w:rsidR="00E4096E" w:rsidRPr="00DA0B64">
              <w:rPr>
                <w:b w:val="0"/>
                <w:sz w:val="25"/>
                <w:szCs w:val="25"/>
                <w:lang w:val="ro-RO"/>
              </w:rPr>
              <w:t>or</w:t>
            </w:r>
            <w:r w:rsidR="00A82625" w:rsidRPr="00DA0B64">
              <w:rPr>
                <w:b w:val="0"/>
                <w:sz w:val="25"/>
                <w:szCs w:val="25"/>
                <w:lang w:val="ro-RO"/>
              </w:rPr>
              <w:t xml:space="preserve"> act</w:t>
            </w:r>
            <w:r w:rsidR="00E4096E" w:rsidRPr="00DA0B64">
              <w:rPr>
                <w:b w:val="0"/>
                <w:sz w:val="25"/>
                <w:szCs w:val="25"/>
                <w:lang w:val="ro-RO"/>
              </w:rPr>
              <w:t>e</w:t>
            </w:r>
            <w:r w:rsidR="00A82625" w:rsidRPr="00DA0B64">
              <w:rPr>
                <w:b w:val="0"/>
                <w:sz w:val="25"/>
                <w:szCs w:val="25"/>
                <w:lang w:val="ro-RO"/>
              </w:rPr>
              <w:t xml:space="preserve"> normativ</w:t>
            </w:r>
            <w:r w:rsidR="00E4096E" w:rsidRPr="00DA0B64">
              <w:rPr>
                <w:b w:val="0"/>
                <w:sz w:val="25"/>
                <w:szCs w:val="25"/>
                <w:lang w:val="ro-RO"/>
              </w:rPr>
              <w:t>e</w:t>
            </w:r>
            <w:r w:rsidR="00A82625" w:rsidRPr="00DA0B64">
              <w:rPr>
                <w:b w:val="0"/>
                <w:sz w:val="25"/>
                <w:szCs w:val="25"/>
                <w:lang w:val="ro-RO"/>
              </w:rPr>
              <w:t xml:space="preserve"> </w:t>
            </w:r>
            <w:r w:rsidR="00163900" w:rsidRPr="00DA0B64">
              <w:rPr>
                <w:b w:val="0"/>
                <w:sz w:val="25"/>
                <w:szCs w:val="25"/>
                <w:lang w:val="ro-RO"/>
              </w:rPr>
              <w:t>aprobat</w:t>
            </w:r>
            <w:r w:rsidR="00E4096E" w:rsidRPr="00DA0B64">
              <w:rPr>
                <w:b w:val="0"/>
                <w:sz w:val="25"/>
                <w:szCs w:val="25"/>
                <w:lang w:val="ro-RO"/>
              </w:rPr>
              <w:t>e</w:t>
            </w:r>
            <w:r w:rsidR="00163900" w:rsidRPr="00DA0B64">
              <w:rPr>
                <w:b w:val="0"/>
                <w:sz w:val="25"/>
                <w:szCs w:val="25"/>
                <w:lang w:val="ro-RO"/>
              </w:rPr>
              <w:t xml:space="preserve"> și aplicabil</w:t>
            </w:r>
            <w:r w:rsidR="00E4096E" w:rsidRPr="00DA0B64">
              <w:rPr>
                <w:b w:val="0"/>
                <w:sz w:val="25"/>
                <w:szCs w:val="25"/>
                <w:lang w:val="ro-RO"/>
              </w:rPr>
              <w:t>e</w:t>
            </w:r>
            <w:r w:rsidR="00163900" w:rsidRPr="00DA0B64">
              <w:rPr>
                <w:b w:val="0"/>
                <w:sz w:val="25"/>
                <w:szCs w:val="25"/>
                <w:lang w:val="ro-RO"/>
              </w:rPr>
              <w:t>, din care considerente</w:t>
            </w:r>
            <w:r w:rsidR="00A82625" w:rsidRPr="00DA0B64">
              <w:rPr>
                <w:b w:val="0"/>
                <w:sz w:val="25"/>
                <w:szCs w:val="25"/>
                <w:lang w:val="ro-RO"/>
              </w:rPr>
              <w:t xml:space="preserve"> nu necesită modificarea cadrului legal conex.</w:t>
            </w:r>
          </w:p>
        </w:tc>
      </w:tr>
      <w:tr w:rsidR="007F159A" w:rsidRPr="0013156C" w14:paraId="2DC064C8" w14:textId="77777777" w:rsidTr="00137975">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FD80F" w14:textId="5D455B6B" w:rsidR="007F159A" w:rsidRPr="00DA0B64" w:rsidRDefault="007300BB">
            <w:pPr>
              <w:rPr>
                <w:b/>
                <w:sz w:val="25"/>
                <w:szCs w:val="25"/>
                <w:lang w:val="ro-RO"/>
              </w:rPr>
            </w:pPr>
            <w:r>
              <w:rPr>
                <w:b/>
                <w:sz w:val="25"/>
                <w:szCs w:val="25"/>
                <w:lang w:val="ro-RO"/>
              </w:rPr>
              <w:t>6</w:t>
            </w:r>
            <w:r w:rsidR="007F159A" w:rsidRPr="00DA0B64">
              <w:rPr>
                <w:b/>
                <w:sz w:val="25"/>
                <w:szCs w:val="25"/>
                <w:lang w:val="ro-RO"/>
              </w:rPr>
              <w:t xml:space="preserve">. Avizarea </w:t>
            </w:r>
            <w:r w:rsidR="005C13A8" w:rsidRPr="00DA0B64">
              <w:rPr>
                <w:b/>
                <w:sz w:val="25"/>
                <w:szCs w:val="25"/>
                <w:lang w:val="ro-RO"/>
              </w:rPr>
              <w:t>și</w:t>
            </w:r>
            <w:r w:rsidR="007F159A" w:rsidRPr="00DA0B64">
              <w:rPr>
                <w:b/>
                <w:sz w:val="25"/>
                <w:szCs w:val="25"/>
                <w:lang w:val="ro-RO"/>
              </w:rPr>
              <w:t xml:space="preserve"> consultarea publică a proiectului </w:t>
            </w:r>
          </w:p>
        </w:tc>
      </w:tr>
      <w:tr w:rsidR="007F159A" w:rsidRPr="00DA0B64" w14:paraId="661E8EEB" w14:textId="77777777" w:rsidTr="00FF512E">
        <w:trPr>
          <w:trHeight w:val="885"/>
          <w:jc w:val="center"/>
        </w:trPr>
        <w:tc>
          <w:tcPr>
            <w:tcW w:w="5000"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48E72260" w14:textId="7BE31640" w:rsidR="00EE2124" w:rsidRPr="00DA0B64" w:rsidRDefault="00EF7138" w:rsidP="00C00EE5">
            <w:pPr>
              <w:spacing w:line="259" w:lineRule="auto"/>
              <w:ind w:firstLine="523"/>
              <w:jc w:val="both"/>
              <w:rPr>
                <w:sz w:val="25"/>
                <w:szCs w:val="25"/>
                <w:lang w:val="ro-RO"/>
              </w:rPr>
            </w:pPr>
            <w:r w:rsidRPr="00DA0B64">
              <w:rPr>
                <w:sz w:val="25"/>
                <w:szCs w:val="25"/>
                <w:lang w:val="ro-RO"/>
              </w:rPr>
              <w:t>În conformitate cu prevederile </w:t>
            </w:r>
            <w:r w:rsidRPr="00DA0B64">
              <w:rPr>
                <w:iCs/>
                <w:sz w:val="25"/>
                <w:szCs w:val="25"/>
                <w:lang w:val="ro-RO"/>
              </w:rPr>
              <w:t xml:space="preserve">art. </w:t>
            </w:r>
            <w:r w:rsidR="00E4096E" w:rsidRPr="00DA0B64">
              <w:rPr>
                <w:iCs/>
                <w:sz w:val="25"/>
                <w:szCs w:val="25"/>
                <w:lang w:val="ro-RO"/>
              </w:rPr>
              <w:t>8 lit. a) și art. 9 alin. (1) și (2)</w:t>
            </w:r>
            <w:r w:rsidRPr="00DA0B64">
              <w:rPr>
                <w:iCs/>
                <w:sz w:val="25"/>
                <w:szCs w:val="25"/>
                <w:lang w:val="ro-RO"/>
              </w:rPr>
              <w:t xml:space="preserve"> din Legea nr. 239/2008 privind </w:t>
            </w:r>
            <w:r w:rsidR="00FF512E" w:rsidRPr="00DA0B64">
              <w:rPr>
                <w:iCs/>
                <w:sz w:val="25"/>
                <w:szCs w:val="25"/>
                <w:lang w:val="ro-RO"/>
              </w:rPr>
              <w:t>t</w:t>
            </w:r>
            <w:r w:rsidR="00FD2C17" w:rsidRPr="00DA0B64">
              <w:rPr>
                <w:iCs/>
                <w:sz w:val="25"/>
                <w:szCs w:val="25"/>
                <w:lang w:val="ro-RO"/>
              </w:rPr>
              <w:t>r</w:t>
            </w:r>
            <w:r w:rsidR="00FF512E" w:rsidRPr="00DA0B64">
              <w:rPr>
                <w:iCs/>
                <w:sz w:val="25"/>
                <w:szCs w:val="25"/>
                <w:lang w:val="ro-RO"/>
              </w:rPr>
              <w:t>ansparența</w:t>
            </w:r>
            <w:r w:rsidRPr="00DA0B64">
              <w:rPr>
                <w:iCs/>
                <w:sz w:val="25"/>
                <w:szCs w:val="25"/>
                <w:lang w:val="ro-RO"/>
              </w:rPr>
              <w:t xml:space="preserve"> în procesul decizional</w:t>
            </w:r>
            <w:r w:rsidR="00C00EE5" w:rsidRPr="00DA0B64">
              <w:rPr>
                <w:sz w:val="25"/>
                <w:szCs w:val="25"/>
                <w:lang w:val="ro-RO"/>
              </w:rPr>
              <w:t>....</w:t>
            </w:r>
          </w:p>
        </w:tc>
      </w:tr>
      <w:tr w:rsidR="002E2418" w:rsidRPr="00DA0B64" w14:paraId="520BF8ED" w14:textId="77777777" w:rsidTr="00137975">
        <w:trPr>
          <w:trHeight w:val="313"/>
          <w:jc w:val="center"/>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D5DC99A" w14:textId="16761B05" w:rsidR="002E2418" w:rsidRPr="00DA0B64" w:rsidRDefault="007300BB" w:rsidP="004259B5">
            <w:pPr>
              <w:jc w:val="both"/>
              <w:rPr>
                <w:b/>
                <w:sz w:val="25"/>
                <w:szCs w:val="25"/>
                <w:lang w:val="ro-RO"/>
              </w:rPr>
            </w:pPr>
            <w:r>
              <w:rPr>
                <w:b/>
                <w:sz w:val="25"/>
                <w:szCs w:val="25"/>
                <w:lang w:val="ro-RO"/>
              </w:rPr>
              <w:t>7</w:t>
            </w:r>
            <w:r w:rsidR="004259B5" w:rsidRPr="00DA0B64">
              <w:rPr>
                <w:b/>
                <w:sz w:val="25"/>
                <w:szCs w:val="25"/>
                <w:lang w:val="ro-RO"/>
              </w:rPr>
              <w:t xml:space="preserve">. Constatările expertizei </w:t>
            </w:r>
            <w:r w:rsidR="005C13A8" w:rsidRPr="00DA0B64">
              <w:rPr>
                <w:b/>
                <w:sz w:val="25"/>
                <w:szCs w:val="25"/>
                <w:lang w:val="ro-RO"/>
              </w:rPr>
              <w:t>anticorupție</w:t>
            </w:r>
          </w:p>
        </w:tc>
      </w:tr>
      <w:tr w:rsidR="00827DDD" w:rsidRPr="0013156C" w14:paraId="76F97CB9" w14:textId="77777777" w:rsidTr="00137975">
        <w:trPr>
          <w:trHeight w:val="875"/>
          <w:jc w:val="center"/>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0599017" w14:textId="20B40D67" w:rsidR="00827DDD" w:rsidRPr="00DA0B64" w:rsidRDefault="00941C14" w:rsidP="008E59B3">
            <w:pPr>
              <w:ind w:firstLine="521"/>
              <w:jc w:val="both"/>
              <w:rPr>
                <w:sz w:val="25"/>
                <w:szCs w:val="25"/>
                <w:lang w:val="ro-RO"/>
              </w:rPr>
            </w:pPr>
            <w:r w:rsidRPr="00DA0B64">
              <w:rPr>
                <w:sz w:val="25"/>
                <w:szCs w:val="25"/>
                <w:lang w:val="ro-RO"/>
              </w:rPr>
              <w:t xml:space="preserve">Proiectul urmează a fi </w:t>
            </w:r>
            <w:r w:rsidRPr="00DA0B64">
              <w:rPr>
                <w:sz w:val="25"/>
                <w:szCs w:val="25"/>
                <w:lang w:val="ro-RO" w:eastAsia="en-US"/>
              </w:rPr>
              <w:t xml:space="preserve">supus expertizei </w:t>
            </w:r>
            <w:r w:rsidR="00FF512E" w:rsidRPr="00DA0B64">
              <w:rPr>
                <w:sz w:val="25"/>
                <w:szCs w:val="25"/>
                <w:lang w:val="ro-RO" w:eastAsia="en-US"/>
              </w:rPr>
              <w:t>anticorupție</w:t>
            </w:r>
            <w:r w:rsidRPr="00DA0B64">
              <w:rPr>
                <w:sz w:val="25"/>
                <w:szCs w:val="25"/>
                <w:lang w:val="ro-RO" w:eastAsia="en-US"/>
              </w:rPr>
              <w:t xml:space="preserve"> </w:t>
            </w:r>
            <w:r w:rsidRPr="00DA0B64">
              <w:rPr>
                <w:sz w:val="25"/>
                <w:szCs w:val="25"/>
                <w:lang w:val="ro-RO"/>
              </w:rPr>
              <w:t>în conformitate cu procedura stabilită în Legea nr. 100/2017 cu privire la actele normative</w:t>
            </w:r>
            <w:r w:rsidR="006A296B" w:rsidRPr="00DA0B64">
              <w:rPr>
                <w:sz w:val="25"/>
                <w:szCs w:val="25"/>
                <w:lang w:val="ro-RO" w:eastAsia="en-US"/>
              </w:rPr>
              <w:t>.</w:t>
            </w:r>
          </w:p>
        </w:tc>
      </w:tr>
      <w:tr w:rsidR="00B575A6" w:rsidRPr="00DA0B64" w14:paraId="1FE96035" w14:textId="77777777" w:rsidTr="00137975">
        <w:trPr>
          <w:trHeight w:val="275"/>
          <w:jc w:val="center"/>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C32B227" w14:textId="696355A5" w:rsidR="00B575A6" w:rsidRPr="00DA0B64" w:rsidRDefault="007300BB" w:rsidP="00BE2625">
            <w:pPr>
              <w:jc w:val="both"/>
              <w:rPr>
                <w:b/>
                <w:sz w:val="25"/>
                <w:szCs w:val="25"/>
                <w:lang w:val="ro-RO"/>
              </w:rPr>
            </w:pPr>
            <w:r>
              <w:rPr>
                <w:b/>
                <w:sz w:val="25"/>
                <w:szCs w:val="25"/>
                <w:lang w:val="ro-RO"/>
              </w:rPr>
              <w:t>8</w:t>
            </w:r>
            <w:r w:rsidR="00BE2625" w:rsidRPr="00DA0B64">
              <w:rPr>
                <w:b/>
                <w:sz w:val="25"/>
                <w:szCs w:val="25"/>
                <w:lang w:val="ro-RO"/>
              </w:rPr>
              <w:t>. Constatările expertizei juridice</w:t>
            </w:r>
          </w:p>
        </w:tc>
      </w:tr>
      <w:tr w:rsidR="00B575A6" w:rsidRPr="0013156C" w14:paraId="7BE06E51" w14:textId="77777777" w:rsidTr="00137975">
        <w:trPr>
          <w:trHeight w:val="501"/>
          <w:jc w:val="center"/>
        </w:trPr>
        <w:tc>
          <w:tcPr>
            <w:tcW w:w="500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99924AB" w14:textId="77777777" w:rsidR="00A4103A" w:rsidRPr="00DA0B64" w:rsidRDefault="00941C14" w:rsidP="005612AA">
            <w:pPr>
              <w:ind w:firstLine="521"/>
              <w:jc w:val="both"/>
              <w:rPr>
                <w:sz w:val="25"/>
                <w:szCs w:val="25"/>
                <w:lang w:val="ro-RO"/>
              </w:rPr>
            </w:pPr>
            <w:r w:rsidRPr="00DA0B64">
              <w:rPr>
                <w:sz w:val="25"/>
                <w:szCs w:val="25"/>
                <w:lang w:val="ro-RO"/>
              </w:rPr>
              <w:t>Proiectul urmează a fi supus expertizei juridice în conformitate cu procedura stabilită în Legea nr. 100/2017 cu privire la actele normative.</w:t>
            </w:r>
          </w:p>
          <w:p w14:paraId="571C8328" w14:textId="44F08132" w:rsidR="00137975" w:rsidRPr="00DA0B64" w:rsidRDefault="00137975" w:rsidP="005612AA">
            <w:pPr>
              <w:ind w:firstLine="521"/>
              <w:jc w:val="both"/>
              <w:rPr>
                <w:sz w:val="25"/>
                <w:szCs w:val="25"/>
                <w:lang w:val="ro-RO"/>
              </w:rPr>
            </w:pPr>
          </w:p>
        </w:tc>
      </w:tr>
      <w:bookmarkEnd w:id="2"/>
    </w:tbl>
    <w:p w14:paraId="29B23DB2" w14:textId="35AAEB25" w:rsidR="00EC1B92" w:rsidRPr="00DA0B64" w:rsidRDefault="00EC1B92" w:rsidP="00675C19">
      <w:pPr>
        <w:jc w:val="right"/>
        <w:rPr>
          <w:b/>
          <w:sz w:val="25"/>
          <w:szCs w:val="25"/>
          <w:lang w:val="ro-RO"/>
        </w:rPr>
      </w:pPr>
    </w:p>
    <w:bookmarkEnd w:id="1"/>
    <w:p w14:paraId="4C85E25F" w14:textId="77777777" w:rsidR="00EE2124" w:rsidRPr="00DA0B64" w:rsidRDefault="00EE2124" w:rsidP="00E26282">
      <w:pPr>
        <w:ind w:right="-284"/>
        <w:jc w:val="right"/>
        <w:rPr>
          <w:b/>
          <w:sz w:val="25"/>
          <w:szCs w:val="25"/>
          <w:lang w:val="ro-RO"/>
        </w:rPr>
      </w:pPr>
    </w:p>
    <w:sectPr w:rsidR="00EE2124" w:rsidRPr="00DA0B64" w:rsidSect="005974C6">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0E1E5610"/>
    <w:multiLevelType w:val="hybridMultilevel"/>
    <w:tmpl w:val="C3C26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57C6042"/>
    <w:multiLevelType w:val="hybridMultilevel"/>
    <w:tmpl w:val="42DA1D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C91633"/>
    <w:multiLevelType w:val="hybridMultilevel"/>
    <w:tmpl w:val="ACD4D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80652"/>
    <w:multiLevelType w:val="multilevel"/>
    <w:tmpl w:val="5322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D5498"/>
    <w:multiLevelType w:val="hybridMultilevel"/>
    <w:tmpl w:val="23AE13AC"/>
    <w:lvl w:ilvl="0" w:tplc="0409000B">
      <w:start w:val="1"/>
      <w:numFmt w:val="bullet"/>
      <w:lvlText w:val=""/>
      <w:lvlJc w:val="left"/>
      <w:pPr>
        <w:ind w:left="1461" w:hanging="360"/>
      </w:pPr>
      <w:rPr>
        <w:rFonts w:ascii="Wingdings" w:hAnsi="Wingdings" w:hint="default"/>
      </w:rPr>
    </w:lvl>
    <w:lvl w:ilvl="1" w:tplc="08180003" w:tentative="1">
      <w:start w:val="1"/>
      <w:numFmt w:val="bullet"/>
      <w:lvlText w:val="o"/>
      <w:lvlJc w:val="left"/>
      <w:pPr>
        <w:ind w:left="2181" w:hanging="360"/>
      </w:pPr>
      <w:rPr>
        <w:rFonts w:ascii="Courier New" w:hAnsi="Courier New" w:cs="Courier New" w:hint="default"/>
      </w:rPr>
    </w:lvl>
    <w:lvl w:ilvl="2" w:tplc="08180005" w:tentative="1">
      <w:start w:val="1"/>
      <w:numFmt w:val="bullet"/>
      <w:lvlText w:val=""/>
      <w:lvlJc w:val="left"/>
      <w:pPr>
        <w:ind w:left="2901" w:hanging="360"/>
      </w:pPr>
      <w:rPr>
        <w:rFonts w:ascii="Wingdings" w:hAnsi="Wingdings" w:cs="Wingdings" w:hint="default"/>
      </w:rPr>
    </w:lvl>
    <w:lvl w:ilvl="3" w:tplc="08180001" w:tentative="1">
      <w:start w:val="1"/>
      <w:numFmt w:val="bullet"/>
      <w:lvlText w:val=""/>
      <w:lvlJc w:val="left"/>
      <w:pPr>
        <w:ind w:left="3621" w:hanging="360"/>
      </w:pPr>
      <w:rPr>
        <w:rFonts w:ascii="Symbol" w:hAnsi="Symbol" w:cs="Symbol" w:hint="default"/>
      </w:rPr>
    </w:lvl>
    <w:lvl w:ilvl="4" w:tplc="08180003" w:tentative="1">
      <w:start w:val="1"/>
      <w:numFmt w:val="bullet"/>
      <w:lvlText w:val="o"/>
      <w:lvlJc w:val="left"/>
      <w:pPr>
        <w:ind w:left="4341" w:hanging="360"/>
      </w:pPr>
      <w:rPr>
        <w:rFonts w:ascii="Courier New" w:hAnsi="Courier New" w:cs="Courier New" w:hint="default"/>
      </w:rPr>
    </w:lvl>
    <w:lvl w:ilvl="5" w:tplc="08180005" w:tentative="1">
      <w:start w:val="1"/>
      <w:numFmt w:val="bullet"/>
      <w:lvlText w:val=""/>
      <w:lvlJc w:val="left"/>
      <w:pPr>
        <w:ind w:left="5061" w:hanging="360"/>
      </w:pPr>
      <w:rPr>
        <w:rFonts w:ascii="Wingdings" w:hAnsi="Wingdings" w:cs="Wingdings" w:hint="default"/>
      </w:rPr>
    </w:lvl>
    <w:lvl w:ilvl="6" w:tplc="08180001" w:tentative="1">
      <w:start w:val="1"/>
      <w:numFmt w:val="bullet"/>
      <w:lvlText w:val=""/>
      <w:lvlJc w:val="left"/>
      <w:pPr>
        <w:ind w:left="5781" w:hanging="360"/>
      </w:pPr>
      <w:rPr>
        <w:rFonts w:ascii="Symbol" w:hAnsi="Symbol" w:cs="Symbol" w:hint="default"/>
      </w:rPr>
    </w:lvl>
    <w:lvl w:ilvl="7" w:tplc="08180003" w:tentative="1">
      <w:start w:val="1"/>
      <w:numFmt w:val="bullet"/>
      <w:lvlText w:val="o"/>
      <w:lvlJc w:val="left"/>
      <w:pPr>
        <w:ind w:left="6501" w:hanging="360"/>
      </w:pPr>
      <w:rPr>
        <w:rFonts w:ascii="Courier New" w:hAnsi="Courier New" w:cs="Courier New" w:hint="default"/>
      </w:rPr>
    </w:lvl>
    <w:lvl w:ilvl="8" w:tplc="08180005" w:tentative="1">
      <w:start w:val="1"/>
      <w:numFmt w:val="bullet"/>
      <w:lvlText w:val=""/>
      <w:lvlJc w:val="left"/>
      <w:pPr>
        <w:ind w:left="7221" w:hanging="360"/>
      </w:pPr>
      <w:rPr>
        <w:rFonts w:ascii="Wingdings" w:hAnsi="Wingdings" w:cs="Wingdings" w:hint="default"/>
      </w:rPr>
    </w:lvl>
  </w:abstractNum>
  <w:num w:numId="1" w16cid:durableId="411663758">
    <w:abstractNumId w:val="0"/>
  </w:num>
  <w:num w:numId="2" w16cid:durableId="2051370311">
    <w:abstractNumId w:val="5"/>
  </w:num>
  <w:num w:numId="3" w16cid:durableId="2137333467">
    <w:abstractNumId w:val="2"/>
  </w:num>
  <w:num w:numId="4" w16cid:durableId="443423242">
    <w:abstractNumId w:val="7"/>
  </w:num>
  <w:num w:numId="5" w16cid:durableId="667636723">
    <w:abstractNumId w:val="3"/>
  </w:num>
  <w:num w:numId="6" w16cid:durableId="1382361222">
    <w:abstractNumId w:val="1"/>
  </w:num>
  <w:num w:numId="7" w16cid:durableId="87238809">
    <w:abstractNumId w:val="4"/>
  </w:num>
  <w:num w:numId="8" w16cid:durableId="1089230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B8"/>
    <w:rsid w:val="00011E8B"/>
    <w:rsid w:val="00015659"/>
    <w:rsid w:val="00016858"/>
    <w:rsid w:val="000258B5"/>
    <w:rsid w:val="00026ABB"/>
    <w:rsid w:val="0003322B"/>
    <w:rsid w:val="00034FA7"/>
    <w:rsid w:val="00036674"/>
    <w:rsid w:val="00040FCC"/>
    <w:rsid w:val="000441EE"/>
    <w:rsid w:val="000450C2"/>
    <w:rsid w:val="00047565"/>
    <w:rsid w:val="00051967"/>
    <w:rsid w:val="0005506C"/>
    <w:rsid w:val="000668E1"/>
    <w:rsid w:val="00073553"/>
    <w:rsid w:val="00073617"/>
    <w:rsid w:val="00074457"/>
    <w:rsid w:val="000764D8"/>
    <w:rsid w:val="000879AF"/>
    <w:rsid w:val="00087B43"/>
    <w:rsid w:val="0009250D"/>
    <w:rsid w:val="000A19AD"/>
    <w:rsid w:val="000A640B"/>
    <w:rsid w:val="000A71F2"/>
    <w:rsid w:val="000C3E81"/>
    <w:rsid w:val="000C611E"/>
    <w:rsid w:val="000D2DED"/>
    <w:rsid w:val="000E0EF9"/>
    <w:rsid w:val="000E2FB1"/>
    <w:rsid w:val="000E305C"/>
    <w:rsid w:val="000F3A0D"/>
    <w:rsid w:val="0010022C"/>
    <w:rsid w:val="00101337"/>
    <w:rsid w:val="00101D69"/>
    <w:rsid w:val="0011129A"/>
    <w:rsid w:val="0012271C"/>
    <w:rsid w:val="0013156C"/>
    <w:rsid w:val="00133F39"/>
    <w:rsid w:val="00137975"/>
    <w:rsid w:val="00140694"/>
    <w:rsid w:val="00141F82"/>
    <w:rsid w:val="00142E5A"/>
    <w:rsid w:val="00146298"/>
    <w:rsid w:val="0015545A"/>
    <w:rsid w:val="00155E99"/>
    <w:rsid w:val="00161841"/>
    <w:rsid w:val="001618A9"/>
    <w:rsid w:val="00162582"/>
    <w:rsid w:val="00163900"/>
    <w:rsid w:val="00165A69"/>
    <w:rsid w:val="001719CD"/>
    <w:rsid w:val="00172221"/>
    <w:rsid w:val="00185BA8"/>
    <w:rsid w:val="00186E15"/>
    <w:rsid w:val="00190D61"/>
    <w:rsid w:val="00193D71"/>
    <w:rsid w:val="00197A33"/>
    <w:rsid w:val="001A33CB"/>
    <w:rsid w:val="001B5398"/>
    <w:rsid w:val="001C0082"/>
    <w:rsid w:val="001C44E0"/>
    <w:rsid w:val="001D3C5D"/>
    <w:rsid w:val="001D4917"/>
    <w:rsid w:val="001E15EF"/>
    <w:rsid w:val="001E217B"/>
    <w:rsid w:val="001E3F02"/>
    <w:rsid w:val="001E69A7"/>
    <w:rsid w:val="001F15D2"/>
    <w:rsid w:val="002000F3"/>
    <w:rsid w:val="0020040B"/>
    <w:rsid w:val="0020396F"/>
    <w:rsid w:val="002149B0"/>
    <w:rsid w:val="00223F8B"/>
    <w:rsid w:val="0023179B"/>
    <w:rsid w:val="002436A5"/>
    <w:rsid w:val="00250C9A"/>
    <w:rsid w:val="00264C3F"/>
    <w:rsid w:val="002712FB"/>
    <w:rsid w:val="00271A31"/>
    <w:rsid w:val="00272EB0"/>
    <w:rsid w:val="002814D4"/>
    <w:rsid w:val="002833E4"/>
    <w:rsid w:val="00290D43"/>
    <w:rsid w:val="00296E35"/>
    <w:rsid w:val="002A2581"/>
    <w:rsid w:val="002A371A"/>
    <w:rsid w:val="002A6699"/>
    <w:rsid w:val="002B2B5A"/>
    <w:rsid w:val="002B4267"/>
    <w:rsid w:val="002B4DDC"/>
    <w:rsid w:val="002B55D0"/>
    <w:rsid w:val="002C4295"/>
    <w:rsid w:val="002C4FD2"/>
    <w:rsid w:val="002C78ED"/>
    <w:rsid w:val="002D57BF"/>
    <w:rsid w:val="002E2418"/>
    <w:rsid w:val="002E7446"/>
    <w:rsid w:val="002F700C"/>
    <w:rsid w:val="00303CEC"/>
    <w:rsid w:val="00304D8B"/>
    <w:rsid w:val="00304F47"/>
    <w:rsid w:val="00311B2A"/>
    <w:rsid w:val="00312872"/>
    <w:rsid w:val="00314420"/>
    <w:rsid w:val="00315F2D"/>
    <w:rsid w:val="00321FFA"/>
    <w:rsid w:val="003228EF"/>
    <w:rsid w:val="00324DE6"/>
    <w:rsid w:val="0032686F"/>
    <w:rsid w:val="00326C5A"/>
    <w:rsid w:val="0032712D"/>
    <w:rsid w:val="00332F4F"/>
    <w:rsid w:val="003423D9"/>
    <w:rsid w:val="00343636"/>
    <w:rsid w:val="00346D1F"/>
    <w:rsid w:val="0035045E"/>
    <w:rsid w:val="003575D9"/>
    <w:rsid w:val="003614AB"/>
    <w:rsid w:val="00362E4C"/>
    <w:rsid w:val="00371DD3"/>
    <w:rsid w:val="00372C9D"/>
    <w:rsid w:val="003740E6"/>
    <w:rsid w:val="0038655D"/>
    <w:rsid w:val="00397551"/>
    <w:rsid w:val="003A18A2"/>
    <w:rsid w:val="003A4BA4"/>
    <w:rsid w:val="003B14DC"/>
    <w:rsid w:val="003B2172"/>
    <w:rsid w:val="003B720F"/>
    <w:rsid w:val="003D073A"/>
    <w:rsid w:val="003D0DC0"/>
    <w:rsid w:val="003D7ECB"/>
    <w:rsid w:val="003E1076"/>
    <w:rsid w:val="003E71A8"/>
    <w:rsid w:val="003E7B07"/>
    <w:rsid w:val="003F78C2"/>
    <w:rsid w:val="003F7E4E"/>
    <w:rsid w:val="00403D1F"/>
    <w:rsid w:val="00405E01"/>
    <w:rsid w:val="00414531"/>
    <w:rsid w:val="004146E7"/>
    <w:rsid w:val="00416E90"/>
    <w:rsid w:val="00424917"/>
    <w:rsid w:val="004259B5"/>
    <w:rsid w:val="00430A68"/>
    <w:rsid w:val="00435489"/>
    <w:rsid w:val="004365BD"/>
    <w:rsid w:val="004375DB"/>
    <w:rsid w:val="0044242C"/>
    <w:rsid w:val="004434DD"/>
    <w:rsid w:val="00443DFF"/>
    <w:rsid w:val="00447FED"/>
    <w:rsid w:val="004513F3"/>
    <w:rsid w:val="004515AC"/>
    <w:rsid w:val="00451D16"/>
    <w:rsid w:val="004673D5"/>
    <w:rsid w:val="00467614"/>
    <w:rsid w:val="00472A75"/>
    <w:rsid w:val="00482328"/>
    <w:rsid w:val="00486ABF"/>
    <w:rsid w:val="0049292E"/>
    <w:rsid w:val="004A05BC"/>
    <w:rsid w:val="004B02DC"/>
    <w:rsid w:val="004B3250"/>
    <w:rsid w:val="004B37DB"/>
    <w:rsid w:val="004B6B41"/>
    <w:rsid w:val="004B7082"/>
    <w:rsid w:val="004C21B8"/>
    <w:rsid w:val="004C23E4"/>
    <w:rsid w:val="004C29D6"/>
    <w:rsid w:val="004C5447"/>
    <w:rsid w:val="004D2268"/>
    <w:rsid w:val="004F11C8"/>
    <w:rsid w:val="004F181F"/>
    <w:rsid w:val="00514285"/>
    <w:rsid w:val="00520654"/>
    <w:rsid w:val="00520DF8"/>
    <w:rsid w:val="00525978"/>
    <w:rsid w:val="00530258"/>
    <w:rsid w:val="00532D60"/>
    <w:rsid w:val="00541361"/>
    <w:rsid w:val="00544B71"/>
    <w:rsid w:val="00551F7A"/>
    <w:rsid w:val="00554771"/>
    <w:rsid w:val="00554FC6"/>
    <w:rsid w:val="00557B87"/>
    <w:rsid w:val="005601FA"/>
    <w:rsid w:val="005612AA"/>
    <w:rsid w:val="0056561C"/>
    <w:rsid w:val="00566FBF"/>
    <w:rsid w:val="005744F7"/>
    <w:rsid w:val="005753D6"/>
    <w:rsid w:val="00576EE6"/>
    <w:rsid w:val="00580EFC"/>
    <w:rsid w:val="00585A68"/>
    <w:rsid w:val="00594DB8"/>
    <w:rsid w:val="00594E8A"/>
    <w:rsid w:val="005974C6"/>
    <w:rsid w:val="005A2328"/>
    <w:rsid w:val="005B3C16"/>
    <w:rsid w:val="005B57A5"/>
    <w:rsid w:val="005C13A8"/>
    <w:rsid w:val="005C30D4"/>
    <w:rsid w:val="005D222D"/>
    <w:rsid w:val="005D22D2"/>
    <w:rsid w:val="005D2D25"/>
    <w:rsid w:val="005E0C4A"/>
    <w:rsid w:val="005E16C1"/>
    <w:rsid w:val="005E758F"/>
    <w:rsid w:val="005F5CAF"/>
    <w:rsid w:val="00602785"/>
    <w:rsid w:val="00604420"/>
    <w:rsid w:val="00604F46"/>
    <w:rsid w:val="0060604E"/>
    <w:rsid w:val="006075D3"/>
    <w:rsid w:val="0061151B"/>
    <w:rsid w:val="006224AA"/>
    <w:rsid w:val="0062285F"/>
    <w:rsid w:val="00632AC9"/>
    <w:rsid w:val="00632C7A"/>
    <w:rsid w:val="006431F1"/>
    <w:rsid w:val="006442DD"/>
    <w:rsid w:val="00646493"/>
    <w:rsid w:val="0065145A"/>
    <w:rsid w:val="0065238B"/>
    <w:rsid w:val="00654DDA"/>
    <w:rsid w:val="006667CE"/>
    <w:rsid w:val="006703DB"/>
    <w:rsid w:val="00675C19"/>
    <w:rsid w:val="006964D5"/>
    <w:rsid w:val="006A296B"/>
    <w:rsid w:val="006A2995"/>
    <w:rsid w:val="006A32E7"/>
    <w:rsid w:val="006A3C0C"/>
    <w:rsid w:val="006A451F"/>
    <w:rsid w:val="006A7E63"/>
    <w:rsid w:val="006B22D9"/>
    <w:rsid w:val="006B390C"/>
    <w:rsid w:val="006B4132"/>
    <w:rsid w:val="006B62EA"/>
    <w:rsid w:val="006C2367"/>
    <w:rsid w:val="006E2A3E"/>
    <w:rsid w:val="006E3BD1"/>
    <w:rsid w:val="006E59F2"/>
    <w:rsid w:val="006F11DD"/>
    <w:rsid w:val="006F3B01"/>
    <w:rsid w:val="006F4FB4"/>
    <w:rsid w:val="0070668A"/>
    <w:rsid w:val="00707283"/>
    <w:rsid w:val="00711467"/>
    <w:rsid w:val="00722A23"/>
    <w:rsid w:val="007300BB"/>
    <w:rsid w:val="00747117"/>
    <w:rsid w:val="0075178F"/>
    <w:rsid w:val="00752ED0"/>
    <w:rsid w:val="00754305"/>
    <w:rsid w:val="0075442C"/>
    <w:rsid w:val="007554FC"/>
    <w:rsid w:val="00763C0A"/>
    <w:rsid w:val="00763F72"/>
    <w:rsid w:val="00764D22"/>
    <w:rsid w:val="00772CA9"/>
    <w:rsid w:val="00773CAA"/>
    <w:rsid w:val="00776A2B"/>
    <w:rsid w:val="00786D4E"/>
    <w:rsid w:val="00792DB5"/>
    <w:rsid w:val="00797DDA"/>
    <w:rsid w:val="007A2670"/>
    <w:rsid w:val="007A474D"/>
    <w:rsid w:val="007A5D9A"/>
    <w:rsid w:val="007B3DB6"/>
    <w:rsid w:val="007B62C8"/>
    <w:rsid w:val="007C1151"/>
    <w:rsid w:val="007D5A10"/>
    <w:rsid w:val="007F159A"/>
    <w:rsid w:val="007F24B5"/>
    <w:rsid w:val="007F6FA7"/>
    <w:rsid w:val="00804CFC"/>
    <w:rsid w:val="00812D66"/>
    <w:rsid w:val="00814139"/>
    <w:rsid w:val="00815C32"/>
    <w:rsid w:val="00815E3F"/>
    <w:rsid w:val="00822AD7"/>
    <w:rsid w:val="00824BE9"/>
    <w:rsid w:val="00827DDD"/>
    <w:rsid w:val="008421CA"/>
    <w:rsid w:val="008536E7"/>
    <w:rsid w:val="00872CF3"/>
    <w:rsid w:val="008731EF"/>
    <w:rsid w:val="00877B36"/>
    <w:rsid w:val="00883F5C"/>
    <w:rsid w:val="00892459"/>
    <w:rsid w:val="00894AD6"/>
    <w:rsid w:val="00896725"/>
    <w:rsid w:val="008A2F5D"/>
    <w:rsid w:val="008A7E97"/>
    <w:rsid w:val="008C3174"/>
    <w:rsid w:val="008C6B3F"/>
    <w:rsid w:val="008D3FC9"/>
    <w:rsid w:val="008D4FEF"/>
    <w:rsid w:val="008D5709"/>
    <w:rsid w:val="008E1173"/>
    <w:rsid w:val="008E1CFF"/>
    <w:rsid w:val="008E4B50"/>
    <w:rsid w:val="008E59B3"/>
    <w:rsid w:val="00901836"/>
    <w:rsid w:val="00910537"/>
    <w:rsid w:val="0091208A"/>
    <w:rsid w:val="00914617"/>
    <w:rsid w:val="00916F99"/>
    <w:rsid w:val="009202A3"/>
    <w:rsid w:val="0092236A"/>
    <w:rsid w:val="00934177"/>
    <w:rsid w:val="00935EE6"/>
    <w:rsid w:val="00941C14"/>
    <w:rsid w:val="00951E78"/>
    <w:rsid w:val="0096679B"/>
    <w:rsid w:val="00974556"/>
    <w:rsid w:val="00984FE1"/>
    <w:rsid w:val="009915C6"/>
    <w:rsid w:val="009B5A87"/>
    <w:rsid w:val="009C493E"/>
    <w:rsid w:val="009E3D7D"/>
    <w:rsid w:val="009F1B32"/>
    <w:rsid w:val="00A01A03"/>
    <w:rsid w:val="00A052E4"/>
    <w:rsid w:val="00A15D23"/>
    <w:rsid w:val="00A22879"/>
    <w:rsid w:val="00A22DC0"/>
    <w:rsid w:val="00A34053"/>
    <w:rsid w:val="00A343A5"/>
    <w:rsid w:val="00A35E49"/>
    <w:rsid w:val="00A4103A"/>
    <w:rsid w:val="00A44244"/>
    <w:rsid w:val="00A45C58"/>
    <w:rsid w:val="00A5041A"/>
    <w:rsid w:val="00A563DE"/>
    <w:rsid w:val="00A655F6"/>
    <w:rsid w:val="00A66E6C"/>
    <w:rsid w:val="00A771A8"/>
    <w:rsid w:val="00A77B4A"/>
    <w:rsid w:val="00A82625"/>
    <w:rsid w:val="00A8330A"/>
    <w:rsid w:val="00A92A00"/>
    <w:rsid w:val="00A9550D"/>
    <w:rsid w:val="00A95596"/>
    <w:rsid w:val="00A958B9"/>
    <w:rsid w:val="00AA5265"/>
    <w:rsid w:val="00AB113B"/>
    <w:rsid w:val="00AB47C7"/>
    <w:rsid w:val="00AC17BC"/>
    <w:rsid w:val="00AC2FAE"/>
    <w:rsid w:val="00AC3E08"/>
    <w:rsid w:val="00AD0395"/>
    <w:rsid w:val="00AD22CD"/>
    <w:rsid w:val="00AD24E7"/>
    <w:rsid w:val="00AE0736"/>
    <w:rsid w:val="00AF4D32"/>
    <w:rsid w:val="00B00DB1"/>
    <w:rsid w:val="00B04376"/>
    <w:rsid w:val="00B12685"/>
    <w:rsid w:val="00B12D5F"/>
    <w:rsid w:val="00B14AC0"/>
    <w:rsid w:val="00B14DD1"/>
    <w:rsid w:val="00B16885"/>
    <w:rsid w:val="00B22E77"/>
    <w:rsid w:val="00B23CBF"/>
    <w:rsid w:val="00B2483E"/>
    <w:rsid w:val="00B32814"/>
    <w:rsid w:val="00B34855"/>
    <w:rsid w:val="00B35DB8"/>
    <w:rsid w:val="00B40A75"/>
    <w:rsid w:val="00B43F11"/>
    <w:rsid w:val="00B542BC"/>
    <w:rsid w:val="00B575A6"/>
    <w:rsid w:val="00B82DBF"/>
    <w:rsid w:val="00B84D3B"/>
    <w:rsid w:val="00B8589E"/>
    <w:rsid w:val="00B87D91"/>
    <w:rsid w:val="00B92B4E"/>
    <w:rsid w:val="00B96871"/>
    <w:rsid w:val="00BA0F09"/>
    <w:rsid w:val="00BA2B64"/>
    <w:rsid w:val="00BA2DEF"/>
    <w:rsid w:val="00BB1BFF"/>
    <w:rsid w:val="00BB20AA"/>
    <w:rsid w:val="00BB2F7B"/>
    <w:rsid w:val="00BC20CD"/>
    <w:rsid w:val="00BC261F"/>
    <w:rsid w:val="00BC52B9"/>
    <w:rsid w:val="00BD2BBF"/>
    <w:rsid w:val="00BE2625"/>
    <w:rsid w:val="00BF4271"/>
    <w:rsid w:val="00BF4E65"/>
    <w:rsid w:val="00BF520B"/>
    <w:rsid w:val="00C00EE5"/>
    <w:rsid w:val="00C0174F"/>
    <w:rsid w:val="00C07A4A"/>
    <w:rsid w:val="00C118F7"/>
    <w:rsid w:val="00C11C2E"/>
    <w:rsid w:val="00C14F03"/>
    <w:rsid w:val="00C16A85"/>
    <w:rsid w:val="00C17245"/>
    <w:rsid w:val="00C20BB7"/>
    <w:rsid w:val="00C21497"/>
    <w:rsid w:val="00C247D1"/>
    <w:rsid w:val="00C24CAC"/>
    <w:rsid w:val="00C25022"/>
    <w:rsid w:val="00C30A61"/>
    <w:rsid w:val="00C41922"/>
    <w:rsid w:val="00C46848"/>
    <w:rsid w:val="00C46A25"/>
    <w:rsid w:val="00C628EE"/>
    <w:rsid w:val="00C63574"/>
    <w:rsid w:val="00C63C6E"/>
    <w:rsid w:val="00C70A1E"/>
    <w:rsid w:val="00C773D9"/>
    <w:rsid w:val="00C813B5"/>
    <w:rsid w:val="00C81912"/>
    <w:rsid w:val="00C8269A"/>
    <w:rsid w:val="00C847D3"/>
    <w:rsid w:val="00C86254"/>
    <w:rsid w:val="00C872DB"/>
    <w:rsid w:val="00C92A67"/>
    <w:rsid w:val="00CA7361"/>
    <w:rsid w:val="00CB1E9A"/>
    <w:rsid w:val="00CB2361"/>
    <w:rsid w:val="00CB36E5"/>
    <w:rsid w:val="00CC1794"/>
    <w:rsid w:val="00CC6376"/>
    <w:rsid w:val="00CD29C6"/>
    <w:rsid w:val="00CD7055"/>
    <w:rsid w:val="00CD7B9A"/>
    <w:rsid w:val="00CE116A"/>
    <w:rsid w:val="00CE3D92"/>
    <w:rsid w:val="00CF3114"/>
    <w:rsid w:val="00CF334C"/>
    <w:rsid w:val="00D01861"/>
    <w:rsid w:val="00D041E8"/>
    <w:rsid w:val="00D06220"/>
    <w:rsid w:val="00D07D2F"/>
    <w:rsid w:val="00D10660"/>
    <w:rsid w:val="00D118F3"/>
    <w:rsid w:val="00D13BD3"/>
    <w:rsid w:val="00D20783"/>
    <w:rsid w:val="00D267CA"/>
    <w:rsid w:val="00D307FB"/>
    <w:rsid w:val="00D32527"/>
    <w:rsid w:val="00D34943"/>
    <w:rsid w:val="00D47401"/>
    <w:rsid w:val="00D5575A"/>
    <w:rsid w:val="00D6108E"/>
    <w:rsid w:val="00D70C0A"/>
    <w:rsid w:val="00D72DBF"/>
    <w:rsid w:val="00D81587"/>
    <w:rsid w:val="00D86E29"/>
    <w:rsid w:val="00D92C21"/>
    <w:rsid w:val="00DA0B64"/>
    <w:rsid w:val="00DA3F6B"/>
    <w:rsid w:val="00DA7CC3"/>
    <w:rsid w:val="00DB6F4A"/>
    <w:rsid w:val="00DC0AFB"/>
    <w:rsid w:val="00DC10C6"/>
    <w:rsid w:val="00DD0988"/>
    <w:rsid w:val="00DD1728"/>
    <w:rsid w:val="00DD2DC9"/>
    <w:rsid w:val="00DD43AA"/>
    <w:rsid w:val="00DD559E"/>
    <w:rsid w:val="00DE3030"/>
    <w:rsid w:val="00DE5963"/>
    <w:rsid w:val="00DE6320"/>
    <w:rsid w:val="00DE7D28"/>
    <w:rsid w:val="00DF1334"/>
    <w:rsid w:val="00DF293D"/>
    <w:rsid w:val="00DF6ECE"/>
    <w:rsid w:val="00E02910"/>
    <w:rsid w:val="00E039CF"/>
    <w:rsid w:val="00E03DE5"/>
    <w:rsid w:val="00E03E0E"/>
    <w:rsid w:val="00E12EA1"/>
    <w:rsid w:val="00E15D30"/>
    <w:rsid w:val="00E1715C"/>
    <w:rsid w:val="00E21635"/>
    <w:rsid w:val="00E227E2"/>
    <w:rsid w:val="00E26282"/>
    <w:rsid w:val="00E372E4"/>
    <w:rsid w:val="00E4096E"/>
    <w:rsid w:val="00E42E7E"/>
    <w:rsid w:val="00E43C6B"/>
    <w:rsid w:val="00E46D40"/>
    <w:rsid w:val="00E479C1"/>
    <w:rsid w:val="00E505D0"/>
    <w:rsid w:val="00E5787A"/>
    <w:rsid w:val="00E622B4"/>
    <w:rsid w:val="00E66739"/>
    <w:rsid w:val="00E828C2"/>
    <w:rsid w:val="00E82CB9"/>
    <w:rsid w:val="00E93F63"/>
    <w:rsid w:val="00E95B29"/>
    <w:rsid w:val="00EA4072"/>
    <w:rsid w:val="00EA6A14"/>
    <w:rsid w:val="00EC063F"/>
    <w:rsid w:val="00EC0AA0"/>
    <w:rsid w:val="00EC1B92"/>
    <w:rsid w:val="00EC43B2"/>
    <w:rsid w:val="00EC467C"/>
    <w:rsid w:val="00ED07B9"/>
    <w:rsid w:val="00ED15F0"/>
    <w:rsid w:val="00ED26B7"/>
    <w:rsid w:val="00ED5FC0"/>
    <w:rsid w:val="00EE2124"/>
    <w:rsid w:val="00EE50C1"/>
    <w:rsid w:val="00EE5A42"/>
    <w:rsid w:val="00EF0366"/>
    <w:rsid w:val="00EF555A"/>
    <w:rsid w:val="00EF5FB1"/>
    <w:rsid w:val="00EF7138"/>
    <w:rsid w:val="00F018BC"/>
    <w:rsid w:val="00F0317D"/>
    <w:rsid w:val="00F04464"/>
    <w:rsid w:val="00F06200"/>
    <w:rsid w:val="00F124F5"/>
    <w:rsid w:val="00F14D1A"/>
    <w:rsid w:val="00F16373"/>
    <w:rsid w:val="00F22D47"/>
    <w:rsid w:val="00F25BBC"/>
    <w:rsid w:val="00F2627E"/>
    <w:rsid w:val="00F2636E"/>
    <w:rsid w:val="00F30947"/>
    <w:rsid w:val="00F33C2C"/>
    <w:rsid w:val="00F42DA6"/>
    <w:rsid w:val="00F444A4"/>
    <w:rsid w:val="00F503C6"/>
    <w:rsid w:val="00F50C49"/>
    <w:rsid w:val="00F52AF7"/>
    <w:rsid w:val="00F52D69"/>
    <w:rsid w:val="00F538D1"/>
    <w:rsid w:val="00F56BAB"/>
    <w:rsid w:val="00F64976"/>
    <w:rsid w:val="00F649C2"/>
    <w:rsid w:val="00F725BF"/>
    <w:rsid w:val="00F73818"/>
    <w:rsid w:val="00F75A2E"/>
    <w:rsid w:val="00F75F0F"/>
    <w:rsid w:val="00F83E3C"/>
    <w:rsid w:val="00F841C0"/>
    <w:rsid w:val="00F855DB"/>
    <w:rsid w:val="00F95FD0"/>
    <w:rsid w:val="00FB5313"/>
    <w:rsid w:val="00FC27C1"/>
    <w:rsid w:val="00FC4342"/>
    <w:rsid w:val="00FD2C17"/>
    <w:rsid w:val="00FD4279"/>
    <w:rsid w:val="00FF2F9B"/>
    <w:rsid w:val="00FF5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C165"/>
  <w15:docId w15:val="{8D5D23A0-F320-4209-ACD2-165549F0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1B8"/>
    <w:rPr>
      <w:sz w:val="24"/>
      <w:szCs w:val="24"/>
    </w:rPr>
  </w:style>
  <w:style w:type="paragraph" w:styleId="Heading2">
    <w:name w:val="heading 2"/>
    <w:basedOn w:val="Normal"/>
    <w:next w:val="Normal"/>
    <w:link w:val="Heading2Char"/>
    <w:unhideWhenUsed/>
    <w:qFormat/>
    <w:rsid w:val="002B42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13156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uiPriority w:val="99"/>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 w:type="paragraph" w:customStyle="1" w:styleId="cp">
    <w:name w:val="cp"/>
    <w:basedOn w:val="Normal"/>
    <w:rsid w:val="007F159A"/>
    <w:pPr>
      <w:jc w:val="center"/>
    </w:pPr>
    <w:rPr>
      <w:b/>
      <w:bCs/>
    </w:rPr>
  </w:style>
  <w:style w:type="paragraph" w:customStyle="1" w:styleId="rg">
    <w:name w:val="rg"/>
    <w:basedOn w:val="Normal"/>
    <w:rsid w:val="007F159A"/>
    <w:pPr>
      <w:jc w:val="right"/>
    </w:pPr>
  </w:style>
  <w:style w:type="character" w:customStyle="1" w:styleId="Heading2Char">
    <w:name w:val="Heading 2 Char"/>
    <w:basedOn w:val="DefaultParagraphFont"/>
    <w:link w:val="Heading2"/>
    <w:rsid w:val="002B426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B7082"/>
    <w:rPr>
      <w:color w:val="0000FF" w:themeColor="hyperlink"/>
      <w:u w:val="single"/>
    </w:rPr>
  </w:style>
  <w:style w:type="character" w:styleId="CommentReference">
    <w:name w:val="annotation reference"/>
    <w:basedOn w:val="DefaultParagraphFont"/>
    <w:semiHidden/>
    <w:unhideWhenUsed/>
    <w:rsid w:val="00482328"/>
    <w:rPr>
      <w:sz w:val="16"/>
      <w:szCs w:val="16"/>
    </w:rPr>
  </w:style>
  <w:style w:type="paragraph" w:styleId="CommentText">
    <w:name w:val="annotation text"/>
    <w:basedOn w:val="Normal"/>
    <w:link w:val="CommentTextChar"/>
    <w:semiHidden/>
    <w:unhideWhenUsed/>
    <w:rsid w:val="00482328"/>
    <w:rPr>
      <w:sz w:val="20"/>
      <w:szCs w:val="20"/>
    </w:rPr>
  </w:style>
  <w:style w:type="character" w:customStyle="1" w:styleId="CommentTextChar">
    <w:name w:val="Comment Text Char"/>
    <w:basedOn w:val="DefaultParagraphFont"/>
    <w:link w:val="CommentText"/>
    <w:semiHidden/>
    <w:rsid w:val="00482328"/>
  </w:style>
  <w:style w:type="paragraph" w:styleId="CommentSubject">
    <w:name w:val="annotation subject"/>
    <w:basedOn w:val="CommentText"/>
    <w:next w:val="CommentText"/>
    <w:link w:val="CommentSubjectChar"/>
    <w:semiHidden/>
    <w:unhideWhenUsed/>
    <w:rsid w:val="00482328"/>
    <w:rPr>
      <w:b/>
      <w:bCs/>
    </w:rPr>
  </w:style>
  <w:style w:type="character" w:customStyle="1" w:styleId="CommentSubjectChar">
    <w:name w:val="Comment Subject Char"/>
    <w:basedOn w:val="CommentTextChar"/>
    <w:link w:val="CommentSubject"/>
    <w:semiHidden/>
    <w:rsid w:val="00482328"/>
    <w:rPr>
      <w:b/>
      <w:bCs/>
    </w:rPr>
  </w:style>
  <w:style w:type="paragraph" w:styleId="Revision">
    <w:name w:val="Revision"/>
    <w:hidden/>
    <w:uiPriority w:val="99"/>
    <w:semiHidden/>
    <w:rsid w:val="000C611E"/>
    <w:rPr>
      <w:sz w:val="24"/>
      <w:szCs w:val="24"/>
    </w:rPr>
  </w:style>
  <w:style w:type="character" w:customStyle="1" w:styleId="Heading4Char">
    <w:name w:val="Heading 4 Char"/>
    <w:basedOn w:val="DefaultParagraphFont"/>
    <w:link w:val="Heading4"/>
    <w:semiHidden/>
    <w:rsid w:val="0013156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87551">
      <w:bodyDiv w:val="1"/>
      <w:marLeft w:val="0"/>
      <w:marRight w:val="0"/>
      <w:marTop w:val="0"/>
      <w:marBottom w:val="0"/>
      <w:divBdr>
        <w:top w:val="none" w:sz="0" w:space="0" w:color="auto"/>
        <w:left w:val="none" w:sz="0" w:space="0" w:color="auto"/>
        <w:bottom w:val="none" w:sz="0" w:space="0" w:color="auto"/>
        <w:right w:val="none" w:sz="0" w:space="0" w:color="auto"/>
      </w:divBdr>
      <w:divsChild>
        <w:div w:id="1305966808">
          <w:marLeft w:val="0"/>
          <w:marRight w:val="0"/>
          <w:marTop w:val="0"/>
          <w:marBottom w:val="0"/>
          <w:divBdr>
            <w:top w:val="none" w:sz="0" w:space="0" w:color="auto"/>
            <w:left w:val="none" w:sz="0" w:space="0" w:color="auto"/>
            <w:bottom w:val="none" w:sz="0" w:space="0" w:color="auto"/>
            <w:right w:val="none" w:sz="0" w:space="0" w:color="auto"/>
          </w:divBdr>
        </w:div>
        <w:div w:id="1437409288">
          <w:marLeft w:val="0"/>
          <w:marRight w:val="0"/>
          <w:marTop w:val="0"/>
          <w:marBottom w:val="0"/>
          <w:divBdr>
            <w:top w:val="none" w:sz="0" w:space="0" w:color="auto"/>
            <w:left w:val="none" w:sz="0" w:space="0" w:color="auto"/>
            <w:bottom w:val="none" w:sz="0" w:space="0" w:color="auto"/>
            <w:right w:val="none" w:sz="0" w:space="0" w:color="auto"/>
          </w:divBdr>
        </w:div>
        <w:div w:id="1451435171">
          <w:marLeft w:val="0"/>
          <w:marRight w:val="0"/>
          <w:marTop w:val="0"/>
          <w:marBottom w:val="0"/>
          <w:divBdr>
            <w:top w:val="none" w:sz="0" w:space="0" w:color="auto"/>
            <w:left w:val="none" w:sz="0" w:space="0" w:color="auto"/>
            <w:bottom w:val="none" w:sz="0" w:space="0" w:color="auto"/>
            <w:right w:val="none" w:sz="0" w:space="0" w:color="auto"/>
          </w:divBdr>
        </w:div>
      </w:divsChild>
    </w:div>
    <w:div w:id="441534614">
      <w:bodyDiv w:val="1"/>
      <w:marLeft w:val="0"/>
      <w:marRight w:val="0"/>
      <w:marTop w:val="0"/>
      <w:marBottom w:val="0"/>
      <w:divBdr>
        <w:top w:val="none" w:sz="0" w:space="0" w:color="auto"/>
        <w:left w:val="none" w:sz="0" w:space="0" w:color="auto"/>
        <w:bottom w:val="none" w:sz="0" w:space="0" w:color="auto"/>
        <w:right w:val="none" w:sz="0" w:space="0" w:color="auto"/>
      </w:divBdr>
    </w:div>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551886108">
      <w:bodyDiv w:val="1"/>
      <w:marLeft w:val="0"/>
      <w:marRight w:val="0"/>
      <w:marTop w:val="0"/>
      <w:marBottom w:val="0"/>
      <w:divBdr>
        <w:top w:val="none" w:sz="0" w:space="0" w:color="auto"/>
        <w:left w:val="none" w:sz="0" w:space="0" w:color="auto"/>
        <w:bottom w:val="none" w:sz="0" w:space="0" w:color="auto"/>
        <w:right w:val="none" w:sz="0" w:space="0" w:color="auto"/>
      </w:divBdr>
      <w:divsChild>
        <w:div w:id="830561388">
          <w:marLeft w:val="0"/>
          <w:marRight w:val="0"/>
          <w:marTop w:val="0"/>
          <w:marBottom w:val="0"/>
          <w:divBdr>
            <w:top w:val="none" w:sz="0" w:space="0" w:color="auto"/>
            <w:left w:val="none" w:sz="0" w:space="0" w:color="auto"/>
            <w:bottom w:val="none" w:sz="0" w:space="0" w:color="auto"/>
            <w:right w:val="none" w:sz="0" w:space="0" w:color="auto"/>
          </w:divBdr>
        </w:div>
        <w:div w:id="2040666839">
          <w:marLeft w:val="0"/>
          <w:marRight w:val="0"/>
          <w:marTop w:val="0"/>
          <w:marBottom w:val="0"/>
          <w:divBdr>
            <w:top w:val="none" w:sz="0" w:space="0" w:color="auto"/>
            <w:left w:val="none" w:sz="0" w:space="0" w:color="auto"/>
            <w:bottom w:val="none" w:sz="0" w:space="0" w:color="auto"/>
            <w:right w:val="none" w:sz="0" w:space="0" w:color="auto"/>
          </w:divBdr>
        </w:div>
        <w:div w:id="1131634655">
          <w:marLeft w:val="0"/>
          <w:marRight w:val="0"/>
          <w:marTop w:val="0"/>
          <w:marBottom w:val="0"/>
          <w:divBdr>
            <w:top w:val="none" w:sz="0" w:space="0" w:color="auto"/>
            <w:left w:val="none" w:sz="0" w:space="0" w:color="auto"/>
            <w:bottom w:val="none" w:sz="0" w:space="0" w:color="auto"/>
            <w:right w:val="none" w:sz="0" w:space="0" w:color="auto"/>
          </w:divBdr>
        </w:div>
      </w:divsChild>
    </w:div>
    <w:div w:id="1001203905">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348171500">
      <w:bodyDiv w:val="1"/>
      <w:marLeft w:val="0"/>
      <w:marRight w:val="0"/>
      <w:marTop w:val="0"/>
      <w:marBottom w:val="0"/>
      <w:divBdr>
        <w:top w:val="none" w:sz="0" w:space="0" w:color="auto"/>
        <w:left w:val="none" w:sz="0" w:space="0" w:color="auto"/>
        <w:bottom w:val="none" w:sz="0" w:space="0" w:color="auto"/>
        <w:right w:val="none" w:sz="0" w:space="0" w:color="auto"/>
      </w:divBdr>
    </w:div>
    <w:div w:id="1385790129">
      <w:bodyDiv w:val="1"/>
      <w:marLeft w:val="0"/>
      <w:marRight w:val="0"/>
      <w:marTop w:val="0"/>
      <w:marBottom w:val="0"/>
      <w:divBdr>
        <w:top w:val="none" w:sz="0" w:space="0" w:color="auto"/>
        <w:left w:val="none" w:sz="0" w:space="0" w:color="auto"/>
        <w:bottom w:val="none" w:sz="0" w:space="0" w:color="auto"/>
        <w:right w:val="none" w:sz="0" w:space="0" w:color="auto"/>
      </w:divBdr>
    </w:div>
    <w:div w:id="1506241664">
      <w:bodyDiv w:val="1"/>
      <w:marLeft w:val="0"/>
      <w:marRight w:val="0"/>
      <w:marTop w:val="0"/>
      <w:marBottom w:val="0"/>
      <w:divBdr>
        <w:top w:val="none" w:sz="0" w:space="0" w:color="auto"/>
        <w:left w:val="none" w:sz="0" w:space="0" w:color="auto"/>
        <w:bottom w:val="none" w:sz="0" w:space="0" w:color="auto"/>
        <w:right w:val="none" w:sz="0" w:space="0" w:color="auto"/>
      </w:divBdr>
      <w:divsChild>
        <w:div w:id="1608583291">
          <w:marLeft w:val="0"/>
          <w:marRight w:val="0"/>
          <w:marTop w:val="0"/>
          <w:marBottom w:val="0"/>
          <w:divBdr>
            <w:top w:val="none" w:sz="0" w:space="0" w:color="auto"/>
            <w:left w:val="none" w:sz="0" w:space="0" w:color="auto"/>
            <w:bottom w:val="none" w:sz="0" w:space="0" w:color="auto"/>
            <w:right w:val="none" w:sz="0" w:space="0" w:color="auto"/>
          </w:divBdr>
        </w:div>
        <w:div w:id="1469592604">
          <w:marLeft w:val="0"/>
          <w:marRight w:val="0"/>
          <w:marTop w:val="0"/>
          <w:marBottom w:val="0"/>
          <w:divBdr>
            <w:top w:val="none" w:sz="0" w:space="0" w:color="auto"/>
            <w:left w:val="none" w:sz="0" w:space="0" w:color="auto"/>
            <w:bottom w:val="none" w:sz="0" w:space="0" w:color="auto"/>
            <w:right w:val="none" w:sz="0" w:space="0" w:color="auto"/>
          </w:divBdr>
        </w:div>
        <w:div w:id="570968925">
          <w:marLeft w:val="0"/>
          <w:marRight w:val="0"/>
          <w:marTop w:val="0"/>
          <w:marBottom w:val="0"/>
          <w:divBdr>
            <w:top w:val="none" w:sz="0" w:space="0" w:color="auto"/>
            <w:left w:val="none" w:sz="0" w:space="0" w:color="auto"/>
            <w:bottom w:val="none" w:sz="0" w:space="0" w:color="auto"/>
            <w:right w:val="none" w:sz="0" w:space="0" w:color="auto"/>
          </w:divBdr>
        </w:div>
      </w:divsChild>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 w:id="1901362435">
      <w:bodyDiv w:val="1"/>
      <w:marLeft w:val="0"/>
      <w:marRight w:val="0"/>
      <w:marTop w:val="0"/>
      <w:marBottom w:val="0"/>
      <w:divBdr>
        <w:top w:val="none" w:sz="0" w:space="0" w:color="auto"/>
        <w:left w:val="none" w:sz="0" w:space="0" w:color="auto"/>
        <w:bottom w:val="none" w:sz="0" w:space="0" w:color="auto"/>
        <w:right w:val="none" w:sz="0" w:space="0" w:color="auto"/>
      </w:divBdr>
    </w:div>
    <w:div w:id="2059892292">
      <w:bodyDiv w:val="1"/>
      <w:marLeft w:val="0"/>
      <w:marRight w:val="0"/>
      <w:marTop w:val="0"/>
      <w:marBottom w:val="0"/>
      <w:divBdr>
        <w:top w:val="none" w:sz="0" w:space="0" w:color="auto"/>
        <w:left w:val="none" w:sz="0" w:space="0" w:color="auto"/>
        <w:bottom w:val="none" w:sz="0" w:space="0" w:color="auto"/>
        <w:right w:val="none" w:sz="0" w:space="0" w:color="auto"/>
      </w:divBdr>
      <w:divsChild>
        <w:div w:id="196877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844A-21E5-425D-BD7A-043059B2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subject/>
  <dc:creator>corina</dc:creator>
  <cp:keywords/>
  <dc:description/>
  <cp:lastModifiedBy>Vadim Rata</cp:lastModifiedBy>
  <cp:revision>6</cp:revision>
  <cp:lastPrinted>2022-10-28T09:33:00Z</cp:lastPrinted>
  <dcterms:created xsi:type="dcterms:W3CDTF">2024-06-10T12:24:00Z</dcterms:created>
  <dcterms:modified xsi:type="dcterms:W3CDTF">2024-07-03T15:02:00Z</dcterms:modified>
</cp:coreProperties>
</file>