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84"/>
          <w:tab w:val="left" w:leader="none" w:pos="1196"/>
        </w:tabs>
        <w:ind w:left="-284" w:right="-143" w:firstLine="0"/>
        <w:rPr>
          <w:sz w:val="24"/>
          <w:szCs w:val="24"/>
        </w:rPr>
      </w:pPr>
      <w:r w:rsidDel="00000000" w:rsidR="00000000" w:rsidRPr="00000000">
        <w:rPr>
          <w:rtl w:val="0"/>
        </w:rPr>
      </w:r>
    </w:p>
    <w:p w:rsidR="00000000" w:rsidDel="00000000" w:rsidP="00000000" w:rsidRDefault="00000000" w:rsidRPr="00000000" w14:paraId="00000002">
      <w:pPr>
        <w:tabs>
          <w:tab w:val="left" w:leader="none" w:pos="884"/>
          <w:tab w:val="left" w:leader="none" w:pos="1196"/>
        </w:tabs>
        <w:ind w:left="-426" w:right="424" w:firstLine="0"/>
        <w:jc w:val="center"/>
        <w:rPr>
          <w:sz w:val="24"/>
          <w:szCs w:val="24"/>
        </w:rPr>
      </w:pPr>
      <w:r w:rsidDel="00000000" w:rsidR="00000000" w:rsidRPr="00000000">
        <w:rPr>
          <w:b w:val="1"/>
          <w:sz w:val="24"/>
          <w:szCs w:val="24"/>
          <w:rtl w:val="0"/>
        </w:rPr>
        <w:t xml:space="preserve">NOTA DE FUNDAMENTARE</w:t>
      </w:r>
      <w:r w:rsidDel="00000000" w:rsidR="00000000" w:rsidRPr="00000000">
        <w:rPr>
          <w:rtl w:val="0"/>
        </w:rPr>
      </w:r>
    </w:p>
    <w:p w:rsidR="00000000" w:rsidDel="00000000" w:rsidP="00000000" w:rsidRDefault="00000000" w:rsidRPr="00000000" w14:paraId="00000003">
      <w:pPr>
        <w:pBdr>
          <w:bottom w:color="000000" w:space="9" w:sz="12" w:val="single"/>
        </w:pBdr>
        <w:ind w:left="-426" w:right="424" w:hanging="62.99999999999997"/>
        <w:jc w:val="center"/>
        <w:rPr>
          <w:b w:val="1"/>
          <w:color w:val="000000"/>
          <w:sz w:val="24"/>
          <w:szCs w:val="24"/>
        </w:rPr>
      </w:pPr>
      <w:r w:rsidDel="00000000" w:rsidR="00000000" w:rsidRPr="00000000">
        <w:rPr>
          <w:b w:val="1"/>
          <w:sz w:val="24"/>
          <w:szCs w:val="24"/>
          <w:rtl w:val="0"/>
        </w:rPr>
        <w:t xml:space="preserve">la proiectul </w:t>
      </w:r>
      <w:r w:rsidDel="00000000" w:rsidR="00000000" w:rsidRPr="00000000">
        <w:rPr>
          <w:b w:val="1"/>
          <w:color w:val="000000"/>
          <w:sz w:val="24"/>
          <w:szCs w:val="24"/>
          <w:rtl w:val="0"/>
        </w:rPr>
        <w:t xml:space="preserve">Hotărârii de Guvern cu privire la alocarea mijloacelor financiare </w:t>
      </w:r>
      <w:r w:rsidDel="00000000" w:rsidR="00000000" w:rsidRPr="00000000">
        <w:rPr>
          <w:b w:val="1"/>
          <w:sz w:val="24"/>
          <w:szCs w:val="24"/>
          <w:rtl w:val="0"/>
        </w:rPr>
        <w:t xml:space="preserve">(pentru reprezentarea intereselor Republicii Moldova în fața structurilor internaționale sportive</w:t>
      </w:r>
      <w:r w:rsidDel="00000000" w:rsidR="00000000" w:rsidRPr="00000000">
        <w:rPr>
          <w:b w:val="1"/>
          <w:color w:val="000000"/>
          <w:sz w:val="24"/>
          <w:szCs w:val="24"/>
          <w:rtl w:val="0"/>
        </w:rPr>
        <w:t xml:space="preserve">)</w:t>
      </w:r>
    </w:p>
    <w:p w:rsidR="00000000" w:rsidDel="00000000" w:rsidP="00000000" w:rsidRDefault="00000000" w:rsidRPr="00000000" w14:paraId="00000004">
      <w:pPr>
        <w:tabs>
          <w:tab w:val="left" w:leader="none" w:pos="884"/>
          <w:tab w:val="left" w:leader="none" w:pos="1196"/>
        </w:tabs>
        <w:ind w:firstLine="0"/>
        <w:jc w:val="center"/>
        <w:rPr>
          <w:sz w:val="24"/>
          <w:szCs w:val="24"/>
        </w:rPr>
      </w:pPr>
      <w:r w:rsidDel="00000000" w:rsidR="00000000" w:rsidRPr="00000000">
        <w:rPr>
          <w:rtl w:val="0"/>
        </w:rPr>
      </w:r>
    </w:p>
    <w:tbl>
      <w:tblPr>
        <w:tblStyle w:val="Table1"/>
        <w:tblW w:w="863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637"/>
        <w:tblGridChange w:id="0">
          <w:tblGrid>
            <w:gridCol w:w="8637"/>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05">
            <w:pPr>
              <w:ind w:firstLine="58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Denumirea sau numele autorului și, după caz, a/al participanților la elaborarea proiectului actului normativ</w:t>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06">
            <w:pPr>
              <w:ind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Proiectul Hotărârii de Guvern a fost elaborat de către Ministerul Educației și Cercetării</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07">
            <w:pPr>
              <w:ind w:firstLine="58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Condițiile ce au impus elaborarea proiectului actului normativ</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Pr>
          <w:p w:rsidR="00000000" w:rsidDel="00000000" w:rsidP="00000000" w:rsidRDefault="00000000" w:rsidRPr="00000000" w14:paraId="00000008">
            <w:pPr>
              <w:ind w:firstLine="589"/>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2.1.</w:t>
            </w:r>
            <w:r w:rsidDel="00000000" w:rsidR="00000000" w:rsidRPr="00000000">
              <w:rPr>
                <w:rFonts w:ascii="Times New Roman" w:cs="Times New Roman" w:eastAsia="Times New Roman" w:hAnsi="Times New Roman"/>
                <w:i w:val="1"/>
                <w:sz w:val="24"/>
                <w:szCs w:val="24"/>
                <w:rtl w:val="0"/>
              </w:rPr>
              <w:t xml:space="preserve"> Temeiul legal sau, după caz, sursa proiectului actului normativ</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Pr>
          <w:p w:rsidR="00000000" w:rsidDel="00000000" w:rsidP="00000000" w:rsidRDefault="00000000" w:rsidRPr="00000000" w14:paraId="00000009">
            <w:pPr>
              <w:pBdr>
                <w:bottom w:color="000000" w:space="9" w:sz="12" w:val="single"/>
              </w:pBdr>
              <w:shd w:fill="ffffff" w:val="clear"/>
              <w:ind w:right="0" w:firstLine="58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Proiectul Hotărârii de </w:t>
            </w:r>
            <w:r w:rsidDel="00000000" w:rsidR="00000000" w:rsidRPr="00000000">
              <w:rPr>
                <w:rFonts w:ascii="Times New Roman" w:cs="Times New Roman" w:eastAsia="Times New Roman" w:hAnsi="Times New Roman"/>
                <w:sz w:val="24"/>
                <w:szCs w:val="24"/>
                <w:rtl w:val="0"/>
              </w:rPr>
              <w:t xml:space="preserve">Guvern Cu privire la alocarea mijloacelor financiare (pentru reprezentarea intereselor Republicii Moldova în fața structurilor internaționale sportive)</w:t>
            </w:r>
            <w:r w:rsidDel="00000000" w:rsidR="00000000" w:rsidRPr="00000000">
              <w:rPr>
                <w:rFonts w:ascii="Times New Roman" w:cs="Times New Roman" w:eastAsia="Times New Roman" w:hAnsi="Times New Roman"/>
                <w:color w:val="000000"/>
                <w:sz w:val="24"/>
                <w:szCs w:val="24"/>
                <w:rtl w:val="0"/>
              </w:rPr>
              <w:t xml:space="preserve"> a fost elaborat în temeiul art.36 alin. (1) lit. a) din Legea finanțelor publice și responsabilității </w:t>
            </w:r>
            <w:r w:rsidDel="00000000" w:rsidR="00000000" w:rsidRPr="00000000">
              <w:rPr>
                <w:rFonts w:ascii="Times New Roman" w:cs="Times New Roman" w:eastAsia="Times New Roman" w:hAnsi="Times New Roman"/>
                <w:sz w:val="24"/>
                <w:szCs w:val="24"/>
                <w:rtl w:val="0"/>
              </w:rPr>
              <w:t xml:space="preserve">bugetar-fiscale</w:t>
            </w:r>
            <w:r w:rsidDel="00000000" w:rsidR="00000000" w:rsidRPr="00000000">
              <w:rPr>
                <w:rFonts w:ascii="Times New Roman" w:cs="Times New Roman" w:eastAsia="Times New Roman" w:hAnsi="Times New Roman"/>
                <w:color w:val="000000"/>
                <w:sz w:val="24"/>
                <w:szCs w:val="24"/>
                <w:rtl w:val="0"/>
              </w:rPr>
              <w:t xml:space="preserve"> nr.181/2014.</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Pr>
          <w:p w:rsidR="00000000" w:rsidDel="00000000" w:rsidP="00000000" w:rsidRDefault="00000000" w:rsidRPr="00000000" w14:paraId="0000000A">
            <w:pPr>
              <w:ind w:firstLine="589"/>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2.2.</w:t>
            </w:r>
            <w:r w:rsidDel="00000000" w:rsidR="00000000" w:rsidRPr="00000000">
              <w:rPr>
                <w:rFonts w:ascii="Times New Roman" w:cs="Times New Roman" w:eastAsia="Times New Roman" w:hAnsi="Times New Roman"/>
                <w:i w:val="1"/>
                <w:sz w:val="24"/>
                <w:szCs w:val="24"/>
                <w:rtl w:val="0"/>
              </w:rPr>
              <w:t xml:space="preserve"> Descrierea situației actuale și a problemelor care impun intervenția, inclusiv a cadrului normativ aplicabil și a deficiențelor/lacunelor normative</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0B">
            <w:pPr>
              <w:pBdr>
                <w:bottom w:color="000000" w:space="9" w:sz="12" w:val="single"/>
              </w:pBdr>
              <w:shd w:fill="ffffff" w:val="clear"/>
              <w:ind w:right="0" w:firstLine="58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09 august 2024, sportivul Marin Robu a participat la competiția olimpică (Jocurile Olimpice – Paris 2024) la proba sportivă haltere, rezervată categoriei de greutate de până la 89 kg, masculin.</w:t>
            </w:r>
          </w:p>
          <w:p w:rsidR="00000000" w:rsidDel="00000000" w:rsidP="00000000" w:rsidRDefault="00000000" w:rsidRPr="00000000" w14:paraId="0000000C">
            <w:pPr>
              <w:pBdr>
                <w:bottom w:color="000000" w:space="9" w:sz="12" w:val="single"/>
              </w:pBdr>
              <w:shd w:fill="ffffff" w:val="clear"/>
              <w:ind w:right="0" w:firstLine="58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finele competiției sportivul Marin Robu a completat proba aruncat, ridicând 208 kg care s-a sumat cu 175 kg ridicate la proba smuls, obținând un total de 383 kg.</w:t>
            </w:r>
          </w:p>
          <w:p w:rsidR="00000000" w:rsidDel="00000000" w:rsidP="00000000" w:rsidRDefault="00000000" w:rsidRPr="00000000" w14:paraId="0000000D">
            <w:pPr>
              <w:pBdr>
                <w:bottom w:color="000000" w:space="9" w:sz="12" w:val="single"/>
              </w:pBdr>
              <w:shd w:fill="ffffff" w:val="clear"/>
              <w:ind w:right="0" w:firstLine="58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După evaluarea sportivului din Republica Moldova, a fost rândul sportivului Antonio Pizzolato care pentru al depăși pe Marin Robu cu 1 kg în clasamentul final era necesar să ridice 212 kg, de menționat că acesta avea ratate primele 2 încercări la stilul aruncat. </w:t>
            </w:r>
          </w:p>
          <w:p w:rsidR="00000000" w:rsidDel="00000000" w:rsidP="00000000" w:rsidRDefault="00000000" w:rsidRPr="00000000" w14:paraId="0000000E">
            <w:pPr>
              <w:pBdr>
                <w:bottom w:color="000000" w:space="9" w:sz="12" w:val="single"/>
              </w:pBdr>
              <w:shd w:fill="ffffff" w:val="clear"/>
              <w:ind w:right="0" w:firstLine="58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evaluarea sportivului Antonio Pizzolato, de către președintele juriului s-a admis o încălcare a regulamentului tehnic (TCRR) de la IWF, fiind dispusă reevaluarea încercării de ridicare a sportivului din Italia și calificarea acesteia ca fiind „reușită”.</w:t>
            </w:r>
          </w:p>
          <w:p w:rsidR="00000000" w:rsidDel="00000000" w:rsidP="00000000" w:rsidRDefault="00000000" w:rsidRPr="00000000" w14:paraId="0000000F">
            <w:pPr>
              <w:pBdr>
                <w:bottom w:color="000000" w:space="9" w:sz="12" w:val="single"/>
              </w:pBdr>
              <w:shd w:fill="ffffff" w:val="clear"/>
              <w:ind w:right="0" w:firstLine="58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Acest verdict incorect a permis sportivului din Italia sa-1 depășească în clasamentul final pe sportivul Marin ROBU privându-l injust de locul 3 și respectiv de medalia de bronz.</w:t>
            </w:r>
            <w:r w:rsidDel="00000000" w:rsidR="00000000" w:rsidRPr="00000000">
              <w:rPr>
                <w:rtl w:val="0"/>
              </w:rPr>
            </w:r>
          </w:p>
          <w:p w:rsidR="00000000" w:rsidDel="00000000" w:rsidP="00000000" w:rsidRDefault="00000000" w:rsidRPr="00000000" w14:paraId="00000010">
            <w:pPr>
              <w:pBdr>
                <w:bottom w:color="000000" w:space="9" w:sz="12" w:val="single"/>
              </w:pBdr>
              <w:shd w:fill="ffffff" w:val="clear"/>
              <w:ind w:right="0" w:firstLine="58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11 septembrie 2024, în temeiul Hotărârii Guvernului nr.764/2012 cu privire la reprezentarea intereselor statului în instanțele judecătorești și în instituțiile de arbitraj naționale și internaționale a fost emis Ordinul Ministrului justiției nr.264 cu privire la constituirea Comisiei guvernamentale pentru selectarea reprezentanților intereselor Republicii Moldova </w:t>
            </w:r>
            <w:r w:rsidDel="00000000" w:rsidR="00000000" w:rsidRPr="00000000">
              <w:rPr>
                <w:rFonts w:ascii="Times New Roman" w:cs="Times New Roman" w:eastAsia="Times New Roman" w:hAnsi="Times New Roman"/>
                <w:sz w:val="24"/>
                <w:szCs w:val="24"/>
                <w:rtl w:val="0"/>
              </w:rPr>
              <w:t xml:space="preserve">în fața structurilor internaționale sportive, inclusiv Curții de Arbitraj Sportiv din Lausanne, Elveția în legătură cu inițierea procedurilor internaționale de contestare a deciziilor juriului care au condus la declasarea sportivului Marian ROBU la proba Haltere desfășurată la data de 9 august 2024 la Jocurile Olimpice din Paris (Franța)</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1">
            <w:pPr>
              <w:pBdr>
                <w:bottom w:color="000000" w:space="9" w:sz="12" w:val="single"/>
              </w:pBdr>
              <w:shd w:fill="ffffff" w:val="clear"/>
              <w:ind w:right="0"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11 octombrie 2024, Cabinetul Avocatului „Elena Garaz” </w:t>
            </w:r>
            <w:r w:rsidDel="00000000" w:rsidR="00000000" w:rsidRPr="00000000">
              <w:rPr>
                <w:rFonts w:ascii="Times New Roman" w:cs="Times New Roman" w:eastAsia="Times New Roman" w:hAnsi="Times New Roman"/>
                <w:sz w:val="24"/>
                <w:szCs w:val="24"/>
                <w:rtl w:val="0"/>
              </w:rPr>
              <w:t xml:space="preserve">în parteneriat cu S.A „Cavaliero &amp; Associates” (Elveția) a fost desemnat câștigător al concursului de selectare a reprezentanților </w:t>
            </w:r>
            <w:r w:rsidDel="00000000" w:rsidR="00000000" w:rsidRPr="00000000">
              <w:rPr>
                <w:rFonts w:ascii="Times New Roman" w:cs="Times New Roman" w:eastAsia="Times New Roman" w:hAnsi="Times New Roman"/>
                <w:color w:val="000000"/>
                <w:sz w:val="24"/>
                <w:szCs w:val="24"/>
                <w:rtl w:val="0"/>
              </w:rPr>
              <w:t xml:space="preserve">intereselor statului în instanțele judecătorești și în instituțiile de arbitraj naționale și internaționale, </w:t>
            </w:r>
            <w:r w:rsidDel="00000000" w:rsidR="00000000" w:rsidRPr="00000000">
              <w:rPr>
                <w:rFonts w:ascii="Times New Roman" w:cs="Times New Roman" w:eastAsia="Times New Roman" w:hAnsi="Times New Roman"/>
                <w:sz w:val="24"/>
                <w:szCs w:val="24"/>
                <w:rtl w:val="0"/>
              </w:rPr>
              <w:t xml:space="preserve">sportive, inclusiv Curții de Arbitraj Sportiv din Lausanne, Elveția, cu oferta financiară de 41 148,00 euro (echivalentul </w:t>
            </w:r>
            <w:r w:rsidDel="00000000" w:rsidR="00000000" w:rsidRPr="00000000">
              <w:rPr>
                <w:rFonts w:ascii="Times New Roman" w:cs="Times New Roman" w:eastAsia="Times New Roman" w:hAnsi="Times New Roman"/>
                <w:color w:val="000000"/>
                <w:sz w:val="24"/>
                <w:szCs w:val="24"/>
                <w:rtl w:val="0"/>
              </w:rPr>
              <w:t xml:space="preserve">a 796 247, lei la cursul oficial al BNM din 24 </w:t>
            </w:r>
            <w:r w:rsidDel="00000000" w:rsidR="00000000" w:rsidRPr="00000000">
              <w:rPr>
                <w:rFonts w:ascii="Times New Roman" w:cs="Times New Roman" w:eastAsia="Times New Roman" w:hAnsi="Times New Roman"/>
                <w:sz w:val="24"/>
                <w:szCs w:val="24"/>
                <w:rtl w:val="0"/>
              </w:rPr>
              <w:t xml:space="preserve">octombrie</w:t>
            </w:r>
            <w:r w:rsidDel="00000000" w:rsidR="00000000" w:rsidRPr="00000000">
              <w:rPr>
                <w:rFonts w:ascii="Times New Roman" w:cs="Times New Roman" w:eastAsia="Times New Roman" w:hAnsi="Times New Roman"/>
                <w:color w:val="000000"/>
                <w:sz w:val="24"/>
                <w:szCs w:val="24"/>
                <w:rtl w:val="0"/>
              </w:rPr>
              <w:t xml:space="preserve"> 2024 – 19, 3508</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pBdr>
                <w:bottom w:color="000000" w:space="9" w:sz="12" w:val="single"/>
              </w:pBdr>
              <w:shd w:fill="ffffff" w:val="clear"/>
              <w:ind w:right="0"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Totodată, pentru reprezentarea </w:t>
            </w:r>
            <w:r w:rsidDel="00000000" w:rsidR="00000000" w:rsidRPr="00000000">
              <w:rPr>
                <w:rFonts w:ascii="Times New Roman" w:cs="Times New Roman" w:eastAsia="Times New Roman" w:hAnsi="Times New Roman"/>
                <w:color w:val="000000"/>
                <w:sz w:val="24"/>
                <w:szCs w:val="24"/>
                <w:rtl w:val="0"/>
              </w:rPr>
              <w:t xml:space="preserve">intereselor statului în</w:t>
            </w:r>
            <w:r w:rsidDel="00000000" w:rsidR="00000000" w:rsidRPr="00000000">
              <w:rPr>
                <w:rFonts w:ascii="Times New Roman" w:cs="Times New Roman" w:eastAsia="Times New Roman" w:hAnsi="Times New Roman"/>
                <w:sz w:val="24"/>
                <w:szCs w:val="24"/>
                <w:rtl w:val="0"/>
              </w:rPr>
              <w:t xml:space="preserve"> fața Curții de Arbitraj Sportiv din Lausanne, Elveția, este necesară o taxă anticipată în cuantum de 50 000,00 euro (echivalentul a 967 540,00 lei la cursul oficial al BNM din 24 octobrie 2024), inclusiv 1 050 euro, conform articolului R64.1 din Codul Arbitrajului sportiv, pentru depunerea cererii de arbitraj și 48 950,00 euro, conform articolului R64.2 din Codul Arbitrajului sportiv, pentru costurile de arbitraj calculate de Curtea de Arbitraj SPortiv). </w:t>
            </w:r>
          </w:p>
          <w:p w:rsidR="00000000" w:rsidDel="00000000" w:rsidP="00000000" w:rsidRDefault="00000000" w:rsidRPr="00000000" w14:paraId="00000013">
            <w:pPr>
              <w:pBdr>
                <w:bottom w:color="000000" w:space="9" w:sz="12" w:val="single"/>
              </w:pBdr>
              <w:shd w:fill="ffffff" w:val="clear"/>
              <w:ind w:right="0"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Ministerul Educației și Cercetării nu dispune de mijloace financiare pentru acoperirea cheltuielilor de reprezentare a intereselor statului</w:t>
            </w:r>
            <w:r w:rsidDel="00000000" w:rsidR="00000000" w:rsidRPr="00000000">
              <w:rPr>
                <w:rFonts w:ascii="Times New Roman" w:cs="Times New Roman" w:eastAsia="Times New Roman" w:hAnsi="Times New Roman"/>
                <w:color w:val="000000"/>
                <w:sz w:val="24"/>
                <w:szCs w:val="24"/>
                <w:rtl w:val="0"/>
              </w:rPr>
              <w:t xml:space="preserve"> în instanțele judecătorești și în instituțiile de arbitraj naționale și internaționale, </w:t>
            </w:r>
            <w:r w:rsidDel="00000000" w:rsidR="00000000" w:rsidRPr="00000000">
              <w:rPr>
                <w:rFonts w:ascii="Times New Roman" w:cs="Times New Roman" w:eastAsia="Times New Roman" w:hAnsi="Times New Roman"/>
                <w:sz w:val="24"/>
                <w:szCs w:val="24"/>
                <w:rtl w:val="0"/>
              </w:rPr>
              <w:t xml:space="preserve">sportive, inclusiv în fața Curții de Arbitraj Sportiv din Lausanne, Elveția.</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14">
            <w:pPr>
              <w:ind w:firstLine="58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Obiectivele urmărite și soluțiile propuse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2f2f2" w:val="clear"/>
          </w:tcPr>
          <w:p w:rsidR="00000000" w:rsidDel="00000000" w:rsidP="00000000" w:rsidRDefault="00000000" w:rsidRPr="00000000" w14:paraId="00000015">
            <w:pPr>
              <w:ind w:firstLine="589"/>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3.1. Principalele prevederi ale proiectului și evidențierea elementelor noi</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16">
            <w:pPr>
              <w:tabs>
                <w:tab w:val="left" w:leader="none" w:pos="851"/>
                <w:tab w:val="left" w:leader="none" w:pos="1170"/>
              </w:tabs>
              <w:ind w:right="39"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Potrivit proiectului se propune alocarea din fondul de rezervă al Guvernului, mijloace financiare în sumă de 1 800,00 mii lei Ministerului Educației și Cercetării, în scopul reprezentării intereselor Republicii Moldova în fața structurilor internaționale sportive, inclusiv în fața Curții de Arbitraj Sportiv din Lausanne, Elveția în legătură cu inițierea procedurilor internaționale de contestare a deciziilor juriului care au condus la declasarea sportivului Marian ROBU la proba Haltere desfășurată la data de 9 august 2024 la Jocurile Olimpice din Paris (Franța).</w:t>
            </w:r>
          </w:p>
          <w:p w:rsidR="00000000" w:rsidDel="00000000" w:rsidP="00000000" w:rsidRDefault="00000000" w:rsidRPr="00000000" w14:paraId="00000017">
            <w:pPr>
              <w:tabs>
                <w:tab w:val="left" w:leader="none" w:pos="851"/>
                <w:tab w:val="left" w:leader="none" w:pos="1170"/>
              </w:tabs>
              <w:ind w:right="39"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 pct.3 din proiect data intrării în vigoare a proiectului se propune data publicării Hotărârii în Monitorul Oficial al Republicii Moldova.</w:t>
            </w:r>
          </w:p>
          <w:p w:rsidR="00000000" w:rsidDel="00000000" w:rsidP="00000000" w:rsidRDefault="00000000" w:rsidRPr="00000000" w14:paraId="00000018">
            <w:pPr>
              <w:ind w:right="39" w:firstLine="5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Intrarea în vigoare a proiectului Hotărârii de Guvern la data publicării Hotărârii în Monitorul Oficial al Republicii Moldova este dictată de necesitatea încheierii contractului de reprezentare a intereselor Republicii Moldova în fața structurilor internaționale sportive, inclusiv Curții de Arbitraj Sportiv din Lausanne, Elveția.</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2f2f2" w:val="clear"/>
          </w:tcPr>
          <w:p w:rsidR="00000000" w:rsidDel="00000000" w:rsidP="00000000" w:rsidRDefault="00000000" w:rsidRPr="00000000" w14:paraId="00000019">
            <w:pPr>
              <w:ind w:firstLine="589"/>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3.2. Opțiunile alternative analizate și motivele pentru care acestea nu au fost luate în considerare</w:t>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1A">
            <w:pPr>
              <w:ind w:firstLine="58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p>
        </w:tc>
      </w:tr>
      <w:tr>
        <w:trPr>
          <w:cantSplit w:val="0"/>
          <w:trHeight w:val="381" w:hRule="atLeast"/>
          <w:tblHeader w:val="0"/>
        </w:trPr>
        <w:tc>
          <w:tcPr>
            <w:tcBorders>
              <w:top w:color="000000" w:space="0" w:sz="0" w:val="nil"/>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1B">
            <w:pPr>
              <w:ind w:firstLine="58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Analiza impactului de reglementare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Pr>
          <w:p w:rsidR="00000000" w:rsidDel="00000000" w:rsidP="00000000" w:rsidRDefault="00000000" w:rsidRPr="00000000" w14:paraId="0000001C">
            <w:pPr>
              <w:ind w:firstLine="589"/>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4.1. Impactul asupra sectorului public</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1D">
            <w:pPr>
              <w:ind w:firstLine="589"/>
              <w:rPr>
                <w:rFonts w:ascii="Times New Roman" w:cs="Times New Roman" w:eastAsia="Times New Roman" w:hAnsi="Times New Roman"/>
                <w:color w:val="5b9bd5"/>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Pr>
          <w:p w:rsidR="00000000" w:rsidDel="00000000" w:rsidP="00000000" w:rsidRDefault="00000000" w:rsidRPr="00000000" w14:paraId="0000001E">
            <w:pPr>
              <w:ind w:firstLine="589"/>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4.2. Impactul financiar și argumentarea costurilor estimative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1F">
            <w:pPr>
              <w:ind w:firstLine="55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Implementarea prevederilor proiectului necesită cheltuieli financiare suplimentare din fondul de rezervă al Guvernului, în mărime de 1 800 000,00 (un milion opt sute mii,00) lei.</w:t>
            </w:r>
          </w:p>
          <w:p w:rsidR="00000000" w:rsidDel="00000000" w:rsidP="00000000" w:rsidRDefault="00000000" w:rsidRPr="00000000" w14:paraId="00000020">
            <w:pPr>
              <w:ind w:firstLine="55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Mijloacele financiare care urmează a fi alocate din Fondul de rezervă al Guvernului sunt necesare pentru acoperirea:</w:t>
            </w:r>
          </w:p>
          <w:p w:rsidR="00000000" w:rsidDel="00000000" w:rsidP="00000000" w:rsidRDefault="00000000" w:rsidRPr="00000000" w14:paraId="00000021">
            <w:pPr>
              <w:ind w:firstLine="55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1 050,00 euro</w:t>
            </w:r>
            <w:r w:rsidDel="00000000" w:rsidR="00000000" w:rsidRPr="00000000">
              <w:rPr>
                <w:rFonts w:ascii="Times New Roman" w:cs="Times New Roman" w:eastAsia="Times New Roman" w:hAnsi="Times New Roman"/>
                <w:color w:val="000000"/>
                <w:sz w:val="24"/>
                <w:szCs w:val="24"/>
                <w:rtl w:val="0"/>
              </w:rPr>
              <w:t xml:space="preserve"> - taxa de depunere a cererii la Curtea </w:t>
            </w:r>
            <w:r w:rsidDel="00000000" w:rsidR="00000000" w:rsidRPr="00000000">
              <w:rPr>
                <w:rFonts w:ascii="Times New Roman" w:cs="Times New Roman" w:eastAsia="Times New Roman" w:hAnsi="Times New Roman"/>
                <w:sz w:val="24"/>
                <w:szCs w:val="24"/>
                <w:rtl w:val="0"/>
              </w:rPr>
              <w:t xml:space="preserve">de Arbitraj Sportiv din Lausanne, Elveția;</w:t>
            </w:r>
            <w:r w:rsidDel="00000000" w:rsidR="00000000" w:rsidRPr="00000000">
              <w:rPr>
                <w:rtl w:val="0"/>
              </w:rPr>
            </w:r>
          </w:p>
          <w:p w:rsidR="00000000" w:rsidDel="00000000" w:rsidP="00000000" w:rsidRDefault="00000000" w:rsidRPr="00000000" w14:paraId="00000022">
            <w:pPr>
              <w:ind w:firstLine="55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48 950,00 euro - costurile de arbitraj calculate de Curtea de Arbitraj Sportiv (cum ar fi onorariile arbitrilor, costurile administrative, cheltuielile pentru audieri, numirea experților de către Curtea de Arbitraj Sportiv etc.);</w:t>
            </w:r>
          </w:p>
          <w:p w:rsidR="00000000" w:rsidDel="00000000" w:rsidP="00000000" w:rsidRDefault="00000000" w:rsidRPr="00000000" w14:paraId="00000023">
            <w:pPr>
              <w:ind w:firstLine="55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41 148,00 euro - cheltuielile pentru reprezentarea de către Cabinetul Avocatului „Elena Garaz” </w:t>
            </w:r>
            <w:r w:rsidDel="00000000" w:rsidR="00000000" w:rsidRPr="00000000">
              <w:rPr>
                <w:rFonts w:ascii="Times New Roman" w:cs="Times New Roman" w:eastAsia="Times New Roman" w:hAnsi="Times New Roman"/>
                <w:sz w:val="24"/>
                <w:szCs w:val="24"/>
                <w:rtl w:val="0"/>
              </w:rPr>
              <w:t xml:space="preserve">în parteneriat cu S.A „Cavaliero &amp; Associates” (Elveția)</w:t>
            </w:r>
            <w:r w:rsidDel="00000000" w:rsidR="00000000" w:rsidRPr="00000000">
              <w:rPr>
                <w:rFonts w:ascii="Times New Roman" w:cs="Times New Roman" w:eastAsia="Times New Roman" w:hAnsi="Times New Roman"/>
                <w:color w:val="000000"/>
                <w:sz w:val="24"/>
                <w:szCs w:val="24"/>
                <w:rtl w:val="0"/>
              </w:rPr>
              <w:t xml:space="preserve"> a intereselor statului </w:t>
            </w:r>
            <w:r w:rsidDel="00000000" w:rsidR="00000000" w:rsidRPr="00000000">
              <w:rPr>
                <w:rFonts w:ascii="Times New Roman" w:cs="Times New Roman" w:eastAsia="Times New Roman" w:hAnsi="Times New Roman"/>
                <w:sz w:val="24"/>
                <w:szCs w:val="24"/>
                <w:rtl w:val="0"/>
              </w:rPr>
              <w:t xml:space="preserve">în fața structurilor internaționale sportive, inclusiv în fața Curții de Arbitraj Sportiv din Lausanne, Elveția în legătură cu inițierea procedurilor internaționale de contestare a deciziilor juriului care au condus la declasarea sportivului Marian ROBU la proba Haltere desfășurată la data de 9 august 2024 la Jocurile Olimpice din Paris (Franța)</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24">
            <w:pPr>
              <w:ind w:firstLine="55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Astfel, în total sunt necesare 91 148,00 euro (echivalentul a 1 763 786,72 bani) </w:t>
            </w:r>
            <w:r w:rsidDel="00000000" w:rsidR="00000000" w:rsidRPr="00000000">
              <w:rPr>
                <w:rFonts w:ascii="Times New Roman" w:cs="Times New Roman" w:eastAsia="Times New Roman" w:hAnsi="Times New Roman"/>
                <w:sz w:val="24"/>
                <w:szCs w:val="24"/>
                <w:rtl w:val="0"/>
              </w:rPr>
              <w:t xml:space="preserve">lei la cursul oficial al BNM din 24 octombrie 2024</w:t>
            </w:r>
            <w:r w:rsidDel="00000000" w:rsidR="00000000" w:rsidRPr="00000000">
              <w:rPr>
                <w:rFonts w:ascii="Times New Roman" w:cs="Times New Roman" w:eastAsia="Times New Roman" w:hAnsi="Times New Roman"/>
                <w:color w:val="000000"/>
                <w:sz w:val="24"/>
                <w:szCs w:val="24"/>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25">
            <w:pPr>
              <w:ind w:firstLine="589"/>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4.3. Impactul asupra sectorului privat</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26">
            <w:pPr>
              <w:ind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27">
            <w:pPr>
              <w:ind w:firstLine="589"/>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4.4. Impactul social</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28">
            <w:pPr>
              <w:ind w:firstLine="58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Proiectul hotărârii de Guvern va avea un impact pozitiv asupra sectorului sportiv, fiind reflectată susținerea din partea statului a sportivilor care reprezintă Republica Moldova la jocurile olimpice.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Pr>
          <w:p w:rsidR="00000000" w:rsidDel="00000000" w:rsidP="00000000" w:rsidRDefault="00000000" w:rsidRPr="00000000" w14:paraId="00000029">
            <w:pPr>
              <w:ind w:firstLine="589"/>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4.4.1. Impactul asupra datelor cu caracter personal</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2A">
            <w:pPr>
              <w:ind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Pr>
          <w:p w:rsidR="00000000" w:rsidDel="00000000" w:rsidP="00000000" w:rsidRDefault="00000000" w:rsidRPr="00000000" w14:paraId="0000002B">
            <w:pPr>
              <w:ind w:firstLine="589"/>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4.4.2. Impactul asupra echității și egalității de gen</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2C">
            <w:pPr>
              <w:ind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Pr>
          <w:p w:rsidR="00000000" w:rsidDel="00000000" w:rsidP="00000000" w:rsidRDefault="00000000" w:rsidRPr="00000000" w14:paraId="0000002D">
            <w:pPr>
              <w:ind w:firstLine="589"/>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4.5. Impactul asupra mediului</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2E">
            <w:pPr>
              <w:ind w:firstLine="58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Pr>
          <w:p w:rsidR="00000000" w:rsidDel="00000000" w:rsidP="00000000" w:rsidRDefault="00000000" w:rsidRPr="00000000" w14:paraId="0000002F">
            <w:pPr>
              <w:ind w:firstLine="589"/>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4.6. Alte impacturi și informații relevante</w:t>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30">
            <w:pPr>
              <w:ind w:firstLine="58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31">
            <w:pPr>
              <w:ind w:firstLine="58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Compatibilitatea proiectului actului normativ cu legislația UE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Pr>
          <w:p w:rsidR="00000000" w:rsidDel="00000000" w:rsidP="00000000" w:rsidRDefault="00000000" w:rsidRPr="00000000" w14:paraId="00000032">
            <w:pPr>
              <w:ind w:firstLine="589"/>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5.1. Măsuri normative necesare pentru transpunerea actelor juridice ale UE în legislația națională</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33">
            <w:pPr>
              <w:ind w:firstLine="58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Pr>
          <w:p w:rsidR="00000000" w:rsidDel="00000000" w:rsidP="00000000" w:rsidRDefault="00000000" w:rsidRPr="00000000" w14:paraId="00000034">
            <w:pPr>
              <w:ind w:firstLine="589"/>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5.2. Măsuri normative care urmăresc crearea cadrului juridic intern necesar pentru implementarea legislației UE</w:t>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35">
            <w:pPr>
              <w:ind w:firstLine="58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36">
            <w:pPr>
              <w:ind w:firstLine="58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Avizarea și consultarea publică a proiectului actului normativ</w:t>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37">
            <w:pPr>
              <w:ind w:firstLine="55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În scopul respectării prevederilor Legii nr.239/2008 privind transparența în procesul decizional, anunțul de inițiere a elaborării proiectului Hotărârii de Guvern a fost plasat pe pagina web oficială a Ministerului Educației și Cercetării </w:t>
            </w:r>
            <w:hyperlink r:id="rId7">
              <w:r w:rsidDel="00000000" w:rsidR="00000000" w:rsidRPr="00000000">
                <w:rPr>
                  <w:rFonts w:ascii="Times New Roman" w:cs="Times New Roman" w:eastAsia="Times New Roman" w:hAnsi="Times New Roman"/>
                  <w:color w:val="0563c1"/>
                  <w:sz w:val="24"/>
                  <w:szCs w:val="24"/>
                  <w:u w:val="single"/>
                  <w:rtl w:val="0"/>
                </w:rPr>
                <w:t xml:space="preserve">www.mec.gov.md</w:t>
              </w:r>
            </w:hyperlink>
            <w:r w:rsidDel="00000000" w:rsidR="00000000" w:rsidRPr="00000000">
              <w:rPr>
                <w:rFonts w:ascii="Times New Roman" w:cs="Times New Roman" w:eastAsia="Times New Roman" w:hAnsi="Times New Roman"/>
                <w:color w:val="0563c1"/>
                <w:sz w:val="24"/>
                <w:szCs w:val="24"/>
                <w:u w:val="single"/>
                <w:rtl w:val="0"/>
              </w:rPr>
              <w:t xml:space="preserve">(https://mec.gov.md/ro/content/modul-de-participare)</w:t>
            </w:r>
            <w:r w:rsidDel="00000000" w:rsidR="00000000" w:rsidRPr="00000000">
              <w:rPr>
                <w:rFonts w:ascii="Times New Roman" w:cs="Times New Roman" w:eastAsia="Times New Roman" w:hAnsi="Times New Roman"/>
                <w:color w:val="000000"/>
                <w:sz w:val="24"/>
                <w:szCs w:val="24"/>
                <w:rtl w:val="0"/>
              </w:rPr>
              <w:t xml:space="preserve">, compartimentul Transparența decizională, precum și pe pagina web </w:t>
            </w:r>
            <w:hyperlink r:id="rId8">
              <w:r w:rsidDel="00000000" w:rsidR="00000000" w:rsidRPr="00000000">
                <w:rPr>
                  <w:rFonts w:ascii="Times New Roman" w:cs="Times New Roman" w:eastAsia="Times New Roman" w:hAnsi="Times New Roman"/>
                  <w:color w:val="0563c1"/>
                  <w:sz w:val="24"/>
                  <w:szCs w:val="24"/>
                  <w:u w:val="single"/>
                  <w:rtl w:val="0"/>
                </w:rPr>
                <w:t xml:space="preserve">www.particip.gov.md</w:t>
              </w:r>
            </w:hyperlink>
            <w:r w:rsidDel="00000000" w:rsidR="00000000" w:rsidRPr="00000000">
              <w:rPr>
                <w:rFonts w:ascii="Times New Roman" w:cs="Times New Roman" w:eastAsia="Times New Roman" w:hAnsi="Times New Roman"/>
                <w:color w:val="0563c1"/>
                <w:sz w:val="24"/>
                <w:szCs w:val="24"/>
                <w:u w:val="single"/>
                <w:rtl w:val="0"/>
              </w:rPr>
              <w:t xml:space="preserve"> (https://particip.gov.md/ro/document/stages/*/13389)</w:t>
            </w:r>
            <w:r w:rsidDel="00000000" w:rsidR="00000000" w:rsidRPr="00000000">
              <w:rPr>
                <w:rtl w:val="0"/>
              </w:rPr>
            </w:r>
          </w:p>
          <w:p w:rsidR="00000000" w:rsidDel="00000000" w:rsidP="00000000" w:rsidRDefault="00000000" w:rsidRPr="00000000" w14:paraId="00000038">
            <w:pPr>
              <w:ind w:firstLine="55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Proiectul urmează a fi avizat la Ministerul Finanțelor.</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39">
            <w:pPr>
              <w:ind w:firstLine="58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Concluziile expertizelor</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3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a fost supus expertizei juridice și anticorupție, în conformitate cu prevederile cadrului normativ în domeniu.  </w:t>
            </w:r>
          </w:p>
          <w:p w:rsidR="00000000" w:rsidDel="00000000" w:rsidP="00000000" w:rsidRDefault="00000000" w:rsidRPr="00000000" w14:paraId="0000003B">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Expertiza anticorupție (Raport de expertiză nr. EHG24/10074 din 30.10.2024) - în procesul de promovare a proiectului au fost respectate regulile de asigurare a transparenței decizionale. Proiectul urmărește promovarea interesului public. </w:t>
            </w:r>
          </w:p>
          <w:p w:rsidR="00000000" w:rsidDel="00000000" w:rsidP="00000000" w:rsidRDefault="00000000" w:rsidRPr="00000000" w14:paraId="0000003C">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Expertiza juridică (scrisoare nr.04/1-9581 din 30.10.2024) - lipsa obiecțiilor de ordin conceptual. Relevă necesitatea modificării denumirii proiectului, în conformitate cu rigorile de tehnică legislativă. Denumirea proiectului a fost modificată.</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3D">
            <w:pPr>
              <w:ind w:firstLine="58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Modul de încorporare a actului în cadrul normativ existent</w:t>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3E">
            <w:pPr>
              <w:ind w:firstLine="58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3F">
            <w:pPr>
              <w:ind w:firstLine="58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Măsurile necesare pentru implementarea prevederilor proiectului actului normativ</w:t>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40">
            <w:pPr>
              <w:ind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implementarea prevederilor proiectului actului normativ vor fi necesare următoarele măsuri:</w:t>
            </w:r>
          </w:p>
          <w:p w:rsidR="00000000" w:rsidDel="00000000" w:rsidP="00000000" w:rsidRDefault="00000000" w:rsidRPr="00000000" w14:paraId="00000041">
            <w:pPr>
              <w:ind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alocarea Ministerului Educației și Cercetării a mijloacelor financiare prevăzute în Hotărâre;</w:t>
            </w:r>
          </w:p>
          <w:p w:rsidR="00000000" w:rsidDel="00000000" w:rsidP="00000000" w:rsidRDefault="00000000" w:rsidRPr="00000000" w14:paraId="00000042">
            <w:pPr>
              <w:ind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transferarea mijloacelor financiare către Cabinetul de Avocat desemnat câștigător al concursului de selectare a reprezentanților </w:t>
            </w:r>
            <w:r w:rsidDel="00000000" w:rsidR="00000000" w:rsidRPr="00000000">
              <w:rPr>
                <w:rFonts w:ascii="Times New Roman" w:cs="Times New Roman" w:eastAsia="Times New Roman" w:hAnsi="Times New Roman"/>
                <w:color w:val="000000"/>
                <w:sz w:val="24"/>
                <w:szCs w:val="24"/>
                <w:rtl w:val="0"/>
              </w:rPr>
              <w:t xml:space="preserve">intereselor statului în instanțele judecătorești și în instituțiile de arbitraj naționale și internaționale, </w:t>
            </w:r>
            <w:r w:rsidDel="00000000" w:rsidR="00000000" w:rsidRPr="00000000">
              <w:rPr>
                <w:rFonts w:ascii="Times New Roman" w:cs="Times New Roman" w:eastAsia="Times New Roman" w:hAnsi="Times New Roman"/>
                <w:sz w:val="24"/>
                <w:szCs w:val="24"/>
                <w:rtl w:val="0"/>
              </w:rPr>
              <w:t xml:space="preserve">sportive, inclusiv Curții de Arbitraj Sportiv din Lausanne, Elveția.</w:t>
            </w:r>
          </w:p>
        </w:tc>
      </w:tr>
    </w:tbl>
    <w:p w:rsidR="00000000" w:rsidDel="00000000" w:rsidP="00000000" w:rsidRDefault="00000000" w:rsidRPr="00000000" w14:paraId="00000043">
      <w:pPr>
        <w:tabs>
          <w:tab w:val="left" w:leader="none" w:pos="884"/>
          <w:tab w:val="left" w:leader="none" w:pos="1196"/>
        </w:tabs>
        <w:rPr>
          <w:b w:val="1"/>
          <w:i w:val="1"/>
          <w:sz w:val="24"/>
          <w:szCs w:val="24"/>
        </w:rPr>
      </w:pPr>
      <w:r w:rsidDel="00000000" w:rsidR="00000000" w:rsidRPr="00000000">
        <w:rPr>
          <w:rtl w:val="0"/>
        </w:rPr>
      </w:r>
    </w:p>
    <w:p w:rsidR="00000000" w:rsidDel="00000000" w:rsidP="00000000" w:rsidRDefault="00000000" w:rsidRPr="00000000" w14:paraId="00000044">
      <w:pPr>
        <w:tabs>
          <w:tab w:val="left" w:leader="none" w:pos="884"/>
          <w:tab w:val="left" w:leader="none" w:pos="1196"/>
        </w:tabs>
        <w:ind w:firstLine="0"/>
        <w:rPr>
          <w:b w:val="1"/>
          <w:i w:val="1"/>
          <w:sz w:val="24"/>
          <w:szCs w:val="24"/>
        </w:rPr>
      </w:pPr>
      <w:r w:rsidDel="00000000" w:rsidR="00000000" w:rsidRPr="00000000">
        <w:rPr>
          <w:rtl w:val="0"/>
        </w:rPr>
      </w:r>
    </w:p>
    <w:p w:rsidR="00000000" w:rsidDel="00000000" w:rsidP="00000000" w:rsidRDefault="00000000" w:rsidRPr="00000000" w14:paraId="00000045">
      <w:pPr>
        <w:tabs>
          <w:tab w:val="left" w:leader="none" w:pos="884"/>
          <w:tab w:val="left" w:leader="none" w:pos="1196"/>
        </w:tabs>
        <w:ind w:firstLine="0"/>
        <w:rPr>
          <w:b w:val="1"/>
          <w:i w:val="1"/>
          <w:sz w:val="24"/>
          <w:szCs w:val="24"/>
        </w:rPr>
      </w:pPr>
      <w:r w:rsidDel="00000000" w:rsidR="00000000" w:rsidRPr="00000000">
        <w:rPr>
          <w:rtl w:val="0"/>
        </w:rPr>
      </w:r>
    </w:p>
    <w:p w:rsidR="00000000" w:rsidDel="00000000" w:rsidP="00000000" w:rsidRDefault="00000000" w:rsidRPr="00000000" w14:paraId="00000046">
      <w:pPr>
        <w:tabs>
          <w:tab w:val="left" w:leader="none" w:pos="884"/>
          <w:tab w:val="left" w:leader="none" w:pos="1196"/>
        </w:tabs>
        <w:ind w:right="708" w:firstLine="0"/>
        <w:jc w:val="center"/>
        <w:rPr>
          <w:b w:val="1"/>
          <w:sz w:val="24"/>
          <w:szCs w:val="24"/>
        </w:rPr>
      </w:pPr>
      <w:r w:rsidDel="00000000" w:rsidR="00000000" w:rsidRPr="00000000">
        <w:rPr>
          <w:b w:val="1"/>
          <w:sz w:val="24"/>
          <w:szCs w:val="24"/>
          <w:rtl w:val="0"/>
        </w:rPr>
        <w:t xml:space="preserve">Ministru</w:t>
        <w:tab/>
        <w:tab/>
        <w:tab/>
        <w:tab/>
        <w:t xml:space="preserve">Dan PERCIUN</w:t>
      </w:r>
    </w:p>
    <w:p w:rsidR="00000000" w:rsidDel="00000000" w:rsidP="00000000" w:rsidRDefault="00000000" w:rsidRPr="00000000" w14:paraId="00000047">
      <w:pPr>
        <w:tabs>
          <w:tab w:val="left" w:leader="none" w:pos="1152"/>
        </w:tabs>
        <w:ind w:left="0" w:right="424" w:firstLine="0"/>
        <w:rPr>
          <w:sz w:val="24"/>
          <w:szCs w:val="24"/>
        </w:rPr>
      </w:pPr>
      <w:r w:rsidDel="00000000" w:rsidR="00000000" w:rsidRPr="00000000">
        <w:rPr>
          <w:rtl w:val="0"/>
        </w:rPr>
      </w:r>
    </w:p>
    <w:p w:rsidR="00000000" w:rsidDel="00000000" w:rsidP="00000000" w:rsidRDefault="00000000" w:rsidRPr="00000000" w14:paraId="00000048">
      <w:pPr>
        <w:ind w:right="424" w:firstLine="0"/>
        <w:rPr/>
      </w:pPr>
      <w:r w:rsidDel="00000000" w:rsidR="00000000" w:rsidRPr="00000000">
        <w:rPr>
          <w:rtl w:val="0"/>
        </w:rPr>
      </w:r>
    </w:p>
    <w:p w:rsidR="00000000" w:rsidDel="00000000" w:rsidP="00000000" w:rsidRDefault="00000000" w:rsidRPr="00000000" w14:paraId="00000049">
      <w:pPr>
        <w:ind w:right="424" w:firstLine="0"/>
        <w:rPr/>
      </w:pPr>
      <w:bookmarkStart w:colFirst="0" w:colLast="0" w:name="_heading=h.gjdgxs" w:id="0"/>
      <w:bookmarkEnd w:id="0"/>
      <w:r w:rsidDel="00000000" w:rsidR="00000000" w:rsidRPr="00000000">
        <w:rPr>
          <w:rtl w:val="0"/>
        </w:rPr>
      </w:r>
    </w:p>
    <w:p w:rsidR="00000000" w:rsidDel="00000000" w:rsidP="00000000" w:rsidRDefault="00000000" w:rsidRPr="00000000" w14:paraId="0000004A">
      <w:pPr>
        <w:ind w:firstLine="0"/>
        <w:rPr/>
      </w:pPr>
      <w:r w:rsidDel="00000000" w:rsidR="00000000" w:rsidRPr="00000000">
        <w:rPr>
          <w:rtl w:val="0"/>
        </w:rPr>
        <w:t xml:space="preserve">Ex. Vasile Secrieru, consultant juridic </w:t>
      </w:r>
    </w:p>
    <w:p w:rsidR="00000000" w:rsidDel="00000000" w:rsidP="00000000" w:rsidRDefault="00000000" w:rsidRPr="00000000" w14:paraId="0000004B">
      <w:pPr>
        <w:ind w:firstLine="0"/>
        <w:rPr/>
      </w:pPr>
      <w:r w:rsidDel="00000000" w:rsidR="00000000" w:rsidRPr="00000000">
        <w:rPr>
          <w:rtl w:val="0"/>
        </w:rPr>
        <w:t xml:space="preserve">Tel. 068269785</w:t>
      </w:r>
    </w:p>
    <w:sectPr>
      <w:footerReference r:id="rId9" w:type="default"/>
      <w:pgSz w:h="16838" w:w="11906" w:orient="portrait"/>
      <w:pgMar w:bottom="1135" w:top="1134" w:left="1701" w:right="850" w:header="708" w:footer="4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709"/>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Pagina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o-MD"/>
      </w:rPr>
    </w:rPrDefault>
    <w:pPrDefault>
      <w:pPr>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5E7C50"/>
    <w:pPr>
      <w:spacing w:after="0" w:line="240" w:lineRule="auto"/>
      <w:ind w:firstLine="709"/>
      <w:jc w:val="both"/>
    </w:pPr>
    <w:rPr>
      <w:rFonts w:ascii="Times New Roman" w:cs="Times New Roman" w:eastAsia="Times New Roman" w:hAnsi="Times New Roman"/>
      <w:sz w:val="20"/>
      <w:szCs w:val="20"/>
      <w:lang w:val="en-US"/>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semiHidden w:val="1"/>
    <w:unhideWhenUsed w:val="1"/>
    <w:rsid w:val="005E7C50"/>
    <w:rPr>
      <w:color w:val="0563c1" w:themeColor="hyperlink"/>
      <w:u w:val="single"/>
    </w:rPr>
  </w:style>
  <w:style w:type="table" w:styleId="a4">
    <w:name w:val="Table Grid"/>
    <w:basedOn w:val="a1"/>
    <w:uiPriority w:val="39"/>
    <w:rsid w:val="005E7C50"/>
    <w:pPr>
      <w:spacing w:after="0" w:line="240" w:lineRule="auto"/>
      <w:ind w:firstLine="709"/>
      <w:jc w:val="both"/>
    </w:pPr>
    <w:rPr>
      <w:rFonts w:ascii="Calibri" w:cs="Times New Roman" w:eastAsia="Calibri" w:hAnsi="Calibri"/>
      <w:sz w:val="20"/>
      <w:szCs w:val="20"/>
      <w:lang w:val="en-US"/>
    </w:rPr>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a5">
    <w:name w:val="footer"/>
    <w:basedOn w:val="a"/>
    <w:link w:val="a6"/>
    <w:uiPriority w:val="99"/>
    <w:unhideWhenUsed w:val="1"/>
    <w:rsid w:val="005E7C50"/>
    <w:pPr>
      <w:tabs>
        <w:tab w:val="center" w:pos="4677"/>
        <w:tab w:val="right" w:pos="9355"/>
      </w:tabs>
    </w:pPr>
  </w:style>
  <w:style w:type="character" w:styleId="a6" w:customStyle="1">
    <w:name w:val="Нижний колонтитул Знак"/>
    <w:basedOn w:val="a0"/>
    <w:link w:val="a5"/>
    <w:uiPriority w:val="99"/>
    <w:rsid w:val="005E7C50"/>
    <w:rPr>
      <w:rFonts w:ascii="Times New Roman" w:cs="Times New Roman" w:eastAsia="Times New Roman" w:hAnsi="Times New Roman"/>
      <w:sz w:val="20"/>
      <w:szCs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firstLine="709"/>
      <w:jc w:val="both"/>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ec.gov.md" TargetMode="External"/><Relationship Id="rId8"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qzpEmu4QBlcoQ0raCFWRekgOow==">CgMxLjAyCGguZ2pkZ3hzOAByITF2ODZqZ3BlSno5R3NuUzhVdW40dlFJUU9VaUU2LUNFeg==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2024-10-28T18:49:00Z</dcterms:created>
  <dc:creator>Пользователь</dc:creator>
</cp:coreProperties>
</file>