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57BF" w:rsidRPr="00054631" w14:paraId="6FB22F18" w14:textId="77777777" w:rsidTr="00534567">
        <w:tc>
          <w:tcPr>
            <w:tcW w:w="9350" w:type="dxa"/>
            <w:shd w:val="clear" w:color="auto" w:fill="E7E6E6" w:themeFill="background2"/>
          </w:tcPr>
          <w:p w14:paraId="135B728A" w14:textId="77777777" w:rsidR="000657BF" w:rsidRPr="00054631" w:rsidRDefault="000657BF" w:rsidP="00693B7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>NOTĂ INFORMATIVĂ</w:t>
            </w:r>
          </w:p>
          <w:p w14:paraId="0985DE6A" w14:textId="4C0EB30C" w:rsidR="000657BF" w:rsidRPr="00054631" w:rsidRDefault="000657BF" w:rsidP="00693B7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la proiectul </w:t>
            </w:r>
            <w:r w:rsidR="00392311"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Hotărârii Guvernului </w:t>
            </w:r>
            <w:r w:rsidR="005A1048" w:rsidRPr="00054631">
              <w:rPr>
                <w:rFonts w:ascii="Times New Roman" w:hAnsi="Times New Roman" w:cs="Times New Roman"/>
                <w:b/>
                <w:bCs/>
                <w:lang w:val="ro-RO"/>
              </w:rPr>
              <w:t>cu privire la modificarea Hotărârii Guvernului nr. 1311/2005 cu privire la aprobarea nomenclatoarelor serviciilor cu plată prestate de către Ministerul Educației, Culturii și Cercetării și instituțiile subordonate</w:t>
            </w:r>
          </w:p>
        </w:tc>
      </w:tr>
      <w:tr w:rsidR="000657BF" w:rsidRPr="005204AF" w14:paraId="34C38CB1" w14:textId="77777777" w:rsidTr="00534567">
        <w:tc>
          <w:tcPr>
            <w:tcW w:w="9350" w:type="dxa"/>
            <w:shd w:val="clear" w:color="auto" w:fill="E7E6E6" w:themeFill="background2"/>
          </w:tcPr>
          <w:p w14:paraId="21C59A77" w14:textId="779C11FF" w:rsidR="000657BF" w:rsidRPr="00054631" w:rsidRDefault="005A79C8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Denumirea autorului </w:t>
            </w:r>
            <w:r w:rsidR="00643B46" w:rsidRPr="00054631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>, după caz, a participanților la elaborarea proiectului</w:t>
            </w:r>
          </w:p>
        </w:tc>
      </w:tr>
      <w:tr w:rsidR="000657BF" w:rsidRPr="005204AF" w14:paraId="0CF5CBC0" w14:textId="77777777" w:rsidTr="000657BF">
        <w:tc>
          <w:tcPr>
            <w:tcW w:w="9350" w:type="dxa"/>
          </w:tcPr>
          <w:p w14:paraId="4CF92463" w14:textId="5C16DC4F" w:rsidR="000657BF" w:rsidRPr="00054631" w:rsidRDefault="00860CC5" w:rsidP="00693B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 xml:space="preserve">Proiectul </w:t>
            </w:r>
            <w:r w:rsidR="00392311" w:rsidRPr="00054631">
              <w:rPr>
                <w:rFonts w:ascii="Times New Roman" w:hAnsi="Times New Roman" w:cs="Times New Roman"/>
                <w:lang w:val="ro-RO"/>
              </w:rPr>
              <w:t xml:space="preserve">Hotărârii Guvernului </w:t>
            </w:r>
            <w:r w:rsidR="005A1048" w:rsidRPr="00054631">
              <w:rPr>
                <w:rFonts w:ascii="Times New Roman" w:hAnsi="Times New Roman" w:cs="Times New Roman"/>
                <w:lang w:val="ro-RO"/>
              </w:rPr>
              <w:t>de modificare a Hotărârii Guvernului nr. 1311/2005 cu privire la aprobarea nomenclatoarelor serviciilor cu plată prestate de către Ministerul Educației, Culturii și Cercetării și instituțiile subordonate</w:t>
            </w:r>
            <w:r w:rsidRPr="00054631">
              <w:rPr>
                <w:rFonts w:ascii="Times New Roman" w:hAnsi="Times New Roman" w:cs="Times New Roman"/>
                <w:lang w:val="ro-RO"/>
              </w:rPr>
              <w:t>, a fost elaborat de</w:t>
            </w:r>
            <w:r w:rsidR="005E5A6B" w:rsidRPr="00054631">
              <w:rPr>
                <w:rFonts w:ascii="Times New Roman" w:hAnsi="Times New Roman" w:cs="Times New Roman"/>
                <w:lang w:val="ro-RO"/>
              </w:rPr>
              <w:t xml:space="preserve"> către</w:t>
            </w:r>
            <w:r w:rsidR="000F774B" w:rsidRPr="00054631">
              <w:rPr>
                <w:rFonts w:ascii="Times New Roman" w:hAnsi="Times New Roman" w:cs="Times New Roman"/>
                <w:lang w:val="ro-RO"/>
              </w:rPr>
              <w:t xml:space="preserve"> Ministerul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92311" w:rsidRPr="00054631">
              <w:rPr>
                <w:rFonts w:ascii="Times New Roman" w:hAnsi="Times New Roman" w:cs="Times New Roman"/>
                <w:lang w:val="ro-RO"/>
              </w:rPr>
              <w:t>Culturii</w:t>
            </w:r>
            <w:r w:rsidRPr="00054631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0657BF" w:rsidRPr="00054631" w14:paraId="3A343807" w14:textId="77777777" w:rsidTr="00534567">
        <w:tc>
          <w:tcPr>
            <w:tcW w:w="9350" w:type="dxa"/>
            <w:shd w:val="clear" w:color="auto" w:fill="E7E6E6" w:themeFill="background2"/>
          </w:tcPr>
          <w:p w14:paraId="4C9639CC" w14:textId="5A6C2527" w:rsidR="000657BF" w:rsidRPr="00054631" w:rsidRDefault="005A79C8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Condițiile ce au impus elaborarea proiectului de act normativ </w:t>
            </w:r>
            <w:r w:rsidR="00E74D92" w:rsidRPr="00054631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finalitățile urmărite</w:t>
            </w:r>
          </w:p>
        </w:tc>
      </w:tr>
      <w:tr w:rsidR="000657BF" w:rsidRPr="005204AF" w14:paraId="061A38FF" w14:textId="77777777" w:rsidTr="000657BF">
        <w:tc>
          <w:tcPr>
            <w:tcW w:w="9350" w:type="dxa"/>
          </w:tcPr>
          <w:p w14:paraId="13CEA36F" w14:textId="4C9D767A" w:rsidR="005A1048" w:rsidRPr="00054631" w:rsidRDefault="004D261F" w:rsidP="001D632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Elaborarea</w:t>
            </w:r>
            <w:r w:rsidR="009F433C" w:rsidRPr="0005463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proiectului este condiționată de necesitatea actualizării </w:t>
            </w:r>
            <w:r w:rsidR="0098116A" w:rsidRPr="00054631">
              <w:rPr>
                <w:rFonts w:ascii="Times New Roman" w:hAnsi="Times New Roman" w:cs="Times New Roman"/>
                <w:lang w:val="ro-RO"/>
              </w:rPr>
              <w:t>n</w:t>
            </w:r>
            <w:r w:rsidR="005A1048" w:rsidRPr="00054631">
              <w:rPr>
                <w:rFonts w:ascii="Times New Roman" w:hAnsi="Times New Roman" w:cs="Times New Roman"/>
                <w:lang w:val="ro-RO"/>
              </w:rPr>
              <w:t>omenclatorului serviciilor cu plată prestate de</w:t>
            </w:r>
            <w:r w:rsidR="00461262" w:rsidRPr="00054631">
              <w:rPr>
                <w:rFonts w:ascii="Times New Roman" w:hAnsi="Times New Roman" w:cs="Times New Roman"/>
                <w:lang w:val="ro-RO"/>
              </w:rPr>
              <w:t xml:space="preserve"> către Ministerul Culturii și instituțiile din subordine, aprobat prin HG 1311/2005</w:t>
            </w:r>
            <w:r w:rsidR="0098116A" w:rsidRPr="00054631">
              <w:rPr>
                <w:rFonts w:ascii="Times New Roman" w:hAnsi="Times New Roman" w:cs="Times New Roman"/>
                <w:lang w:val="ro-RO"/>
              </w:rPr>
              <w:t>,</w:t>
            </w:r>
            <w:r w:rsidR="00461262" w:rsidRPr="00054631">
              <w:rPr>
                <w:rFonts w:ascii="Times New Roman" w:hAnsi="Times New Roman" w:cs="Times New Roman"/>
                <w:lang w:val="ro-RO"/>
              </w:rPr>
              <w:t xml:space="preserve"> în contextul instituirii</w:t>
            </w:r>
            <w:r w:rsidR="00461262" w:rsidRPr="00054631">
              <w:rPr>
                <w:lang w:val="ro-RO"/>
              </w:rPr>
              <w:t xml:space="preserve"> </w:t>
            </w:r>
            <w:r w:rsidR="00461262" w:rsidRPr="00054631">
              <w:rPr>
                <w:rFonts w:ascii="Times New Roman" w:hAnsi="Times New Roman" w:cs="Times New Roman"/>
                <w:lang w:val="ro-RO"/>
              </w:rPr>
              <w:t xml:space="preserve">în subordinea Ministerului a autorității administrative cu atribuții de prestare a serviciilor în domeniul bunurilor culturale mobile - </w:t>
            </w:r>
            <w:r w:rsidR="00EF1E58" w:rsidRPr="00054631">
              <w:rPr>
                <w:rFonts w:ascii="Times New Roman" w:hAnsi="Times New Roman" w:cs="Times New Roman"/>
                <w:lang w:val="ro-RO"/>
              </w:rPr>
              <w:t>Serviciul de evidență și circulație a bunurilor culturale mobile</w:t>
            </w:r>
            <w:r w:rsidR="00461262" w:rsidRPr="00054631">
              <w:rPr>
                <w:rFonts w:ascii="Times New Roman" w:hAnsi="Times New Roman" w:cs="Times New Roman"/>
                <w:lang w:val="ro-RO"/>
              </w:rPr>
              <w:t xml:space="preserve"> (HG 470/2023 pentru punerea în aplicare a prevederilor Legii 280/2011 privind protejarea patrimoniului cultural național mobil; Monitorul Oficial al Republicii Moldova, 2023, nr. 277-281, art. 666).</w:t>
            </w:r>
          </w:p>
          <w:p w14:paraId="36003BC9" w14:textId="77777777" w:rsidR="009444FF" w:rsidRPr="00054631" w:rsidRDefault="00D62AC2" w:rsidP="0098116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 xml:space="preserve">Acțiunea dată </w:t>
            </w:r>
            <w:r w:rsidR="0098116A" w:rsidRPr="00054631">
              <w:rPr>
                <w:rFonts w:ascii="Times New Roman" w:hAnsi="Times New Roman" w:cs="Times New Roman"/>
                <w:lang w:val="ro-RO"/>
              </w:rPr>
              <w:t>este inclusă</w:t>
            </w:r>
            <w:r w:rsidR="00967F74" w:rsidRPr="00054631">
              <w:rPr>
                <w:rFonts w:ascii="Times New Roman" w:hAnsi="Times New Roman" w:cs="Times New Roman"/>
                <w:lang w:val="ro-RO"/>
              </w:rPr>
              <w:t xml:space="preserve"> la pct. 523 </w:t>
            </w:r>
            <w:r w:rsidR="0098116A" w:rsidRPr="00054631">
              <w:rPr>
                <w:rFonts w:ascii="Times New Roman" w:hAnsi="Times New Roman" w:cs="Times New Roman"/>
                <w:lang w:val="ro-RO"/>
              </w:rPr>
              <w:t>î</w:t>
            </w:r>
            <w:r w:rsidR="00014B34" w:rsidRPr="00054631">
              <w:rPr>
                <w:rFonts w:ascii="Times New Roman" w:hAnsi="Times New Roman" w:cs="Times New Roman"/>
                <w:lang w:val="ro-RO"/>
              </w:rPr>
              <w:t xml:space="preserve">n Planul de acțiuni al Guvernului pentru anul 2024, aprobat prin Hotărârea Guvernului nr. </w:t>
            </w:r>
            <w:r w:rsidR="0041007F" w:rsidRPr="00054631">
              <w:rPr>
                <w:rFonts w:ascii="Times New Roman" w:hAnsi="Times New Roman" w:cs="Times New Roman"/>
                <w:lang w:val="ro-RO"/>
              </w:rPr>
              <w:t>887/2023.</w:t>
            </w:r>
          </w:p>
          <w:p w14:paraId="0056341F" w14:textId="7E7C5507" w:rsidR="009904E8" w:rsidRPr="00054631" w:rsidRDefault="009904E8" w:rsidP="0098116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Actualmente, baza normativă privind prestarea serviciilor cu plată de către Ministerul Culturii și instituțiile subordonate este stabilită în HG 1311/2005, care nu include tarife pentru serviciile prestate de către entitatea nou creată -</w:t>
            </w:r>
            <w:r w:rsidRPr="00054631">
              <w:rPr>
                <w:lang w:val="ro-RO"/>
              </w:rPr>
              <w:t xml:space="preserve"> </w:t>
            </w:r>
            <w:r w:rsidRPr="00054631">
              <w:rPr>
                <w:rFonts w:ascii="Times New Roman" w:hAnsi="Times New Roman" w:cs="Times New Roman"/>
                <w:lang w:val="ro-RO"/>
              </w:rPr>
              <w:t>Serviciul de evidență și circulație a bunurilor culturale mobile.</w:t>
            </w:r>
          </w:p>
        </w:tc>
      </w:tr>
      <w:tr w:rsidR="000657BF" w:rsidRPr="005204AF" w14:paraId="7788261B" w14:textId="77777777" w:rsidTr="00534567">
        <w:tc>
          <w:tcPr>
            <w:tcW w:w="9350" w:type="dxa"/>
            <w:shd w:val="clear" w:color="auto" w:fill="E7E6E6" w:themeFill="background2"/>
          </w:tcPr>
          <w:p w14:paraId="370936CD" w14:textId="3919A6F2" w:rsidR="000657BF" w:rsidRPr="00054631" w:rsidRDefault="00205158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0657BF" w:rsidRPr="00054631" w14:paraId="2D0958B9" w14:textId="77777777" w:rsidTr="000657BF">
        <w:tc>
          <w:tcPr>
            <w:tcW w:w="9350" w:type="dxa"/>
          </w:tcPr>
          <w:p w14:paraId="3B4162BD" w14:textId="77777777" w:rsidR="00491498" w:rsidRPr="00054631" w:rsidRDefault="00491498" w:rsidP="00693B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Proiectul hotărârii nu are drept scop armonizarea legislației naționale cu legislația Uniunii</w:t>
            </w:r>
          </w:p>
          <w:p w14:paraId="3D2AC661" w14:textId="5675C79F" w:rsidR="000657BF" w:rsidRPr="00054631" w:rsidRDefault="00491498" w:rsidP="00693B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Europene.</w:t>
            </w:r>
          </w:p>
        </w:tc>
      </w:tr>
      <w:tr w:rsidR="000657BF" w:rsidRPr="005204AF" w14:paraId="64FB2A6C" w14:textId="77777777" w:rsidTr="00534567">
        <w:tc>
          <w:tcPr>
            <w:tcW w:w="9350" w:type="dxa"/>
            <w:shd w:val="clear" w:color="auto" w:fill="E7E6E6" w:themeFill="background2"/>
          </w:tcPr>
          <w:p w14:paraId="5A9D70BF" w14:textId="2CB4F1B9" w:rsidR="000657BF" w:rsidRPr="00054631" w:rsidRDefault="00534567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Principalele prevederi ale proiectului </w:t>
            </w:r>
            <w:r w:rsidR="00227DE7" w:rsidRPr="00054631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evidențierea elementelor noi</w:t>
            </w:r>
          </w:p>
        </w:tc>
      </w:tr>
      <w:tr w:rsidR="00534567" w:rsidRPr="005204AF" w14:paraId="63CF2B6E" w14:textId="77777777" w:rsidTr="000657BF">
        <w:tc>
          <w:tcPr>
            <w:tcW w:w="9350" w:type="dxa"/>
          </w:tcPr>
          <w:p w14:paraId="0F2125CB" w14:textId="0551D1A9" w:rsidR="00461262" w:rsidRPr="00054631" w:rsidRDefault="00461262" w:rsidP="0048476D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05463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Potrivit art. 22 alin. (4</w:t>
            </w:r>
            <w:r w:rsidRPr="00054631">
              <w:rPr>
                <w:rFonts w:ascii="Times New Roman" w:hAnsi="Times New Roman" w:cs="Times New Roman"/>
                <w:szCs w:val="24"/>
                <w:shd w:val="clear" w:color="auto" w:fill="FFFFFF"/>
                <w:vertAlign w:val="superscript"/>
                <w:lang w:val="ro-RO"/>
              </w:rPr>
              <w:t>1</w:t>
            </w:r>
            <w:r w:rsidRPr="0005463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) al Legii 280/2011 privind protejarea patrimoniului cultural național mobil, Serviciul de evidență și circulație a bunurilor culturale mobile este o autoritate administrativă subordonată Ministerului Culturii, cu competențe în domeniul evidenței și circulației bunurilor culturale mobile.</w:t>
            </w:r>
            <w:r w:rsidR="007F1081" w:rsidRPr="007F1081">
              <w:rPr>
                <w:lang w:val="ro-RO"/>
              </w:rPr>
              <w:t xml:space="preserve"> </w:t>
            </w:r>
            <w:r w:rsidR="007F1081">
              <w:rPr>
                <w:lang w:val="ro-RO"/>
              </w:rPr>
              <w:t xml:space="preserve">Totodată, </w:t>
            </w:r>
            <w:r w:rsidR="007F1081" w:rsidRPr="007F108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art. 15 alin. (4) din Legea nr. 98/2012 privind administrația publică centrală de specialitate, </w:t>
            </w:r>
            <w:r w:rsidR="007F108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prevede că </w:t>
            </w:r>
            <w:r w:rsidR="007F1081" w:rsidRPr="007F108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Guvernul aprobă metodologia de calculare a tarifelor, </w:t>
            </w:r>
            <w:r w:rsidR="007F1081" w:rsidRPr="007F1081">
              <w:rPr>
                <w:rFonts w:ascii="Times New Roman" w:hAnsi="Times New Roman" w:cs="Times New Roman"/>
                <w:b/>
                <w:shd w:val="clear" w:color="auto" w:fill="FFFFFF"/>
                <w:lang w:val="ro-RO"/>
              </w:rPr>
              <w:t>nomenclatorul serviciilor</w:t>
            </w:r>
            <w:r w:rsidR="007F1081" w:rsidRPr="007F108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și cuantumul tarifelor pentru serviciile prestate persoanelor fizice și juridice de către autoritățile administrative, cu excepția cazurilor în care aceasta ține de competența Parlamentului, în conformitate cu Legea nr. 160/2011 privind reglementarea prin autorizare a</w:t>
            </w:r>
            <w:r w:rsidR="007F108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activității de întreprinzător.</w:t>
            </w:r>
          </w:p>
          <w:p w14:paraId="24ED4A60" w14:textId="2CE75D95" w:rsidR="007C7C65" w:rsidRPr="00054631" w:rsidRDefault="008A32E5" w:rsidP="0048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Punerea în aplicare a</w:t>
            </w:r>
            <w:r w:rsidR="003A311D" w:rsidRPr="00054631">
              <w:rPr>
                <w:rFonts w:ascii="Times New Roman" w:hAnsi="Times New Roman" w:cs="Times New Roman"/>
                <w:lang w:val="ro-RO"/>
              </w:rPr>
              <w:t xml:space="preserve"> prevederilor </w:t>
            </w:r>
            <w:r w:rsidR="00314B1B" w:rsidRPr="00054631">
              <w:rPr>
                <w:rFonts w:ascii="Times New Roman" w:hAnsi="Times New Roman" w:cs="Times New Roman"/>
                <w:lang w:val="ro-RO"/>
              </w:rPr>
              <w:t xml:space="preserve">menționate supra se realizează prin serviciile prestate de către </w:t>
            </w:r>
            <w:r w:rsidR="00A63D1F" w:rsidRPr="00054631">
              <w:rPr>
                <w:rFonts w:ascii="Times New Roman" w:hAnsi="Times New Roman" w:cs="Times New Roman"/>
                <w:lang w:val="ro-RO"/>
              </w:rPr>
              <w:t xml:space="preserve">Serviciul de evidență și circulație a bunurilor culturale mobile </w:t>
            </w:r>
            <w:r w:rsidR="00C04E42" w:rsidRPr="00054631">
              <w:rPr>
                <w:rFonts w:ascii="Times New Roman" w:hAnsi="Times New Roman" w:cs="Times New Roman"/>
                <w:lang w:val="ro-RO"/>
              </w:rPr>
              <w:t xml:space="preserve"> conform pct. 7 </w:t>
            </w:r>
            <w:proofErr w:type="spellStart"/>
            <w:r w:rsidR="00C04E42" w:rsidRPr="00054631">
              <w:rPr>
                <w:rFonts w:ascii="Times New Roman" w:hAnsi="Times New Roman" w:cs="Times New Roman"/>
                <w:lang w:val="ro-RO"/>
              </w:rPr>
              <w:t>subpct</w:t>
            </w:r>
            <w:proofErr w:type="spellEnd"/>
            <w:r w:rsidR="00C04E42" w:rsidRPr="00054631">
              <w:rPr>
                <w:rFonts w:ascii="Times New Roman" w:hAnsi="Times New Roman" w:cs="Times New Roman"/>
                <w:lang w:val="ro-RO"/>
              </w:rPr>
              <w:t xml:space="preserve">. 2) lit. b) </w:t>
            </w:r>
            <w:r w:rsidR="006A4AEA" w:rsidRPr="00054631">
              <w:rPr>
                <w:rFonts w:ascii="Times New Roman" w:hAnsi="Times New Roman" w:cs="Times New Roman"/>
                <w:lang w:val="ro-RO"/>
              </w:rPr>
              <w:t xml:space="preserve">al </w:t>
            </w:r>
            <w:r w:rsidRPr="00054631">
              <w:rPr>
                <w:rFonts w:ascii="Times New Roman" w:hAnsi="Times New Roman" w:cs="Times New Roman"/>
                <w:lang w:val="ro-RO"/>
              </w:rPr>
              <w:t>Anexei 1</w:t>
            </w:r>
            <w:r w:rsidR="00ED52D6" w:rsidRPr="00054631">
              <w:rPr>
                <w:rFonts w:ascii="Times New Roman" w:hAnsi="Times New Roman" w:cs="Times New Roman"/>
                <w:lang w:val="ro-RO"/>
              </w:rPr>
              <w:t xml:space="preserve"> la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A4AEA" w:rsidRPr="00054631">
              <w:rPr>
                <w:rFonts w:ascii="Times New Roman" w:hAnsi="Times New Roman" w:cs="Times New Roman"/>
                <w:lang w:val="ro-RO"/>
              </w:rPr>
              <w:t xml:space="preserve">HG </w:t>
            </w:r>
            <w:r w:rsidRPr="00054631">
              <w:rPr>
                <w:rFonts w:ascii="Times New Roman" w:hAnsi="Times New Roman" w:cs="Times New Roman"/>
                <w:lang w:val="ro-RO"/>
              </w:rPr>
              <w:t>470/2023</w:t>
            </w:r>
            <w:r w:rsidR="00A55EC5" w:rsidRPr="00054631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42FDE237" w14:textId="58B4A3D4" w:rsidR="00C24C68" w:rsidRDefault="00460042" w:rsidP="004600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Astfel, proiectul prevede instituirea nomenclatorului serviciilor cu plată prestate de </w:t>
            </w:r>
            <w:r w:rsidRPr="00460042">
              <w:rPr>
                <w:rFonts w:ascii="Times New Roman" w:hAnsi="Times New Roman" w:cs="Times New Roman"/>
                <w:lang w:val="ro-RO"/>
              </w:rPr>
              <w:t>Serviciul de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60042">
              <w:rPr>
                <w:rFonts w:ascii="Times New Roman" w:hAnsi="Times New Roman" w:cs="Times New Roman"/>
                <w:lang w:val="ro-RO"/>
              </w:rPr>
              <w:t>evidență și circulație a bunurilor culturale mobile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17C6DD0D" w14:textId="77777777" w:rsidR="00460042" w:rsidRDefault="00460042" w:rsidP="004600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Nomenclatorul include următoarele tipuri de servicii pentru bunurile culturale mobile: </w:t>
            </w:r>
          </w:p>
          <w:p w14:paraId="24FDDE66" w14:textId="5F1E592E" w:rsidR="00460042" w:rsidRDefault="00460042" w:rsidP="004600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Expertizarea (1.1. bunurilor culturale de producție contemporană și 1.2. a altor bunuri culturale);</w:t>
            </w:r>
          </w:p>
          <w:p w14:paraId="19BA7AAA" w14:textId="25103A55" w:rsidR="00460042" w:rsidRDefault="00460042" w:rsidP="004600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2. Emiterea </w:t>
            </w:r>
            <w:r w:rsidRPr="00460042">
              <w:rPr>
                <w:rFonts w:ascii="Times New Roman" w:hAnsi="Times New Roman" w:cs="Times New Roman"/>
                <w:lang w:val="ro-RO"/>
              </w:rPr>
              <w:t>adeverinței de export per cerere</w:t>
            </w:r>
            <w:r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7A9A8AAB" w14:textId="776ACFE8" w:rsidR="00460042" w:rsidRDefault="00460042" w:rsidP="0046004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3. </w:t>
            </w:r>
            <w:r w:rsidRPr="00460042">
              <w:rPr>
                <w:rFonts w:ascii="Times New Roman" w:hAnsi="Times New Roman" w:cs="Times New Roman"/>
                <w:lang w:val="ro-RO"/>
              </w:rPr>
              <w:t>Emiterea certificatului de export per cerere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50579094" w14:textId="7F55FBA6" w:rsidR="004D4FD3" w:rsidRPr="00BF459D" w:rsidRDefault="00027594" w:rsidP="008B2E0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F459D">
              <w:rPr>
                <w:rFonts w:ascii="Times New Roman" w:hAnsi="Times New Roman" w:cs="Times New Roman"/>
                <w:lang w:val="ro-RO"/>
              </w:rPr>
              <w:t xml:space="preserve">Tarifele la serviciile prestate </w:t>
            </w:r>
            <w:r w:rsidR="00417F26" w:rsidRPr="00BF459D">
              <w:rPr>
                <w:rFonts w:ascii="Times New Roman" w:hAnsi="Times New Roman" w:cs="Times New Roman"/>
                <w:lang w:val="ro-RO"/>
              </w:rPr>
              <w:t xml:space="preserve">de către Serviciul </w:t>
            </w:r>
            <w:r w:rsidR="007124C0" w:rsidRPr="00BF459D">
              <w:rPr>
                <w:rFonts w:ascii="Times New Roman" w:hAnsi="Times New Roman" w:cs="Times New Roman"/>
                <w:lang w:val="ro-RO"/>
              </w:rPr>
              <w:t>de evidență și circulație a bunurilor culturale mobile</w:t>
            </w:r>
            <w:r w:rsidR="00616B41" w:rsidRPr="00BF459D">
              <w:rPr>
                <w:rFonts w:ascii="Times New Roman" w:hAnsi="Times New Roman" w:cs="Times New Roman"/>
                <w:lang w:val="ro-RO"/>
              </w:rPr>
              <w:t xml:space="preserve"> au fost elaborate având în vedere cheltuielile actuale </w:t>
            </w:r>
            <w:r w:rsidR="00E0159A" w:rsidRPr="00BF459D">
              <w:rPr>
                <w:rFonts w:ascii="Times New Roman" w:hAnsi="Times New Roman" w:cs="Times New Roman"/>
                <w:lang w:val="ro-RO"/>
              </w:rPr>
              <w:t xml:space="preserve">necesare </w:t>
            </w:r>
            <w:r w:rsidR="00616B41" w:rsidRPr="00BF459D">
              <w:rPr>
                <w:rFonts w:ascii="Times New Roman" w:hAnsi="Times New Roman" w:cs="Times New Roman"/>
                <w:lang w:val="ro-RO"/>
              </w:rPr>
              <w:t>pentru expertizarea bunurilor culturale mobile, raportat</w:t>
            </w:r>
            <w:r w:rsidR="00E0159A" w:rsidRPr="00BF459D">
              <w:rPr>
                <w:rFonts w:ascii="Times New Roman" w:hAnsi="Times New Roman" w:cs="Times New Roman"/>
                <w:lang w:val="ro-RO"/>
              </w:rPr>
              <w:t>e</w:t>
            </w:r>
            <w:r w:rsidR="00616B41" w:rsidRPr="00BF459D">
              <w:rPr>
                <w:rFonts w:ascii="Times New Roman" w:hAnsi="Times New Roman" w:cs="Times New Roman"/>
                <w:lang w:val="ro-RO"/>
              </w:rPr>
              <w:t xml:space="preserve"> la volumul de timp mediu necesar pentru realizarea unei expertize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>, inclusiv costuri aferente (consumabile</w:t>
            </w:r>
            <w:r w:rsidR="00BF459D">
              <w:rPr>
                <w:rFonts w:ascii="Times New Roman" w:hAnsi="Times New Roman" w:cs="Times New Roman"/>
                <w:lang w:val="ro-RO"/>
              </w:rPr>
              <w:t>,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 xml:space="preserve"> etc</w:t>
            </w:r>
            <w:r w:rsidR="00E0159A" w:rsidRPr="00BF459D">
              <w:rPr>
                <w:rFonts w:ascii="Times New Roman" w:hAnsi="Times New Roman" w:cs="Times New Roman"/>
                <w:lang w:val="ro-RO"/>
              </w:rPr>
              <w:t>.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>)</w:t>
            </w:r>
            <w:r w:rsidR="003A3567" w:rsidRPr="00BF45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0159A" w:rsidRPr="00BF459D">
              <w:rPr>
                <w:rFonts w:ascii="Times New Roman" w:hAnsi="Times New Roman" w:cs="Times New Roman"/>
                <w:lang w:val="ro-RO"/>
              </w:rPr>
              <w:t>Întrucât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 xml:space="preserve"> salariul unui angajat</w:t>
            </w:r>
            <w:r w:rsidR="00E0159A" w:rsidRPr="00BF45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 xml:space="preserve"> al </w:t>
            </w:r>
            <w:r w:rsidR="00BF459D" w:rsidRPr="00BF459D">
              <w:rPr>
                <w:rFonts w:ascii="Times New Roman" w:hAnsi="Times New Roman" w:cs="Times New Roman"/>
                <w:lang w:val="ro-RO"/>
              </w:rPr>
              <w:lastRenderedPageBreak/>
              <w:t xml:space="preserve">Serviciul de evidență și circulație a bunurilor culturale mobile </w:t>
            </w:r>
            <w:r w:rsidR="00E0159A" w:rsidRPr="00BF459D">
              <w:rPr>
                <w:rFonts w:ascii="Times New Roman" w:hAnsi="Times New Roman" w:cs="Times New Roman"/>
                <w:lang w:val="ro-RO"/>
              </w:rPr>
              <w:t>(specialist principal)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 xml:space="preserve"> cu atribuții în efectuarea expertizelor și emiterea certificatelor/adeverințelor este de 7300 lei</w:t>
            </w:r>
            <w:r w:rsidR="00E0159A" w:rsidRPr="00BF459D">
              <w:rPr>
                <w:rFonts w:ascii="Times New Roman" w:hAnsi="Times New Roman" w:cs="Times New Roman"/>
                <w:lang w:val="ro-RO"/>
              </w:rPr>
              <w:t xml:space="preserve"> (brut)</w:t>
            </w:r>
            <w:r w:rsidR="005C0C86" w:rsidRPr="00BF459D">
              <w:rPr>
                <w:rFonts w:ascii="Times New Roman" w:hAnsi="Times New Roman" w:cs="Times New Roman"/>
                <w:lang w:val="ro-RO"/>
              </w:rPr>
              <w:t>/21 zile lucrătoare</w:t>
            </w:r>
            <w:r w:rsidR="00BF459D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>costul</w:t>
            </w:r>
            <w:r w:rsidR="00E0159A" w:rsidRPr="00BF459D">
              <w:rPr>
                <w:rFonts w:ascii="Times New Roman" w:hAnsi="Times New Roman" w:cs="Times New Roman"/>
                <w:lang w:val="ro-RO"/>
              </w:rPr>
              <w:t xml:space="preserve"> unei ore de muncă constituie 43,4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 xml:space="preserve"> lei. </w:t>
            </w:r>
          </w:p>
          <w:p w14:paraId="634B3D89" w14:textId="15532DE7" w:rsidR="004D4FD3" w:rsidRPr="00BF459D" w:rsidRDefault="00E0159A" w:rsidP="008B2E0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F459D">
              <w:rPr>
                <w:rFonts w:ascii="Times New Roman" w:hAnsi="Times New Roman" w:cs="Times New Roman"/>
                <w:lang w:val="ro-RO"/>
              </w:rPr>
              <w:t xml:space="preserve">Pentru expertizarea </w:t>
            </w:r>
            <w:r w:rsidR="004D4FD3" w:rsidRPr="00BF459D">
              <w:rPr>
                <w:rFonts w:ascii="Times New Roman" w:hAnsi="Times New Roman" w:cs="Times New Roman"/>
                <w:lang w:val="ro-RO"/>
              </w:rPr>
              <w:t>unui bun cultural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 xml:space="preserve"> contempor</w:t>
            </w:r>
            <w:r w:rsidR="004D4FD3" w:rsidRPr="00BF459D">
              <w:rPr>
                <w:rFonts w:ascii="Times New Roman" w:hAnsi="Times New Roman" w:cs="Times New Roman"/>
                <w:lang w:val="ro-RO"/>
              </w:rPr>
              <w:t>an</w:t>
            </w:r>
            <w:r w:rsidR="00BF459D">
              <w:rPr>
                <w:rFonts w:ascii="Times New Roman" w:hAnsi="Times New Roman" w:cs="Times New Roman"/>
                <w:lang w:val="ro-RO"/>
              </w:rPr>
              <w:t>, care</w:t>
            </w:r>
            <w:r w:rsidR="00890584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BF459D">
              <w:rPr>
                <w:rFonts w:ascii="Times New Roman" w:hAnsi="Times New Roman" w:cs="Times New Roman"/>
                <w:lang w:val="ro-RO"/>
              </w:rPr>
              <w:t>conform Legii 280/2011</w:t>
            </w:r>
            <w:r w:rsidR="00890584">
              <w:rPr>
                <w:rFonts w:ascii="Times New Roman" w:hAnsi="Times New Roman" w:cs="Times New Roman"/>
                <w:lang w:val="ro-RO"/>
              </w:rPr>
              <w:t>,</w:t>
            </w:r>
            <w:r w:rsidR="00BF45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90584">
              <w:rPr>
                <w:rFonts w:ascii="Times New Roman" w:hAnsi="Times New Roman" w:cs="Times New Roman"/>
                <w:lang w:val="ro-RO"/>
              </w:rPr>
              <w:t xml:space="preserve">au </w:t>
            </w:r>
            <w:r w:rsidR="004D4FD3" w:rsidRPr="00BF459D">
              <w:rPr>
                <w:rFonts w:ascii="Times New Roman" w:hAnsi="Times New Roman" w:cs="Times New Roman"/>
                <w:lang w:val="ro-RO"/>
              </w:rPr>
              <w:t>mai puțin de 50 ani de la data creării</w:t>
            </w:r>
            <w:r w:rsidR="00BF459D">
              <w:rPr>
                <w:rFonts w:ascii="Times New Roman" w:hAnsi="Times New Roman" w:cs="Times New Roman"/>
                <w:lang w:val="ro-RO"/>
              </w:rPr>
              <w:t>,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F459D">
              <w:rPr>
                <w:rFonts w:ascii="Times New Roman" w:hAnsi="Times New Roman" w:cs="Times New Roman"/>
                <w:lang w:val="ro-RO"/>
              </w:rPr>
              <w:t>sunt necesare aproximativ 1,5-2 ore</w:t>
            </w:r>
            <w:r w:rsidR="00DD6D73" w:rsidRPr="00BF459D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="004D4FD3" w:rsidRPr="00BF459D">
              <w:rPr>
                <w:rFonts w:ascii="Times New Roman" w:hAnsi="Times New Roman" w:cs="Times New Roman"/>
                <w:lang w:val="ro-RO"/>
              </w:rPr>
              <w:t>Respectiv, se propune tariful de 80 lei/obiect.</w:t>
            </w:r>
          </w:p>
          <w:p w14:paraId="0A03A30E" w14:textId="76700033" w:rsidR="0037436E" w:rsidRPr="009430C1" w:rsidRDefault="00E0159A" w:rsidP="008B2E0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30C1">
              <w:rPr>
                <w:rFonts w:ascii="Times New Roman" w:hAnsi="Times New Roman" w:cs="Times New Roman"/>
                <w:lang w:val="ro-RO"/>
              </w:rPr>
              <w:t>Pentru expertizarea bunurilor</w:t>
            </w:r>
            <w:r w:rsidR="00DD6D73" w:rsidRPr="009430C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C0C86" w:rsidRPr="009430C1">
              <w:rPr>
                <w:rFonts w:ascii="Times New Roman" w:hAnsi="Times New Roman" w:cs="Times New Roman"/>
                <w:lang w:val="ro-RO"/>
              </w:rPr>
              <w:t xml:space="preserve">culturale </w:t>
            </w:r>
            <w:r w:rsidR="00DD6D73" w:rsidRPr="009430C1">
              <w:rPr>
                <w:rFonts w:ascii="Times New Roman" w:hAnsi="Times New Roman" w:cs="Times New Roman"/>
                <w:lang w:val="ro-RO"/>
              </w:rPr>
              <w:t>mai vechi de 50 ani</w:t>
            </w:r>
            <w:r w:rsidR="005C0C86" w:rsidRPr="009430C1">
              <w:rPr>
                <w:rFonts w:ascii="Times New Roman" w:hAnsi="Times New Roman" w:cs="Times New Roman"/>
                <w:lang w:val="ro-RO"/>
              </w:rPr>
              <w:t>,</w:t>
            </w:r>
            <w:r w:rsidR="004D4FD3" w:rsidRPr="009430C1">
              <w:rPr>
                <w:rFonts w:ascii="Times New Roman" w:hAnsi="Times New Roman" w:cs="Times New Roman"/>
                <w:lang w:val="ro-RO"/>
              </w:rPr>
              <w:t xml:space="preserve"> volumul de timp/lucru este mai mare: </w:t>
            </w:r>
            <w:r w:rsidR="00AE3EBE" w:rsidRPr="009430C1">
              <w:rPr>
                <w:rFonts w:ascii="Times New Roman" w:hAnsi="Times New Roman" w:cs="Times New Roman"/>
                <w:lang w:val="ro-RO"/>
              </w:rPr>
              <w:t xml:space="preserve">întrucât </w:t>
            </w:r>
            <w:r w:rsidR="005C0C86" w:rsidRPr="009430C1">
              <w:rPr>
                <w:rFonts w:ascii="Times New Roman" w:hAnsi="Times New Roman" w:cs="Times New Roman"/>
                <w:lang w:val="ro-RO"/>
              </w:rPr>
              <w:t>bunurile din această categorie pot fi susceptibile</w:t>
            </w:r>
            <w:r w:rsidR="00AE3EBE" w:rsidRPr="009430C1">
              <w:rPr>
                <w:rFonts w:ascii="Times New Roman" w:hAnsi="Times New Roman" w:cs="Times New Roman"/>
                <w:lang w:val="ro-RO"/>
              </w:rPr>
              <w:t xml:space="preserve"> pentru clasare în patrimoniul cultural național, sunt examinate sursele informaționale naționale și internaționale,</w:t>
            </w:r>
            <w:r w:rsidR="005C0C86" w:rsidRPr="009430C1">
              <w:rPr>
                <w:rFonts w:ascii="Times New Roman" w:hAnsi="Times New Roman" w:cs="Times New Roman"/>
                <w:lang w:val="ro-RO"/>
              </w:rPr>
              <w:t xml:space="preserve"> poate fi solicitată consultația altor experți, examinată</w:t>
            </w:r>
            <w:r w:rsidR="00AE3EBE" w:rsidRPr="009430C1">
              <w:rPr>
                <w:rFonts w:ascii="Times New Roman" w:hAnsi="Times New Roman" w:cs="Times New Roman"/>
                <w:lang w:val="ro-RO"/>
              </w:rPr>
              <w:t xml:space="preserve"> bibliografia etc. Starea de conservare precară a obiectului la fel poate prelungi perioada expertizării. </w:t>
            </w:r>
            <w:r w:rsidR="005C0C86" w:rsidRPr="009430C1">
              <w:rPr>
                <w:rFonts w:ascii="Times New Roman" w:hAnsi="Times New Roman" w:cs="Times New Roman"/>
                <w:lang w:val="ro-RO"/>
              </w:rPr>
              <w:t>Din aceste considerente t</w:t>
            </w:r>
            <w:r w:rsidR="00AE3EBE" w:rsidRPr="009430C1">
              <w:rPr>
                <w:rFonts w:ascii="Times New Roman" w:hAnsi="Times New Roman" w:cs="Times New Roman"/>
                <w:lang w:val="ro-RO"/>
              </w:rPr>
              <w:t>ariful pentru expertizarea unui bun din această categorie a fost estimat la 150 lei/obiect</w:t>
            </w:r>
            <w:r w:rsidR="009123DA" w:rsidRPr="009430C1">
              <w:rPr>
                <w:rFonts w:ascii="Times New Roman" w:hAnsi="Times New Roman" w:cs="Times New Roman"/>
                <w:lang w:val="ro-RO"/>
              </w:rPr>
              <w:t>, utilizând aceiași formulă de calcul prezentată anterior.</w:t>
            </w:r>
          </w:p>
          <w:p w14:paraId="52FFCCF1" w14:textId="1C07567B" w:rsidR="00BF459D" w:rsidRPr="009430C1" w:rsidRDefault="00BF459D" w:rsidP="00BF459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30C1">
              <w:rPr>
                <w:rFonts w:ascii="Times New Roman" w:eastAsia="Times New Roman" w:hAnsi="Times New Roman" w:cs="Times New Roman"/>
                <w:bCs/>
                <w:szCs w:val="24"/>
                <w:lang w:val="ro-RO" w:eastAsia="ru-RU"/>
              </w:rPr>
              <w:t>Potrivit art. 2 din Anexa 4 la HG 470/2023, adeverința de export</w:t>
            </w:r>
            <w:r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este documentul care atestă scoaterea temporară sau definitivă a bunurilor culturale mobile producție contemporană. </w:t>
            </w:r>
            <w:r w:rsidRPr="009430C1">
              <w:rPr>
                <w:rFonts w:ascii="Times New Roman" w:hAnsi="Times New Roman" w:cs="Times New Roman"/>
                <w:lang w:val="ro-RO"/>
              </w:rPr>
              <w:t xml:space="preserve">Emiterea adeverinței de export pentru această categorie de bunuri necesită costuri aferente mai mari – procesarea și editarea imaginii color, colectarea datelor de la proprietar, verificarea informației privind calitatea solicitantului -  proprietar, mandatar al unui proprietar, administrator de bunuri culturale mobile proprietate publică </w:t>
            </w:r>
            <w:proofErr w:type="spellStart"/>
            <w:r w:rsidRPr="009430C1">
              <w:rPr>
                <w:rFonts w:ascii="Times New Roman" w:hAnsi="Times New Roman" w:cs="Times New Roman"/>
                <w:lang w:val="ro-RO"/>
              </w:rPr>
              <w:t>etc</w:t>
            </w:r>
            <w:proofErr w:type="spellEnd"/>
            <w:r w:rsidRPr="009430C1">
              <w:rPr>
                <w:rFonts w:ascii="Times New Roman" w:hAnsi="Times New Roman" w:cs="Times New Roman"/>
                <w:lang w:val="ro-RO"/>
              </w:rPr>
              <w:t xml:space="preserve">). Adeverința se emite pentru numărul de obiecte solicitat, tariful </w:t>
            </w:r>
            <w:r w:rsidR="00211027" w:rsidRPr="009430C1">
              <w:rPr>
                <w:rFonts w:ascii="Times New Roman" w:hAnsi="Times New Roman" w:cs="Times New Roman"/>
                <w:lang w:val="ro-RO"/>
              </w:rPr>
              <w:t xml:space="preserve">estimat fiind de </w:t>
            </w:r>
            <w:r w:rsidRPr="009430C1">
              <w:rPr>
                <w:rFonts w:ascii="Times New Roman" w:hAnsi="Times New Roman" w:cs="Times New Roman"/>
                <w:lang w:val="ro-RO"/>
              </w:rPr>
              <w:t>100 lei/adeverință.</w:t>
            </w:r>
          </w:p>
          <w:p w14:paraId="1B37EF3B" w14:textId="2D967A10" w:rsidR="00162B46" w:rsidRPr="009430C1" w:rsidRDefault="00975BBB" w:rsidP="0069629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30C1">
              <w:rPr>
                <w:rFonts w:ascii="Times New Roman" w:eastAsia="Times New Roman" w:hAnsi="Times New Roman" w:cs="Times New Roman"/>
                <w:bCs/>
                <w:szCs w:val="24"/>
                <w:lang w:val="ro-RO" w:eastAsia="ru-RU"/>
              </w:rPr>
              <w:t>Conform prevederilor aceluiași</w:t>
            </w:r>
            <w:r w:rsidR="00EB1414" w:rsidRPr="009430C1">
              <w:rPr>
                <w:rFonts w:ascii="Times New Roman" w:eastAsia="Times New Roman" w:hAnsi="Times New Roman" w:cs="Times New Roman"/>
                <w:bCs/>
                <w:szCs w:val="24"/>
                <w:lang w:val="ro-RO" w:eastAsia="ru-RU"/>
              </w:rPr>
              <w:t xml:space="preserve"> art. 2 din Anexa 4 la HG 470/2023,</w:t>
            </w:r>
            <w:r w:rsidR="00EB1414" w:rsidRPr="009430C1"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 certificat</w:t>
            </w:r>
            <w:r w:rsidR="007F26A3" w:rsidRPr="009430C1">
              <w:rPr>
                <w:rFonts w:ascii="Times New Roman" w:eastAsia="Calibri" w:hAnsi="Times New Roman" w:cs="Times New Roman"/>
                <w:szCs w:val="24"/>
                <w:lang w:val="ro-RO"/>
              </w:rPr>
              <w:t>ul</w:t>
            </w:r>
            <w:r w:rsidR="00EB1414" w:rsidRPr="009430C1"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 </w:t>
            </w:r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de export este documentul care atestă scoaterea temporară sau definitivă a bunurilor culturale mobile, altele decât</w:t>
            </w:r>
            <w:r w:rsidR="00EB1414" w:rsidRPr="009430C1">
              <w:rPr>
                <w:lang w:val="ro-RO"/>
              </w:rPr>
              <w:t xml:space="preserve"> b</w:t>
            </w:r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unurile culturale mobile producție contemporană.</w:t>
            </w:r>
            <w:r w:rsidR="007F26A3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</w:t>
            </w:r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Emiterea certificatului de export necesită timp și costuri aferente mai mari – procesarea și editarea imaginii color, colectarea datelor de la proprietar, verificarea informației privind calitatea solicitantului -  proprietar, mandatar al unui proprietar, administrator de bunuri culturale mobile proprietate publică </w:t>
            </w:r>
            <w:proofErr w:type="spellStart"/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etc</w:t>
            </w:r>
            <w:proofErr w:type="spellEnd"/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), completarea certificatului și imprimarea acestuia în trei exemplare (art.13</w:t>
            </w:r>
            <w:r w:rsidR="00EB1414" w:rsidRPr="009430C1">
              <w:rPr>
                <w:lang w:val="ro-RO"/>
              </w:rPr>
              <w:t xml:space="preserve"> </w:t>
            </w:r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din Anexa 4 la HG 470/2023). </w:t>
            </w:r>
            <w:r w:rsidR="005C0C86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Certificatul </w:t>
            </w:r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se emite pentru</w:t>
            </w:r>
            <w:r w:rsidR="005C0C86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numărul de obiecte solicitat, t</w:t>
            </w:r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ariful propus </w:t>
            </w:r>
            <w:r w:rsidR="007F26A3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fiind estimat</w:t>
            </w:r>
            <w:r w:rsidR="00D73E39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de</w:t>
            </w:r>
            <w:r w:rsidR="00EB1414" w:rsidRPr="009430C1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150 lei/certificat. </w:t>
            </w:r>
          </w:p>
          <w:p w14:paraId="618B59A0" w14:textId="20D9A674" w:rsidR="00CF1538" w:rsidRPr="009430C1" w:rsidRDefault="001602B1" w:rsidP="0069629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30C1">
              <w:rPr>
                <w:rFonts w:ascii="Times New Roman" w:hAnsi="Times New Roman" w:cs="Times New Roman"/>
                <w:lang w:val="ro-RO"/>
              </w:rPr>
              <w:t xml:space="preserve">Tarifele au fost </w:t>
            </w:r>
            <w:r w:rsidR="005C0C86" w:rsidRPr="009430C1">
              <w:rPr>
                <w:rFonts w:ascii="Times New Roman" w:hAnsi="Times New Roman" w:cs="Times New Roman"/>
                <w:lang w:val="ro-RO"/>
              </w:rPr>
              <w:t>elaborate</w:t>
            </w:r>
            <w:r w:rsidRPr="009430C1">
              <w:rPr>
                <w:rFonts w:ascii="Times New Roman" w:hAnsi="Times New Roman" w:cs="Times New Roman"/>
                <w:lang w:val="ro-RO"/>
              </w:rPr>
              <w:t xml:space="preserve"> de către Serviciul </w:t>
            </w:r>
            <w:r w:rsidR="000A6ED9" w:rsidRPr="009430C1">
              <w:rPr>
                <w:rFonts w:ascii="Times New Roman" w:hAnsi="Times New Roman" w:cs="Times New Roman"/>
                <w:lang w:val="ro-RO"/>
              </w:rPr>
              <w:t xml:space="preserve">de evidență și circulație a bunurilor culturale mobile </w:t>
            </w:r>
            <w:r w:rsidRPr="009430C1">
              <w:rPr>
                <w:rFonts w:ascii="Times New Roman" w:hAnsi="Times New Roman" w:cs="Times New Roman"/>
                <w:lang w:val="ro-RO"/>
              </w:rPr>
              <w:t>în comun</w:t>
            </w:r>
            <w:r w:rsidR="00140F51" w:rsidRPr="009430C1">
              <w:rPr>
                <w:rFonts w:ascii="Times New Roman" w:hAnsi="Times New Roman" w:cs="Times New Roman"/>
                <w:lang w:val="ro-RO"/>
              </w:rPr>
              <w:t xml:space="preserve"> cu </w:t>
            </w:r>
            <w:r w:rsidR="005C0C86" w:rsidRPr="009430C1">
              <w:rPr>
                <w:rFonts w:ascii="Times New Roman" w:hAnsi="Times New Roman" w:cs="Times New Roman"/>
                <w:lang w:val="ro-RO"/>
              </w:rPr>
              <w:t xml:space="preserve">experții acreditați în domeniu și avizate de către </w:t>
            </w:r>
            <w:r w:rsidR="00140F51" w:rsidRPr="009430C1">
              <w:rPr>
                <w:rFonts w:ascii="Times New Roman" w:hAnsi="Times New Roman" w:cs="Times New Roman"/>
                <w:lang w:val="ro-RO"/>
              </w:rPr>
              <w:t>Comisia Națională a Muzeelor și Colecțiilor, care</w:t>
            </w:r>
            <w:r w:rsidR="007F60BF" w:rsidRPr="009430C1">
              <w:rPr>
                <w:rFonts w:ascii="Times New Roman" w:hAnsi="Times New Roman" w:cs="Times New Roman"/>
                <w:lang w:val="ro-RO"/>
              </w:rPr>
              <w:t xml:space="preserve"> agreează și susține prezentul proiect.</w:t>
            </w:r>
          </w:p>
          <w:p w14:paraId="58D3650A" w14:textId="00694BF9" w:rsidR="00460042" w:rsidRPr="009430C1" w:rsidRDefault="00460042" w:rsidP="0069629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30C1">
              <w:rPr>
                <w:rFonts w:ascii="Times New Roman" w:hAnsi="Times New Roman" w:cs="Times New Roman"/>
                <w:lang w:val="ro-RO"/>
              </w:rPr>
              <w:t>Evidențiem că modalitatea de prestare a serviciilor specificate în anexă se realizează conform HG 470/2023</w:t>
            </w:r>
            <w:r w:rsidR="00155A9F" w:rsidRPr="009430C1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3B37B95E" w14:textId="4594A538" w:rsidR="00505EF5" w:rsidRPr="00054631" w:rsidRDefault="007F60BF" w:rsidP="00EC28C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430C1">
              <w:rPr>
                <w:rFonts w:ascii="Times New Roman" w:hAnsi="Times New Roman" w:cs="Times New Roman"/>
                <w:lang w:val="ro-RO"/>
              </w:rPr>
              <w:t>Suplimentar, proiectul vine cu o ajustare a denumirii proiectului având în vedere</w:t>
            </w:r>
            <w:r w:rsidR="00D411CE" w:rsidRPr="009430C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10942" w:rsidRPr="009430C1">
              <w:rPr>
                <w:rFonts w:ascii="Times New Roman" w:hAnsi="Times New Roman" w:cs="Times New Roman"/>
                <w:lang w:val="ro-RO"/>
              </w:rPr>
              <w:t>schimbările în structura Guvernului</w:t>
            </w:r>
            <w:r w:rsidR="00F86C77" w:rsidRPr="009430C1">
              <w:rPr>
                <w:rFonts w:ascii="Times New Roman" w:hAnsi="Times New Roman" w:cs="Times New Roman"/>
                <w:lang w:val="ro-RO"/>
              </w:rPr>
              <w:t xml:space="preserve"> și racordarea serviciilor prestate de către Ministerul Culturii, prin excluderea din anexa nr. 1 a hotărârii a sintagmei „mobile și”, dat fiind că aceste atribuții au trecut în responsabilitatea </w:t>
            </w:r>
            <w:r w:rsidR="00054631" w:rsidRPr="009430C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Serviciul</w:t>
            </w:r>
            <w:r w:rsidR="007F108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ui</w:t>
            </w:r>
            <w:r w:rsidR="00054631" w:rsidRPr="009430C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de evidență și circulație a bunurilor culturale mobile</w:t>
            </w:r>
            <w:r w:rsidR="007F1081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</w:t>
            </w:r>
          </w:p>
        </w:tc>
      </w:tr>
      <w:tr w:rsidR="00534567" w:rsidRPr="00054631" w14:paraId="12488DFC" w14:textId="77777777" w:rsidTr="00534567">
        <w:tc>
          <w:tcPr>
            <w:tcW w:w="9350" w:type="dxa"/>
            <w:shd w:val="clear" w:color="auto" w:fill="E7E6E6" w:themeFill="background2"/>
          </w:tcPr>
          <w:p w14:paraId="3731F31E" w14:textId="2641A4FA" w:rsidR="00534567" w:rsidRPr="00054631" w:rsidRDefault="00534567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5. Fundamentarea economico-financiară</w:t>
            </w:r>
          </w:p>
        </w:tc>
      </w:tr>
      <w:tr w:rsidR="00534567" w:rsidRPr="005204AF" w14:paraId="6584C23C" w14:textId="77777777" w:rsidTr="000657BF">
        <w:tc>
          <w:tcPr>
            <w:tcW w:w="9350" w:type="dxa"/>
          </w:tcPr>
          <w:p w14:paraId="169B792F" w14:textId="3E9E0FBE" w:rsidR="007C3FC5" w:rsidRPr="00054631" w:rsidRDefault="00D9701F" w:rsidP="00693B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Implementarea prezentului proiect nu necesită cheltuieli financiare suplimentare.</w:t>
            </w:r>
          </w:p>
        </w:tc>
      </w:tr>
      <w:tr w:rsidR="00534567" w:rsidRPr="00054631" w14:paraId="1DAF4D19" w14:textId="77777777" w:rsidTr="00534567">
        <w:tc>
          <w:tcPr>
            <w:tcW w:w="9350" w:type="dxa"/>
            <w:shd w:val="clear" w:color="auto" w:fill="E7E6E6" w:themeFill="background2"/>
          </w:tcPr>
          <w:p w14:paraId="28B0B227" w14:textId="693006BC" w:rsidR="00534567" w:rsidRPr="00054631" w:rsidRDefault="00534567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>6. Modul de încorporare a actului în cadrul normativ în vigoare</w:t>
            </w:r>
          </w:p>
        </w:tc>
      </w:tr>
      <w:tr w:rsidR="00534567" w:rsidRPr="005204AF" w14:paraId="1478CEA6" w14:textId="77777777" w:rsidTr="000657BF">
        <w:tc>
          <w:tcPr>
            <w:tcW w:w="9350" w:type="dxa"/>
          </w:tcPr>
          <w:p w14:paraId="17899729" w14:textId="05E5FEA6" w:rsidR="00534567" w:rsidRPr="00054631" w:rsidRDefault="008C3633" w:rsidP="0046126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 xml:space="preserve">Pentru implementarea prezentului proiect nu </w:t>
            </w:r>
            <w:r w:rsidR="00461262" w:rsidRPr="00054631">
              <w:rPr>
                <w:rFonts w:ascii="Times New Roman" w:hAnsi="Times New Roman" w:cs="Times New Roman"/>
                <w:lang w:val="ro-RO"/>
              </w:rPr>
              <w:t>este necesară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 modificarea altor acte</w:t>
            </w:r>
            <w:r w:rsidR="0037436E" w:rsidRPr="0005463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054631">
              <w:rPr>
                <w:rFonts w:ascii="Times New Roman" w:hAnsi="Times New Roman" w:cs="Times New Roman"/>
                <w:lang w:val="ro-RO"/>
              </w:rPr>
              <w:t>normative.</w:t>
            </w:r>
          </w:p>
        </w:tc>
      </w:tr>
      <w:tr w:rsidR="00534567" w:rsidRPr="005204AF" w14:paraId="0479FE57" w14:textId="77777777" w:rsidTr="00534567">
        <w:tc>
          <w:tcPr>
            <w:tcW w:w="9350" w:type="dxa"/>
            <w:shd w:val="clear" w:color="auto" w:fill="E7E6E6" w:themeFill="background2"/>
          </w:tcPr>
          <w:p w14:paraId="000615AB" w14:textId="2CEF6E0C" w:rsidR="00534567" w:rsidRPr="00054631" w:rsidRDefault="00534567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7. Avizarea </w:t>
            </w:r>
            <w:r w:rsidR="008C3633" w:rsidRPr="00054631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consultarea publică a proiectului</w:t>
            </w:r>
          </w:p>
        </w:tc>
      </w:tr>
      <w:tr w:rsidR="00534567" w:rsidRPr="005204AF" w14:paraId="7EB43D00" w14:textId="77777777" w:rsidTr="000657BF">
        <w:tc>
          <w:tcPr>
            <w:tcW w:w="9350" w:type="dxa"/>
          </w:tcPr>
          <w:p w14:paraId="20FB8E66" w14:textId="77777777" w:rsidR="00F4656C" w:rsidRPr="00054631" w:rsidRDefault="006B0150" w:rsidP="00F465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Proiectul de hotărâre a fost consultat în cadrul</w:t>
            </w:r>
            <w:r w:rsidR="000319D5" w:rsidRPr="00054631">
              <w:rPr>
                <w:rFonts w:ascii="Times New Roman" w:hAnsi="Times New Roman" w:cs="Times New Roman"/>
                <w:lang w:val="ro-RO"/>
              </w:rPr>
              <w:t xml:space="preserve"> ședințelor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 Comisiei Naționale a Muzeelor și Colecțiilor </w:t>
            </w:r>
            <w:r w:rsidR="0094660F" w:rsidRPr="00054631">
              <w:rPr>
                <w:rFonts w:ascii="Times New Roman" w:hAnsi="Times New Roman" w:cs="Times New Roman"/>
                <w:lang w:val="ro-RO"/>
              </w:rPr>
              <w:t xml:space="preserve">din 30 ianuarie 2024 și, subsecvent, </w:t>
            </w:r>
            <w:r w:rsidR="00750FD8" w:rsidRPr="00054631">
              <w:rPr>
                <w:rFonts w:ascii="Times New Roman" w:hAnsi="Times New Roman" w:cs="Times New Roman"/>
                <w:lang w:val="ro-RO"/>
              </w:rPr>
              <w:t>23 februarie 2024. În urma discuțiilor, proiectul a fost ajustat conform recomandărilor.</w:t>
            </w:r>
            <w:r w:rsidR="00DD119E" w:rsidRPr="0005463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6E14AA3C" w14:textId="65AA858C" w:rsidR="008C3633" w:rsidRDefault="00AB1A11" w:rsidP="00F465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Anunțul privind inițierea elaborării proiectului a fost</w:t>
            </w:r>
            <w:r w:rsidR="008C3633" w:rsidRPr="00054631">
              <w:rPr>
                <w:rFonts w:ascii="Times New Roman" w:hAnsi="Times New Roman" w:cs="Times New Roman"/>
                <w:lang w:val="ro-RO"/>
              </w:rPr>
              <w:t xml:space="preserve"> plasat</w:t>
            </w:r>
            <w:r w:rsidR="00A75982">
              <w:rPr>
                <w:rFonts w:ascii="Times New Roman" w:hAnsi="Times New Roman" w:cs="Times New Roman"/>
                <w:lang w:val="ro-RO"/>
              </w:rPr>
              <w:t>:</w:t>
            </w:r>
            <w:r w:rsidR="008C3633" w:rsidRPr="0005463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59D22DDD" w14:textId="01EA793A" w:rsidR="00AB1A11" w:rsidRDefault="00A75982" w:rsidP="00F465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5" w:history="1">
              <w:r w:rsidRPr="00351531">
                <w:rPr>
                  <w:rStyle w:val="a4"/>
                  <w:rFonts w:ascii="Times New Roman" w:hAnsi="Times New Roman" w:cs="Times New Roman"/>
                  <w:lang w:val="ro-RO"/>
                </w:rPr>
                <w:t>https://particip.gov.md/ro/document/stages/anunt-de-initiere-a-procesului-de-elaborare-a-proiectului-hotararii-guvernului-de-modificare-a-hotararii-guvernului-nr-13112005-cu-privire-la-aprobarea-nomenclatoarelor-serviciilor-cu-plata-prestate-de-catre-ministerul-</w:t>
              </w:r>
              <w:r w:rsidRPr="00351531">
                <w:rPr>
                  <w:rStyle w:val="a4"/>
                  <w:rFonts w:ascii="Times New Roman" w:hAnsi="Times New Roman" w:cs="Times New Roman"/>
                  <w:lang w:val="ro-RO"/>
                </w:rPr>
                <w:lastRenderedPageBreak/>
                <w:t>educatiei-culturii-si-cercetarii-si-institutiile-subordonate/12048</w:t>
              </w:r>
            </w:hyperlink>
          </w:p>
          <w:p w14:paraId="5CC4A329" w14:textId="5DC70B98" w:rsidR="00A75982" w:rsidRPr="00054631" w:rsidRDefault="00A75982" w:rsidP="00F4656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Proiectul a fost plasat pentru </w:t>
            </w:r>
            <w:r w:rsidRPr="00A75982">
              <w:rPr>
                <w:rFonts w:ascii="Times New Roman" w:hAnsi="Times New Roman" w:cs="Times New Roman"/>
                <w:lang w:val="ro-RO"/>
              </w:rPr>
              <w:t>consul</w:t>
            </w:r>
            <w:r>
              <w:rPr>
                <w:rFonts w:ascii="Times New Roman" w:hAnsi="Times New Roman" w:cs="Times New Roman"/>
                <w:lang w:val="ro-RO"/>
              </w:rPr>
              <w:t xml:space="preserve">tare publică/avizare/expertizare. </w:t>
            </w:r>
          </w:p>
        </w:tc>
      </w:tr>
      <w:tr w:rsidR="00534567" w:rsidRPr="00A75982" w14:paraId="738E6BCF" w14:textId="77777777" w:rsidTr="00534567">
        <w:tc>
          <w:tcPr>
            <w:tcW w:w="9350" w:type="dxa"/>
            <w:shd w:val="clear" w:color="auto" w:fill="E7E6E6" w:themeFill="background2"/>
          </w:tcPr>
          <w:p w14:paraId="68F0A8F3" w14:textId="1B66933D" w:rsidR="00534567" w:rsidRPr="00054631" w:rsidRDefault="00534567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8. Constatările expertizei anticorupție</w:t>
            </w:r>
          </w:p>
        </w:tc>
      </w:tr>
      <w:tr w:rsidR="00534567" w:rsidRPr="00054631" w14:paraId="4787AEE1" w14:textId="77777777" w:rsidTr="000657BF">
        <w:tc>
          <w:tcPr>
            <w:tcW w:w="9350" w:type="dxa"/>
          </w:tcPr>
          <w:p w14:paraId="1E08829E" w14:textId="7A6FC8D3" w:rsidR="00534567" w:rsidRPr="00054631" w:rsidRDefault="007549C8" w:rsidP="00693B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 xml:space="preserve">Textul proiectului va fi supus expertizei anticorupție </w:t>
            </w:r>
            <w:r w:rsidR="008E3F39" w:rsidRPr="00054631">
              <w:rPr>
                <w:rFonts w:ascii="Times New Roman" w:hAnsi="Times New Roman" w:cs="Times New Roman"/>
                <w:lang w:val="ro-RO"/>
              </w:rPr>
              <w:t xml:space="preserve">în vederea </w:t>
            </w:r>
            <w:r w:rsidRPr="00054631">
              <w:rPr>
                <w:rFonts w:ascii="Times New Roman" w:hAnsi="Times New Roman" w:cs="Times New Roman"/>
                <w:lang w:val="ro-RO"/>
              </w:rPr>
              <w:t>identific</w:t>
            </w:r>
            <w:r w:rsidR="008E3F39" w:rsidRPr="00054631">
              <w:rPr>
                <w:rFonts w:ascii="Times New Roman" w:hAnsi="Times New Roman" w:cs="Times New Roman"/>
                <w:lang w:val="ro-RO"/>
              </w:rPr>
              <w:t>ării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 factori</w:t>
            </w:r>
            <w:r w:rsidR="00D42ED1" w:rsidRPr="00054631">
              <w:rPr>
                <w:rFonts w:ascii="Times New Roman" w:hAnsi="Times New Roman" w:cs="Times New Roman"/>
                <w:lang w:val="ro-RO"/>
              </w:rPr>
              <w:t>lor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 de risc care pot</w:t>
            </w:r>
            <w:r w:rsidR="005E6C3F" w:rsidRPr="0005463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054631">
              <w:rPr>
                <w:rFonts w:ascii="Times New Roman" w:hAnsi="Times New Roman" w:cs="Times New Roman"/>
                <w:lang w:val="ro-RO"/>
              </w:rPr>
              <w:t>genera apariția riscurilor de corupție</w:t>
            </w:r>
            <w:r w:rsidR="00784C22" w:rsidRPr="00054631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534567" w:rsidRPr="00054631" w14:paraId="4409E81D" w14:textId="77777777" w:rsidTr="00534567">
        <w:tc>
          <w:tcPr>
            <w:tcW w:w="9350" w:type="dxa"/>
            <w:shd w:val="clear" w:color="auto" w:fill="E7E6E6" w:themeFill="background2"/>
          </w:tcPr>
          <w:p w14:paraId="0D34F78F" w14:textId="1D52C5F5" w:rsidR="00534567" w:rsidRPr="00054631" w:rsidRDefault="00534567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>9. Constatările expertizei de compatibilitate</w:t>
            </w:r>
          </w:p>
        </w:tc>
      </w:tr>
      <w:tr w:rsidR="00534567" w:rsidRPr="005204AF" w14:paraId="5DDAAEC6" w14:textId="77777777" w:rsidTr="000657BF">
        <w:tc>
          <w:tcPr>
            <w:tcW w:w="9350" w:type="dxa"/>
          </w:tcPr>
          <w:p w14:paraId="3F4932A8" w14:textId="77777777" w:rsidR="00232B2E" w:rsidRPr="00054631" w:rsidRDefault="00232B2E" w:rsidP="00693B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Proiectul nu vizează armonizarea legislației naționale cu legislația Uniunii Europene,</w:t>
            </w:r>
          </w:p>
          <w:p w14:paraId="7269BF3E" w14:textId="76293297" w:rsidR="00534567" w:rsidRPr="00054631" w:rsidRDefault="00232B2E" w:rsidP="00693B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>respectiv nu va fi supus expertizei de compatibilitate.</w:t>
            </w:r>
          </w:p>
        </w:tc>
      </w:tr>
      <w:tr w:rsidR="00534567" w:rsidRPr="00054631" w14:paraId="07ECBCF7" w14:textId="77777777" w:rsidTr="00534567">
        <w:tc>
          <w:tcPr>
            <w:tcW w:w="9350" w:type="dxa"/>
            <w:shd w:val="clear" w:color="auto" w:fill="E7E6E6" w:themeFill="background2"/>
          </w:tcPr>
          <w:p w14:paraId="406BF041" w14:textId="2ACC8398" w:rsidR="00534567" w:rsidRPr="00054631" w:rsidRDefault="00534567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>10. Constatările expertizei juridice</w:t>
            </w:r>
          </w:p>
        </w:tc>
      </w:tr>
      <w:tr w:rsidR="00534567" w:rsidRPr="00054631" w14:paraId="350BF8B0" w14:textId="77777777" w:rsidTr="000657BF">
        <w:tc>
          <w:tcPr>
            <w:tcW w:w="9350" w:type="dxa"/>
          </w:tcPr>
          <w:p w14:paraId="112E374B" w14:textId="73B54B43" w:rsidR="00534567" w:rsidRPr="00054631" w:rsidRDefault="00232B2E" w:rsidP="00A7598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054631">
              <w:rPr>
                <w:rFonts w:ascii="Times New Roman" w:hAnsi="Times New Roman" w:cs="Times New Roman"/>
                <w:lang w:val="ro-RO"/>
              </w:rPr>
              <w:t xml:space="preserve">Proiectul </w:t>
            </w:r>
            <w:r w:rsidR="00A75982">
              <w:rPr>
                <w:rFonts w:ascii="Times New Roman" w:hAnsi="Times New Roman" w:cs="Times New Roman"/>
                <w:lang w:val="ro-RO"/>
              </w:rPr>
              <w:t>a fost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 supus expertizei juridice, toate obiecțiile</w:t>
            </w:r>
            <w:r w:rsidR="00A75982">
              <w:rPr>
                <w:rFonts w:ascii="Times New Roman" w:hAnsi="Times New Roman" w:cs="Times New Roman"/>
                <w:lang w:val="ro-RO"/>
              </w:rPr>
              <w:t xml:space="preserve"> au fost luate în considerare și incluse în proiect.</w:t>
            </w:r>
            <w:r w:rsidRPr="00054631">
              <w:rPr>
                <w:rFonts w:ascii="Times New Roman" w:hAnsi="Times New Roman" w:cs="Times New Roman"/>
                <w:lang w:val="ro-RO"/>
              </w:rPr>
              <w:t xml:space="preserve"> </w:t>
            </w:r>
            <w:bookmarkStart w:id="0" w:name="_GoBack"/>
            <w:bookmarkEnd w:id="0"/>
          </w:p>
        </w:tc>
      </w:tr>
      <w:tr w:rsidR="00534567" w:rsidRPr="00054631" w14:paraId="1E0F8DBA" w14:textId="77777777" w:rsidTr="009430C1">
        <w:trPr>
          <w:trHeight w:val="224"/>
        </w:trPr>
        <w:tc>
          <w:tcPr>
            <w:tcW w:w="9350" w:type="dxa"/>
            <w:shd w:val="clear" w:color="auto" w:fill="E7E6E6" w:themeFill="background2"/>
          </w:tcPr>
          <w:p w14:paraId="4E473D82" w14:textId="59A18EE3" w:rsidR="00534567" w:rsidRPr="00054631" w:rsidRDefault="00534567" w:rsidP="00693B7D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>11. Constatările altor expertize</w:t>
            </w:r>
          </w:p>
        </w:tc>
      </w:tr>
      <w:tr w:rsidR="00534567" w:rsidRPr="00054631" w14:paraId="0ECED0E2" w14:textId="77777777" w:rsidTr="000657BF">
        <w:tc>
          <w:tcPr>
            <w:tcW w:w="9350" w:type="dxa"/>
          </w:tcPr>
          <w:p w14:paraId="79C4D290" w14:textId="043825D4" w:rsidR="00534567" w:rsidRPr="00054631" w:rsidRDefault="009430C1" w:rsidP="00693B7D">
            <w:pPr>
              <w:jc w:val="both"/>
              <w:rPr>
                <w:rFonts w:ascii="Times New Roman" w:hAnsi="Times New Roman" w:cs="Times New Roman"/>
                <w:strike/>
                <w:lang w:val="ro-RO"/>
              </w:rPr>
            </w:pPr>
            <w:r w:rsidRPr="00607286">
              <w:rPr>
                <w:rFonts w:ascii="Times New Roman" w:hAnsi="Times New Roman" w:cs="Times New Roman"/>
                <w:lang w:val="ro-RO"/>
              </w:rPr>
              <w:t xml:space="preserve">Având în vedere faptul că proiectul în cauză reprezintă o ajustare tehnică, care survine în urma </w:t>
            </w:r>
            <w:r w:rsidR="00277FED" w:rsidRPr="00607286">
              <w:rPr>
                <w:rFonts w:ascii="Times New Roman" w:hAnsi="Times New Roman" w:cs="Times New Roman"/>
                <w:lang w:val="ro-RO"/>
              </w:rPr>
              <w:t>implementării HG</w:t>
            </w:r>
            <w:r w:rsidR="00277FED" w:rsidRPr="00054631">
              <w:rPr>
                <w:rFonts w:ascii="Times New Roman" w:hAnsi="Times New Roman" w:cs="Times New Roman"/>
                <w:lang w:val="ro-RO"/>
              </w:rPr>
              <w:t xml:space="preserve"> 470/2023 pentru punerea în aplicare a prevederilor Legii 280/2011 privind protejarea patrimoniului cultural național mobil</w:t>
            </w:r>
            <w:r w:rsidR="00277FED">
              <w:rPr>
                <w:rFonts w:ascii="Times New Roman" w:hAnsi="Times New Roman" w:cs="Times New Roman"/>
                <w:lang w:val="ro-RO"/>
              </w:rPr>
              <w:t xml:space="preserve">, proiectul nu necesită </w:t>
            </w:r>
            <w:r w:rsidR="001F5D5E">
              <w:rPr>
                <w:rFonts w:ascii="Times New Roman" w:hAnsi="Times New Roman" w:cs="Times New Roman"/>
                <w:lang w:val="ro-RO"/>
              </w:rPr>
              <w:t>expertizare suplimentară.</w:t>
            </w:r>
          </w:p>
        </w:tc>
      </w:tr>
    </w:tbl>
    <w:p w14:paraId="5817CEAD" w14:textId="0A1BF32E" w:rsidR="002356F1" w:rsidRPr="00054631" w:rsidRDefault="002356F1" w:rsidP="00693B7D">
      <w:pPr>
        <w:jc w:val="both"/>
        <w:rPr>
          <w:rFonts w:ascii="Times New Roman" w:hAnsi="Times New Roman" w:cs="Times New Roman"/>
          <w:lang w:val="ro-R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92B29" w:rsidRPr="00054631" w14:paraId="1E24E7E2" w14:textId="77777777" w:rsidTr="00C31605">
        <w:tc>
          <w:tcPr>
            <w:tcW w:w="4508" w:type="dxa"/>
          </w:tcPr>
          <w:p w14:paraId="05DCC42B" w14:textId="3E058BF8" w:rsidR="00892B29" w:rsidRPr="00054631" w:rsidRDefault="00892B29" w:rsidP="00C31605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Ministrul </w:t>
            </w:r>
            <w:r w:rsidR="00227DE7" w:rsidRPr="00054631">
              <w:rPr>
                <w:rFonts w:ascii="Times New Roman" w:hAnsi="Times New Roman" w:cs="Times New Roman"/>
                <w:b/>
                <w:bCs/>
                <w:lang w:val="ro-RO"/>
              </w:rPr>
              <w:t>Culturii</w:t>
            </w:r>
          </w:p>
        </w:tc>
        <w:tc>
          <w:tcPr>
            <w:tcW w:w="4508" w:type="dxa"/>
          </w:tcPr>
          <w:p w14:paraId="015E6A69" w14:textId="47CDEB28" w:rsidR="00892B29" w:rsidRPr="00054631" w:rsidRDefault="00C93E88" w:rsidP="00C3160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4631">
              <w:rPr>
                <w:rFonts w:ascii="Times New Roman" w:hAnsi="Times New Roman" w:cs="Times New Roman"/>
                <w:b/>
                <w:bCs/>
                <w:lang w:val="ro-RO"/>
              </w:rPr>
              <w:t>Sergiu PRODAN</w:t>
            </w:r>
          </w:p>
        </w:tc>
      </w:tr>
    </w:tbl>
    <w:p w14:paraId="6D4CF37D" w14:textId="77777777" w:rsidR="00892B29" w:rsidRPr="00054631" w:rsidRDefault="00892B29" w:rsidP="00693B7D">
      <w:pPr>
        <w:jc w:val="both"/>
        <w:rPr>
          <w:rFonts w:ascii="Times New Roman" w:hAnsi="Times New Roman" w:cs="Times New Roman"/>
          <w:lang w:val="ro-RO"/>
        </w:rPr>
      </w:pPr>
    </w:p>
    <w:sectPr w:rsidR="00892B29" w:rsidRPr="00054631" w:rsidSect="005F69D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nest Regular">
    <w:altName w:val="Times New Roman"/>
    <w:charset w:val="00"/>
    <w:family w:val="auto"/>
    <w:pitch w:val="variable"/>
    <w:sig w:usb0="00000001" w:usb1="0000806A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56"/>
    <w:rsid w:val="0000114A"/>
    <w:rsid w:val="000055D5"/>
    <w:rsid w:val="00013CC2"/>
    <w:rsid w:val="00014B34"/>
    <w:rsid w:val="00015BD1"/>
    <w:rsid w:val="00027594"/>
    <w:rsid w:val="000319D5"/>
    <w:rsid w:val="00031CA4"/>
    <w:rsid w:val="000331E4"/>
    <w:rsid w:val="00043224"/>
    <w:rsid w:val="000534E0"/>
    <w:rsid w:val="00053988"/>
    <w:rsid w:val="00054631"/>
    <w:rsid w:val="000657BF"/>
    <w:rsid w:val="00097723"/>
    <w:rsid w:val="000A5E7B"/>
    <w:rsid w:val="000A6C7E"/>
    <w:rsid w:val="000A6ED9"/>
    <w:rsid w:val="000B2265"/>
    <w:rsid w:val="000D5C2A"/>
    <w:rsid w:val="000E29F5"/>
    <w:rsid w:val="000E73AE"/>
    <w:rsid w:val="000F774B"/>
    <w:rsid w:val="001214BC"/>
    <w:rsid w:val="00132CCD"/>
    <w:rsid w:val="00133E9E"/>
    <w:rsid w:val="00140F51"/>
    <w:rsid w:val="00155A9F"/>
    <w:rsid w:val="001602B1"/>
    <w:rsid w:val="00162B46"/>
    <w:rsid w:val="00181473"/>
    <w:rsid w:val="00192E2F"/>
    <w:rsid w:val="00197B49"/>
    <w:rsid w:val="001B72E0"/>
    <w:rsid w:val="001D6327"/>
    <w:rsid w:val="001E1A37"/>
    <w:rsid w:val="001E3E3E"/>
    <w:rsid w:val="001E7DC7"/>
    <w:rsid w:val="001F5D5E"/>
    <w:rsid w:val="00205158"/>
    <w:rsid w:val="00211027"/>
    <w:rsid w:val="0021144B"/>
    <w:rsid w:val="002121E7"/>
    <w:rsid w:val="00215B0A"/>
    <w:rsid w:val="00223DCB"/>
    <w:rsid w:val="002274DA"/>
    <w:rsid w:val="00227DE7"/>
    <w:rsid w:val="00232B2E"/>
    <w:rsid w:val="002356F1"/>
    <w:rsid w:val="00245214"/>
    <w:rsid w:val="00247287"/>
    <w:rsid w:val="0025684E"/>
    <w:rsid w:val="00263BEE"/>
    <w:rsid w:val="00272E78"/>
    <w:rsid w:val="00277FED"/>
    <w:rsid w:val="002A24C6"/>
    <w:rsid w:val="002A7115"/>
    <w:rsid w:val="002B2637"/>
    <w:rsid w:val="002E1906"/>
    <w:rsid w:val="0030676B"/>
    <w:rsid w:val="00314B1B"/>
    <w:rsid w:val="003324C2"/>
    <w:rsid w:val="00354590"/>
    <w:rsid w:val="00356289"/>
    <w:rsid w:val="0035636D"/>
    <w:rsid w:val="0036317C"/>
    <w:rsid w:val="00363821"/>
    <w:rsid w:val="003638C4"/>
    <w:rsid w:val="0037436E"/>
    <w:rsid w:val="00380A86"/>
    <w:rsid w:val="003816C9"/>
    <w:rsid w:val="00385983"/>
    <w:rsid w:val="00391FB4"/>
    <w:rsid w:val="00392311"/>
    <w:rsid w:val="00392BDF"/>
    <w:rsid w:val="003966D5"/>
    <w:rsid w:val="003A1BD5"/>
    <w:rsid w:val="003A311D"/>
    <w:rsid w:val="003A3567"/>
    <w:rsid w:val="0041007F"/>
    <w:rsid w:val="004141EF"/>
    <w:rsid w:val="00417F26"/>
    <w:rsid w:val="0044017D"/>
    <w:rsid w:val="00442DE5"/>
    <w:rsid w:val="00460042"/>
    <w:rsid w:val="00461262"/>
    <w:rsid w:val="00477CAA"/>
    <w:rsid w:val="0048476D"/>
    <w:rsid w:val="00485E72"/>
    <w:rsid w:val="00491498"/>
    <w:rsid w:val="004A7508"/>
    <w:rsid w:val="004C387A"/>
    <w:rsid w:val="004D261F"/>
    <w:rsid w:val="004D4FD3"/>
    <w:rsid w:val="004D5241"/>
    <w:rsid w:val="004F3B9B"/>
    <w:rsid w:val="00505EF5"/>
    <w:rsid w:val="005204AF"/>
    <w:rsid w:val="00534567"/>
    <w:rsid w:val="005427DE"/>
    <w:rsid w:val="00562435"/>
    <w:rsid w:val="00582C2D"/>
    <w:rsid w:val="00587C9B"/>
    <w:rsid w:val="00596E3E"/>
    <w:rsid w:val="005A1048"/>
    <w:rsid w:val="005A79C8"/>
    <w:rsid w:val="005C0C86"/>
    <w:rsid w:val="005C52E9"/>
    <w:rsid w:val="005E5A6B"/>
    <w:rsid w:val="005E6C3F"/>
    <w:rsid w:val="005F69DC"/>
    <w:rsid w:val="00602956"/>
    <w:rsid w:val="00607286"/>
    <w:rsid w:val="00616B41"/>
    <w:rsid w:val="00643B46"/>
    <w:rsid w:val="006822F4"/>
    <w:rsid w:val="00693B7D"/>
    <w:rsid w:val="00694550"/>
    <w:rsid w:val="00696293"/>
    <w:rsid w:val="006A4AEA"/>
    <w:rsid w:val="006A72D0"/>
    <w:rsid w:val="006B0150"/>
    <w:rsid w:val="00705F5E"/>
    <w:rsid w:val="007124C0"/>
    <w:rsid w:val="00750FD8"/>
    <w:rsid w:val="007549C8"/>
    <w:rsid w:val="00756DE4"/>
    <w:rsid w:val="0076379F"/>
    <w:rsid w:val="007700C4"/>
    <w:rsid w:val="007744DE"/>
    <w:rsid w:val="007757E2"/>
    <w:rsid w:val="00784C22"/>
    <w:rsid w:val="007A1295"/>
    <w:rsid w:val="007B0CC5"/>
    <w:rsid w:val="007C3FC5"/>
    <w:rsid w:val="007C7C65"/>
    <w:rsid w:val="007E3927"/>
    <w:rsid w:val="007E7E53"/>
    <w:rsid w:val="007F1081"/>
    <w:rsid w:val="007F26A3"/>
    <w:rsid w:val="007F60BF"/>
    <w:rsid w:val="008066A0"/>
    <w:rsid w:val="00810942"/>
    <w:rsid w:val="00821A36"/>
    <w:rsid w:val="00824903"/>
    <w:rsid w:val="008307DA"/>
    <w:rsid w:val="00851696"/>
    <w:rsid w:val="00860CC5"/>
    <w:rsid w:val="00866104"/>
    <w:rsid w:val="00870BB1"/>
    <w:rsid w:val="00877006"/>
    <w:rsid w:val="008868B6"/>
    <w:rsid w:val="00890584"/>
    <w:rsid w:val="00892851"/>
    <w:rsid w:val="00892B29"/>
    <w:rsid w:val="008A149A"/>
    <w:rsid w:val="008A1571"/>
    <w:rsid w:val="008A32E5"/>
    <w:rsid w:val="008B2E00"/>
    <w:rsid w:val="008C03DD"/>
    <w:rsid w:val="008C3633"/>
    <w:rsid w:val="008D19B8"/>
    <w:rsid w:val="008E3C01"/>
    <w:rsid w:val="008E3F39"/>
    <w:rsid w:val="008F544C"/>
    <w:rsid w:val="009123DA"/>
    <w:rsid w:val="0091522A"/>
    <w:rsid w:val="009273BD"/>
    <w:rsid w:val="00930FCE"/>
    <w:rsid w:val="009430C1"/>
    <w:rsid w:val="009444FF"/>
    <w:rsid w:val="0094660F"/>
    <w:rsid w:val="009525E7"/>
    <w:rsid w:val="0095558B"/>
    <w:rsid w:val="009650ED"/>
    <w:rsid w:val="00967F74"/>
    <w:rsid w:val="00975BBB"/>
    <w:rsid w:val="0098116A"/>
    <w:rsid w:val="009904E8"/>
    <w:rsid w:val="009971C8"/>
    <w:rsid w:val="009A2760"/>
    <w:rsid w:val="009C491B"/>
    <w:rsid w:val="009F433C"/>
    <w:rsid w:val="00A10E57"/>
    <w:rsid w:val="00A24293"/>
    <w:rsid w:val="00A27AEC"/>
    <w:rsid w:val="00A55EC5"/>
    <w:rsid w:val="00A60C58"/>
    <w:rsid w:val="00A618A9"/>
    <w:rsid w:val="00A6362D"/>
    <w:rsid w:val="00A63D1F"/>
    <w:rsid w:val="00A75982"/>
    <w:rsid w:val="00AB1A11"/>
    <w:rsid w:val="00AC1C27"/>
    <w:rsid w:val="00AE3EBE"/>
    <w:rsid w:val="00AF146A"/>
    <w:rsid w:val="00AF41C6"/>
    <w:rsid w:val="00B0089F"/>
    <w:rsid w:val="00B06532"/>
    <w:rsid w:val="00B1386F"/>
    <w:rsid w:val="00B4615B"/>
    <w:rsid w:val="00B74E32"/>
    <w:rsid w:val="00B86AC3"/>
    <w:rsid w:val="00B937A8"/>
    <w:rsid w:val="00BB64B9"/>
    <w:rsid w:val="00BF2ACF"/>
    <w:rsid w:val="00BF459D"/>
    <w:rsid w:val="00C04E42"/>
    <w:rsid w:val="00C12835"/>
    <w:rsid w:val="00C24C68"/>
    <w:rsid w:val="00C31605"/>
    <w:rsid w:val="00C35703"/>
    <w:rsid w:val="00C446D0"/>
    <w:rsid w:val="00C92B79"/>
    <w:rsid w:val="00C93E88"/>
    <w:rsid w:val="00C9661C"/>
    <w:rsid w:val="00CA5479"/>
    <w:rsid w:val="00CF1538"/>
    <w:rsid w:val="00D02142"/>
    <w:rsid w:val="00D10809"/>
    <w:rsid w:val="00D32EDF"/>
    <w:rsid w:val="00D411CE"/>
    <w:rsid w:val="00D42ED1"/>
    <w:rsid w:val="00D575D4"/>
    <w:rsid w:val="00D62AC2"/>
    <w:rsid w:val="00D7010D"/>
    <w:rsid w:val="00D7098C"/>
    <w:rsid w:val="00D73E39"/>
    <w:rsid w:val="00D77467"/>
    <w:rsid w:val="00D93024"/>
    <w:rsid w:val="00D9701F"/>
    <w:rsid w:val="00DA110D"/>
    <w:rsid w:val="00DA1170"/>
    <w:rsid w:val="00DB475F"/>
    <w:rsid w:val="00DD119E"/>
    <w:rsid w:val="00DD6D73"/>
    <w:rsid w:val="00DE3E34"/>
    <w:rsid w:val="00E0159A"/>
    <w:rsid w:val="00E30210"/>
    <w:rsid w:val="00E664BC"/>
    <w:rsid w:val="00E74D92"/>
    <w:rsid w:val="00E96EFE"/>
    <w:rsid w:val="00EA3EDE"/>
    <w:rsid w:val="00EA443A"/>
    <w:rsid w:val="00EB1414"/>
    <w:rsid w:val="00EB2E62"/>
    <w:rsid w:val="00EB383E"/>
    <w:rsid w:val="00EC0FFA"/>
    <w:rsid w:val="00EC28CA"/>
    <w:rsid w:val="00ED52D6"/>
    <w:rsid w:val="00EE61BB"/>
    <w:rsid w:val="00EE6355"/>
    <w:rsid w:val="00EF1E58"/>
    <w:rsid w:val="00F300D0"/>
    <w:rsid w:val="00F442F4"/>
    <w:rsid w:val="00F4656C"/>
    <w:rsid w:val="00F53610"/>
    <w:rsid w:val="00F63234"/>
    <w:rsid w:val="00F750B0"/>
    <w:rsid w:val="00F7567F"/>
    <w:rsid w:val="00F86C77"/>
    <w:rsid w:val="00F87EEC"/>
    <w:rsid w:val="00F90E5D"/>
    <w:rsid w:val="00F94521"/>
    <w:rsid w:val="00F9486D"/>
    <w:rsid w:val="00FB2D68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nest Regular" w:eastAsiaTheme="minorHAnsi" w:hAnsi="Onest Regular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363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C3633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9C491B"/>
    <w:pPr>
      <w:spacing w:after="0" w:line="240" w:lineRule="auto"/>
    </w:pPr>
  </w:style>
  <w:style w:type="character" w:styleId="a6">
    <w:name w:val="Emphasis"/>
    <w:basedOn w:val="a0"/>
    <w:uiPriority w:val="20"/>
    <w:qFormat/>
    <w:rsid w:val="00461262"/>
    <w:rPr>
      <w:i/>
      <w:iCs/>
    </w:rPr>
  </w:style>
  <w:style w:type="paragraph" w:styleId="a7">
    <w:name w:val="List Paragraph"/>
    <w:basedOn w:val="a"/>
    <w:uiPriority w:val="34"/>
    <w:qFormat/>
    <w:rsid w:val="00460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nest Regular" w:eastAsiaTheme="minorHAnsi" w:hAnsi="Onest Regular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363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C3633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9C491B"/>
    <w:pPr>
      <w:spacing w:after="0" w:line="240" w:lineRule="auto"/>
    </w:pPr>
  </w:style>
  <w:style w:type="character" w:styleId="a6">
    <w:name w:val="Emphasis"/>
    <w:basedOn w:val="a0"/>
    <w:uiPriority w:val="20"/>
    <w:qFormat/>
    <w:rsid w:val="00461262"/>
    <w:rPr>
      <w:i/>
      <w:iCs/>
    </w:rPr>
  </w:style>
  <w:style w:type="paragraph" w:styleId="a7">
    <w:name w:val="List Paragraph"/>
    <w:basedOn w:val="a"/>
    <w:uiPriority w:val="34"/>
    <w:qFormat/>
    <w:rsid w:val="0046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anunt-de-initiere-a-procesului-de-elaborare-a-proiectului-hotararii-guvernului-de-modificare-a-hotararii-guvernului-nr-13112005-cu-privire-la-aprobarea-nomenclatoarelor-serviciilor-cu-plata-prestate-de-catre-ministerul-educatiei-culturii-si-cercetarii-si-institutiile-subordonate/12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1414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Serotila</dc:creator>
  <cp:lastModifiedBy>Director</cp:lastModifiedBy>
  <cp:revision>2</cp:revision>
  <dcterms:created xsi:type="dcterms:W3CDTF">2024-11-12T09:14:00Z</dcterms:created>
  <dcterms:modified xsi:type="dcterms:W3CDTF">2024-11-12T09:14:00Z</dcterms:modified>
</cp:coreProperties>
</file>