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C0A413" w14:textId="2F052FA6" w:rsidR="00C13281" w:rsidRPr="002709EA" w:rsidRDefault="005612E9" w:rsidP="008F39CF">
      <w:pPr>
        <w:jc w:val="center"/>
        <w:rPr>
          <w:rFonts w:ascii="Times New Roman" w:hAnsi="Times New Roman" w:cs="Times New Roman"/>
          <w:b/>
          <w:sz w:val="24"/>
          <w:szCs w:val="24"/>
          <w:lang w:val="ro-RO"/>
        </w:rPr>
      </w:pPr>
      <w:r w:rsidRPr="002709EA">
        <w:rPr>
          <w:rFonts w:ascii="Times New Roman" w:hAnsi="Times New Roman" w:cs="Times New Roman"/>
          <w:b/>
          <w:sz w:val="24"/>
          <w:szCs w:val="24"/>
          <w:lang w:val="ro-RO"/>
        </w:rPr>
        <w:t>TABEL COMPARATIV</w:t>
      </w:r>
    </w:p>
    <w:p w14:paraId="2D5B6D89" w14:textId="77BA5236" w:rsidR="00C13281" w:rsidRPr="002709EA" w:rsidRDefault="005612E9" w:rsidP="008F39CF">
      <w:pPr>
        <w:jc w:val="center"/>
        <w:rPr>
          <w:rFonts w:ascii="Times New Roman" w:hAnsi="Times New Roman" w:cs="Times New Roman"/>
          <w:b/>
          <w:sz w:val="24"/>
          <w:szCs w:val="24"/>
          <w:lang w:val="ro-RO"/>
        </w:rPr>
      </w:pPr>
      <w:r>
        <w:rPr>
          <w:rFonts w:ascii="Times New Roman" w:hAnsi="Times New Roman" w:cs="Times New Roman"/>
          <w:b/>
          <w:sz w:val="24"/>
          <w:szCs w:val="24"/>
          <w:lang w:val="ro-RO"/>
        </w:rPr>
        <w:t>al</w:t>
      </w:r>
      <w:r w:rsidR="00C13281" w:rsidRPr="002709EA">
        <w:rPr>
          <w:rFonts w:ascii="Times New Roman" w:hAnsi="Times New Roman" w:cs="Times New Roman"/>
          <w:b/>
          <w:sz w:val="24"/>
          <w:szCs w:val="24"/>
          <w:lang w:val="ro-RO"/>
        </w:rPr>
        <w:t xml:space="preserve"> Proiectul</w:t>
      </w:r>
      <w:r>
        <w:rPr>
          <w:rFonts w:ascii="Times New Roman" w:hAnsi="Times New Roman" w:cs="Times New Roman"/>
          <w:b/>
          <w:sz w:val="24"/>
          <w:szCs w:val="24"/>
          <w:lang w:val="ro-RO"/>
        </w:rPr>
        <w:t>ui</w:t>
      </w:r>
      <w:r w:rsidR="00C13281" w:rsidRPr="002709EA">
        <w:rPr>
          <w:rFonts w:ascii="Times New Roman" w:hAnsi="Times New Roman" w:cs="Times New Roman"/>
          <w:b/>
          <w:sz w:val="24"/>
          <w:szCs w:val="24"/>
          <w:lang w:val="ro-RO"/>
        </w:rPr>
        <w:t xml:space="preserve"> de Hotărâre a Guvernului cu privire la modificarea Hotărârii Guvernului nr. 1311/2005 cu privire la aprobarea nomenclatoarelor serviciilor cu plată prestate de către Ministerul Educației, Culturii și Cercetării și instituțiile subordonate</w:t>
      </w:r>
    </w:p>
    <w:tbl>
      <w:tblPr>
        <w:tblStyle w:val="a3"/>
        <w:tblW w:w="5000" w:type="pct"/>
        <w:tblLook w:val="04A0" w:firstRow="1" w:lastRow="0" w:firstColumn="1" w:lastColumn="0" w:noHBand="0" w:noVBand="1"/>
      </w:tblPr>
      <w:tblGrid>
        <w:gridCol w:w="581"/>
        <w:gridCol w:w="2541"/>
        <w:gridCol w:w="5267"/>
        <w:gridCol w:w="6114"/>
      </w:tblGrid>
      <w:tr w:rsidR="008F39CF" w:rsidRPr="00381993" w14:paraId="5AF64FEB" w14:textId="77777777" w:rsidTr="000E268A">
        <w:tc>
          <w:tcPr>
            <w:tcW w:w="200" w:type="pct"/>
          </w:tcPr>
          <w:p w14:paraId="6A45D119" w14:textId="77777777" w:rsidR="008F39CF" w:rsidRPr="00381993" w:rsidRDefault="008F39CF" w:rsidP="008F39CF">
            <w:pPr>
              <w:jc w:val="center"/>
              <w:rPr>
                <w:rFonts w:ascii="Times New Roman" w:hAnsi="Times New Roman" w:cs="Times New Roman"/>
                <w:b/>
                <w:lang w:val="ro-RO"/>
              </w:rPr>
            </w:pPr>
            <w:r w:rsidRPr="00381993">
              <w:rPr>
                <w:rFonts w:ascii="Times New Roman" w:hAnsi="Times New Roman" w:cs="Times New Roman"/>
                <w:b/>
                <w:lang w:val="ro-RO"/>
              </w:rPr>
              <w:t>Nr.</w:t>
            </w:r>
          </w:p>
        </w:tc>
        <w:tc>
          <w:tcPr>
            <w:tcW w:w="876" w:type="pct"/>
          </w:tcPr>
          <w:p w14:paraId="13738E51" w14:textId="77777777" w:rsidR="008F39CF" w:rsidRPr="00381993" w:rsidRDefault="008F39CF" w:rsidP="008F39CF">
            <w:pPr>
              <w:jc w:val="center"/>
              <w:rPr>
                <w:rFonts w:ascii="Times New Roman" w:hAnsi="Times New Roman" w:cs="Times New Roman"/>
                <w:b/>
                <w:lang w:val="ro-RO"/>
              </w:rPr>
            </w:pPr>
            <w:r w:rsidRPr="00381993">
              <w:rPr>
                <w:rFonts w:ascii="Times New Roman" w:hAnsi="Times New Roman" w:cs="Times New Roman"/>
                <w:b/>
                <w:lang w:val="ro-RO"/>
              </w:rPr>
              <w:t>Reglementările în vigoare</w:t>
            </w:r>
          </w:p>
        </w:tc>
        <w:tc>
          <w:tcPr>
            <w:tcW w:w="1816" w:type="pct"/>
          </w:tcPr>
          <w:p w14:paraId="532771EC" w14:textId="77777777" w:rsidR="008F39CF" w:rsidRPr="00381993" w:rsidRDefault="008F39CF" w:rsidP="008F39CF">
            <w:pPr>
              <w:jc w:val="center"/>
              <w:rPr>
                <w:rFonts w:ascii="Times New Roman" w:hAnsi="Times New Roman" w:cs="Times New Roman"/>
                <w:b/>
                <w:lang w:val="ro-RO"/>
              </w:rPr>
            </w:pPr>
            <w:r w:rsidRPr="00381993">
              <w:rPr>
                <w:rFonts w:ascii="Times New Roman" w:hAnsi="Times New Roman" w:cs="Times New Roman"/>
                <w:b/>
                <w:lang w:val="ro-RO"/>
              </w:rPr>
              <w:t>Modificările propuse</w:t>
            </w:r>
          </w:p>
        </w:tc>
        <w:tc>
          <w:tcPr>
            <w:tcW w:w="2108" w:type="pct"/>
          </w:tcPr>
          <w:p w14:paraId="2B4A42ED" w14:textId="77777777" w:rsidR="008F39CF" w:rsidRPr="00381993" w:rsidRDefault="008F39CF" w:rsidP="008F39CF">
            <w:pPr>
              <w:jc w:val="center"/>
              <w:rPr>
                <w:rFonts w:ascii="Times New Roman" w:hAnsi="Times New Roman" w:cs="Times New Roman"/>
                <w:b/>
                <w:lang w:val="ro-RO"/>
              </w:rPr>
            </w:pPr>
            <w:r w:rsidRPr="00381993">
              <w:rPr>
                <w:rFonts w:ascii="Times New Roman" w:hAnsi="Times New Roman" w:cs="Times New Roman"/>
                <w:b/>
                <w:lang w:val="ro-RO"/>
              </w:rPr>
              <w:t>Argument</w:t>
            </w:r>
          </w:p>
        </w:tc>
      </w:tr>
      <w:tr w:rsidR="00A616D7" w:rsidRPr="0056375A" w14:paraId="3199A527" w14:textId="77777777" w:rsidTr="005612E9">
        <w:tc>
          <w:tcPr>
            <w:tcW w:w="200" w:type="pct"/>
          </w:tcPr>
          <w:p w14:paraId="3664D1B3" w14:textId="77777777" w:rsidR="00A616D7" w:rsidRPr="00381993" w:rsidRDefault="00A616D7" w:rsidP="008F39CF">
            <w:pPr>
              <w:jc w:val="center"/>
              <w:rPr>
                <w:rFonts w:ascii="Times New Roman" w:hAnsi="Times New Roman" w:cs="Times New Roman"/>
                <w:lang w:val="ro-RO"/>
              </w:rPr>
            </w:pPr>
            <w:r w:rsidRPr="00381993">
              <w:rPr>
                <w:rFonts w:ascii="Times New Roman" w:hAnsi="Times New Roman" w:cs="Times New Roman"/>
                <w:lang w:val="ro-RO"/>
              </w:rPr>
              <w:t>1</w:t>
            </w:r>
          </w:p>
        </w:tc>
        <w:tc>
          <w:tcPr>
            <w:tcW w:w="4800" w:type="pct"/>
            <w:gridSpan w:val="3"/>
          </w:tcPr>
          <w:p w14:paraId="6B9AED97" w14:textId="05CD8976" w:rsidR="00A616D7" w:rsidRPr="00381993" w:rsidRDefault="00A616D7" w:rsidP="00A616D7">
            <w:pPr>
              <w:rPr>
                <w:rFonts w:ascii="Times New Roman" w:hAnsi="Times New Roman" w:cs="Times New Roman"/>
                <w:lang w:val="ro-RO"/>
              </w:rPr>
            </w:pPr>
            <w:r w:rsidRPr="00381993">
              <w:rPr>
                <w:rStyle w:val="a4"/>
                <w:rFonts w:ascii="Times New Roman" w:hAnsi="Times New Roman" w:cs="Times New Roman"/>
                <w:shd w:val="clear" w:color="auto" w:fill="FFFFFF"/>
                <w:lang w:val="ro-RO"/>
              </w:rPr>
              <w:t>În denumire și pe tot parcursul textului hotărârii și al anexelor</w:t>
            </w:r>
          </w:p>
        </w:tc>
      </w:tr>
      <w:tr w:rsidR="0042330F" w:rsidRPr="0056375A" w14:paraId="46C0EDF8" w14:textId="77777777" w:rsidTr="000E268A">
        <w:tc>
          <w:tcPr>
            <w:tcW w:w="200" w:type="pct"/>
          </w:tcPr>
          <w:p w14:paraId="6E61A733" w14:textId="77777777" w:rsidR="0042330F" w:rsidRPr="00381993" w:rsidRDefault="0042330F" w:rsidP="0042330F">
            <w:pPr>
              <w:jc w:val="center"/>
              <w:rPr>
                <w:rFonts w:ascii="Times New Roman" w:hAnsi="Times New Roman" w:cs="Times New Roman"/>
                <w:lang w:val="ro-RO"/>
              </w:rPr>
            </w:pPr>
          </w:p>
        </w:tc>
        <w:tc>
          <w:tcPr>
            <w:tcW w:w="876" w:type="pct"/>
          </w:tcPr>
          <w:p w14:paraId="33584E28" w14:textId="7C3914C0" w:rsidR="0042330F" w:rsidRPr="00381993" w:rsidRDefault="00856966" w:rsidP="0042330F">
            <w:pPr>
              <w:rPr>
                <w:rStyle w:val="a4"/>
                <w:rFonts w:ascii="Times New Roman" w:hAnsi="Times New Roman" w:cs="Times New Roman"/>
                <w:shd w:val="clear" w:color="auto" w:fill="FFFFFF"/>
                <w:lang w:val="ro-RO"/>
              </w:rPr>
            </w:pPr>
            <w:r w:rsidRPr="00381993">
              <w:rPr>
                <w:rFonts w:ascii="Times New Roman" w:hAnsi="Times New Roman" w:cs="Times New Roman"/>
                <w:lang w:val="ro-RO" w:eastAsia="ru-RU"/>
              </w:rPr>
              <w:t>Ministerul Educației, Culturii și Cercetării</w:t>
            </w:r>
          </w:p>
        </w:tc>
        <w:tc>
          <w:tcPr>
            <w:tcW w:w="1816" w:type="pct"/>
          </w:tcPr>
          <w:p w14:paraId="679C21C6" w14:textId="11FFBB1F" w:rsidR="0042330F" w:rsidRPr="00381993" w:rsidRDefault="0029169B" w:rsidP="0042330F">
            <w:pPr>
              <w:tabs>
                <w:tab w:val="num" w:pos="360"/>
              </w:tabs>
              <w:jc w:val="both"/>
              <w:rPr>
                <w:rFonts w:ascii="Times New Roman" w:hAnsi="Times New Roman" w:cs="Times New Roman"/>
                <w:lang w:val="ro-RO"/>
              </w:rPr>
            </w:pPr>
            <w:r w:rsidRPr="00381993">
              <w:rPr>
                <w:rFonts w:ascii="Times New Roman" w:hAnsi="Times New Roman" w:cs="Times New Roman"/>
                <w:lang w:val="ro-RO" w:eastAsia="ru-RU"/>
              </w:rPr>
              <w:t>Ministerul Educației</w:t>
            </w:r>
            <w:r>
              <w:rPr>
                <w:rFonts w:ascii="Times New Roman" w:hAnsi="Times New Roman" w:cs="Times New Roman"/>
                <w:lang w:val="ro-RO" w:eastAsia="ru-RU"/>
              </w:rPr>
              <w:t xml:space="preserve"> </w:t>
            </w:r>
            <w:r w:rsidRPr="00381993">
              <w:rPr>
                <w:rFonts w:ascii="Times New Roman" w:hAnsi="Times New Roman" w:cs="Times New Roman"/>
                <w:lang w:val="ro-RO" w:eastAsia="ru-RU"/>
              </w:rPr>
              <w:t>și Cercetării</w:t>
            </w:r>
            <w:r>
              <w:rPr>
                <w:rFonts w:ascii="Times New Roman" w:hAnsi="Times New Roman" w:cs="Times New Roman"/>
                <w:lang w:val="ro-RO" w:eastAsia="ru-RU"/>
              </w:rPr>
              <w:t xml:space="preserve">, </w:t>
            </w:r>
            <w:r w:rsidR="00856966" w:rsidRPr="00381993">
              <w:rPr>
                <w:rFonts w:ascii="Times New Roman" w:hAnsi="Times New Roman" w:cs="Times New Roman"/>
                <w:lang w:val="ro-RO"/>
              </w:rPr>
              <w:t>Ministerul Culturii</w:t>
            </w:r>
          </w:p>
        </w:tc>
        <w:tc>
          <w:tcPr>
            <w:tcW w:w="2108" w:type="pct"/>
          </w:tcPr>
          <w:p w14:paraId="1344B136" w14:textId="77777777" w:rsidR="0042330F" w:rsidRPr="00381993" w:rsidRDefault="000C3DB9" w:rsidP="00FF515D">
            <w:pPr>
              <w:pStyle w:val="1"/>
              <w:spacing w:before="0" w:after="0"/>
              <w:jc w:val="both"/>
              <w:rPr>
                <w:sz w:val="22"/>
                <w:szCs w:val="22"/>
                <w:lang w:val="ro-RO"/>
              </w:rPr>
            </w:pPr>
            <w:r w:rsidRPr="00381993">
              <w:rPr>
                <w:sz w:val="22"/>
                <w:szCs w:val="22"/>
                <w:lang w:val="ro-RO"/>
              </w:rPr>
              <w:t xml:space="preserve">Proiectul vine să ajusteze redacțional HG 1311/2005 la structura și componența Guvernului Republicii Moldova în conformitate cu </w:t>
            </w:r>
            <w:r w:rsidR="00765621" w:rsidRPr="00381993">
              <w:rPr>
                <w:sz w:val="22"/>
                <w:szCs w:val="22"/>
                <w:lang w:val="ro-RO"/>
              </w:rPr>
              <w:t xml:space="preserve">Hotărârea Parlamentului nr. 28 </w:t>
            </w:r>
            <w:r w:rsidR="00407708" w:rsidRPr="00381993">
              <w:rPr>
                <w:sz w:val="22"/>
                <w:szCs w:val="22"/>
                <w:lang w:val="ro-RO"/>
              </w:rPr>
              <w:t>din 16 februarie 2023 pentru aprobarea Programului de activitate al Guvernului și acordarea votului</w:t>
            </w:r>
            <w:r w:rsidR="00724D39" w:rsidRPr="00381993">
              <w:rPr>
                <w:sz w:val="22"/>
                <w:szCs w:val="22"/>
                <w:lang w:val="ro-RO"/>
              </w:rPr>
              <w:t xml:space="preserve"> </w:t>
            </w:r>
            <w:r w:rsidR="00407708" w:rsidRPr="00381993">
              <w:rPr>
                <w:sz w:val="22"/>
                <w:szCs w:val="22"/>
                <w:lang w:val="ro-RO"/>
              </w:rPr>
              <w:t>de încredere Guvernului</w:t>
            </w:r>
            <w:r w:rsidR="00724D39" w:rsidRPr="00381993">
              <w:rPr>
                <w:sz w:val="22"/>
                <w:szCs w:val="22"/>
                <w:lang w:val="ro-RO"/>
              </w:rPr>
              <w:t>.</w:t>
            </w:r>
          </w:p>
          <w:p w14:paraId="09A62AB4" w14:textId="4743808A" w:rsidR="00743D52" w:rsidRPr="00381993" w:rsidRDefault="00743D52" w:rsidP="00FF515D">
            <w:pPr>
              <w:pStyle w:val="1"/>
              <w:spacing w:before="0" w:after="0"/>
              <w:jc w:val="both"/>
              <w:rPr>
                <w:sz w:val="22"/>
                <w:szCs w:val="22"/>
                <w:lang w:val="ro-RO"/>
              </w:rPr>
            </w:pPr>
            <w:r w:rsidRPr="00381993">
              <w:rPr>
                <w:sz w:val="22"/>
                <w:szCs w:val="22"/>
                <w:lang w:val="ro-RO"/>
              </w:rPr>
              <w:t xml:space="preserve">Totodată, eliminarea din proiect a </w:t>
            </w:r>
            <w:r w:rsidR="00822CC1">
              <w:rPr>
                <w:sz w:val="22"/>
                <w:szCs w:val="22"/>
                <w:lang w:val="ro-RO"/>
              </w:rPr>
              <w:t>sintagmei</w:t>
            </w:r>
            <w:r w:rsidRPr="00381993">
              <w:rPr>
                <w:sz w:val="22"/>
                <w:szCs w:val="22"/>
                <w:lang w:val="ro-RO"/>
              </w:rPr>
              <w:t xml:space="preserve"> „Ministerul Educației, Culturii și Cercetării” este condiționată de scindarea acestui Minister în Ministerul </w:t>
            </w:r>
            <w:r w:rsidR="00AA5D71">
              <w:rPr>
                <w:sz w:val="22"/>
                <w:szCs w:val="22"/>
                <w:lang w:val="ro-RO"/>
              </w:rPr>
              <w:t>E</w:t>
            </w:r>
            <w:r w:rsidRPr="00381993">
              <w:rPr>
                <w:sz w:val="22"/>
                <w:szCs w:val="22"/>
                <w:lang w:val="ro-RO"/>
              </w:rPr>
              <w:t xml:space="preserve">ducației și </w:t>
            </w:r>
            <w:r w:rsidR="00AA5D71">
              <w:rPr>
                <w:sz w:val="22"/>
                <w:szCs w:val="22"/>
                <w:lang w:val="ro-RO"/>
              </w:rPr>
              <w:t>C</w:t>
            </w:r>
            <w:r w:rsidRPr="00381993">
              <w:rPr>
                <w:sz w:val="22"/>
                <w:szCs w:val="22"/>
                <w:lang w:val="ro-RO"/>
              </w:rPr>
              <w:t xml:space="preserve">ercetării și Ministerul </w:t>
            </w:r>
            <w:r w:rsidR="00AA5D71">
              <w:rPr>
                <w:sz w:val="22"/>
                <w:szCs w:val="22"/>
                <w:lang w:val="ro-RO"/>
              </w:rPr>
              <w:t>C</w:t>
            </w:r>
            <w:r w:rsidRPr="00381993">
              <w:rPr>
                <w:sz w:val="22"/>
                <w:szCs w:val="22"/>
                <w:lang w:val="ro-RO"/>
              </w:rPr>
              <w:t>ulturii.</w:t>
            </w:r>
          </w:p>
        </w:tc>
      </w:tr>
      <w:tr w:rsidR="00842A12" w:rsidRPr="00822CC1" w14:paraId="63EB0DE7" w14:textId="77777777" w:rsidTr="005612E9">
        <w:tc>
          <w:tcPr>
            <w:tcW w:w="200" w:type="pct"/>
          </w:tcPr>
          <w:p w14:paraId="5FBB691E" w14:textId="77777777" w:rsidR="00842A12" w:rsidRPr="00381993" w:rsidRDefault="00842A12" w:rsidP="00584FB9">
            <w:pPr>
              <w:jc w:val="center"/>
              <w:rPr>
                <w:rFonts w:ascii="Times New Roman" w:hAnsi="Times New Roman" w:cs="Times New Roman"/>
                <w:lang w:val="ro-RO"/>
              </w:rPr>
            </w:pPr>
            <w:r w:rsidRPr="00381993">
              <w:rPr>
                <w:rFonts w:ascii="Times New Roman" w:hAnsi="Times New Roman" w:cs="Times New Roman"/>
                <w:lang w:val="ro-RO"/>
              </w:rPr>
              <w:t>2</w:t>
            </w:r>
          </w:p>
        </w:tc>
        <w:tc>
          <w:tcPr>
            <w:tcW w:w="4800" w:type="pct"/>
            <w:gridSpan w:val="3"/>
          </w:tcPr>
          <w:p w14:paraId="33BC8FF2" w14:textId="77777777" w:rsidR="00842A12" w:rsidRPr="00381993" w:rsidRDefault="00842A12" w:rsidP="00584FB9">
            <w:pPr>
              <w:rPr>
                <w:rFonts w:ascii="Times New Roman" w:hAnsi="Times New Roman" w:cs="Times New Roman"/>
                <w:lang w:val="ro-RO"/>
              </w:rPr>
            </w:pPr>
            <w:r w:rsidRPr="00381993">
              <w:rPr>
                <w:rFonts w:ascii="Times New Roman" w:hAnsi="Times New Roman" w:cs="Times New Roman"/>
                <w:b/>
                <w:bCs/>
                <w:lang w:val="ro-RO" w:eastAsia="ru-RU"/>
              </w:rPr>
              <w:t>Clauza de emitere a hotărârii</w:t>
            </w:r>
          </w:p>
        </w:tc>
      </w:tr>
      <w:tr w:rsidR="00842A12" w:rsidRPr="0056375A" w14:paraId="2348453D" w14:textId="77777777" w:rsidTr="000E268A">
        <w:tc>
          <w:tcPr>
            <w:tcW w:w="200" w:type="pct"/>
          </w:tcPr>
          <w:p w14:paraId="4B8152B3" w14:textId="77777777" w:rsidR="00842A12" w:rsidRPr="00381993" w:rsidRDefault="00842A12" w:rsidP="00584FB9">
            <w:pPr>
              <w:jc w:val="center"/>
              <w:rPr>
                <w:rFonts w:ascii="Times New Roman" w:hAnsi="Times New Roman" w:cs="Times New Roman"/>
                <w:lang w:val="ro-RO"/>
              </w:rPr>
            </w:pPr>
          </w:p>
        </w:tc>
        <w:tc>
          <w:tcPr>
            <w:tcW w:w="876" w:type="pct"/>
          </w:tcPr>
          <w:p w14:paraId="3B4E7990" w14:textId="77777777" w:rsidR="00842A12" w:rsidRPr="00381993" w:rsidRDefault="00842A12" w:rsidP="00584FB9">
            <w:pPr>
              <w:rPr>
                <w:rFonts w:ascii="Times New Roman" w:hAnsi="Times New Roman" w:cs="Times New Roman"/>
                <w:lang w:val="ro-RO" w:eastAsia="ru-RU"/>
              </w:rPr>
            </w:pPr>
            <w:r w:rsidRPr="00381993">
              <w:rPr>
                <w:rFonts w:ascii="Times New Roman" w:hAnsi="Times New Roman" w:cs="Times New Roman"/>
                <w:lang w:val="ro-RO" w:eastAsia="ru-RU"/>
              </w:rPr>
              <w:t>-</w:t>
            </w:r>
          </w:p>
        </w:tc>
        <w:tc>
          <w:tcPr>
            <w:tcW w:w="1816" w:type="pct"/>
          </w:tcPr>
          <w:p w14:paraId="4C9A6FAA" w14:textId="4F852163" w:rsidR="00842A12" w:rsidRPr="00381993" w:rsidRDefault="0056375A" w:rsidP="00584FB9">
            <w:pPr>
              <w:tabs>
                <w:tab w:val="num" w:pos="360"/>
              </w:tabs>
              <w:jc w:val="both"/>
              <w:rPr>
                <w:rFonts w:ascii="Times New Roman" w:hAnsi="Times New Roman" w:cs="Times New Roman"/>
                <w:lang w:val="ro-RO"/>
              </w:rPr>
            </w:pPr>
            <w:r w:rsidRPr="0056375A">
              <w:rPr>
                <w:rFonts w:ascii="Times New Roman" w:hAnsi="Times New Roman" w:cs="Times New Roman"/>
                <w:lang w:val="ro-RO"/>
              </w:rPr>
              <w:t>În temeiul prevederilor art. 15 alin. (4) din Legea nr. 98/2012 privind administrația publică centrală de specialitate (Monitorul Oficial al Republicii Moldova, 2012, nr. 160-164, art. 537), cu modificările ulterioare, Guvernul HOTĂRĂŞTE:</w:t>
            </w:r>
            <w:bookmarkStart w:id="0" w:name="_GoBack"/>
            <w:bookmarkEnd w:id="0"/>
          </w:p>
        </w:tc>
        <w:tc>
          <w:tcPr>
            <w:tcW w:w="2108" w:type="pct"/>
          </w:tcPr>
          <w:p w14:paraId="5BBAAB3E" w14:textId="68F6C999" w:rsidR="00842A12" w:rsidRPr="00381993" w:rsidRDefault="00842A12" w:rsidP="00584FB9">
            <w:pPr>
              <w:jc w:val="both"/>
              <w:rPr>
                <w:rFonts w:ascii="Times New Roman" w:eastAsia="Times New Roman" w:hAnsi="Times New Roman"/>
                <w:lang w:val="ro-RO"/>
              </w:rPr>
            </w:pPr>
            <w:r w:rsidRPr="00381993">
              <w:rPr>
                <w:rFonts w:ascii="Times New Roman" w:eastAsia="Times New Roman" w:hAnsi="Times New Roman"/>
                <w:lang w:val="ro-RO"/>
              </w:rPr>
              <w:t xml:space="preserve">Proiectul completează clauza de </w:t>
            </w:r>
            <w:r w:rsidR="00AA5D71">
              <w:rPr>
                <w:rFonts w:ascii="Times New Roman" w:eastAsia="Times New Roman" w:hAnsi="Times New Roman"/>
                <w:lang w:val="ro-RO"/>
              </w:rPr>
              <w:t>adoptare</w:t>
            </w:r>
            <w:r w:rsidRPr="00381993">
              <w:rPr>
                <w:rFonts w:ascii="Times New Roman" w:eastAsia="Times New Roman" w:hAnsi="Times New Roman"/>
                <w:lang w:val="ro-RO"/>
              </w:rPr>
              <w:t xml:space="preserve"> a hotărârii, cu mențiunea actului normativ sursă din care derivă necesitatea adoptării amendamentelor propuse și care prevede că </w:t>
            </w:r>
            <w:r w:rsidRPr="00381993">
              <w:rPr>
                <w:rFonts w:ascii="Times New Roman" w:hAnsi="Times New Roman" w:cs="Times New Roman"/>
                <w:shd w:val="clear" w:color="auto" w:fill="FFFFFF"/>
                <w:lang w:val="ro-RO"/>
              </w:rPr>
              <w:t>Serviciul de evidență și circulație a bunurilor culturale mobile este o autoritate administrativă subordonată Ministerului Culturii, cu competențe în domeniul evidenței și circulației bunurilor culturale mobile.</w:t>
            </w:r>
          </w:p>
        </w:tc>
      </w:tr>
      <w:tr w:rsidR="00AB5E12" w:rsidRPr="00381993" w14:paraId="4FF23C6A" w14:textId="77777777" w:rsidTr="005612E9">
        <w:tc>
          <w:tcPr>
            <w:tcW w:w="200" w:type="pct"/>
          </w:tcPr>
          <w:p w14:paraId="244286F2" w14:textId="77777777" w:rsidR="00AB5E12" w:rsidRPr="00381993" w:rsidRDefault="00AB5E12" w:rsidP="00584FB9">
            <w:pPr>
              <w:jc w:val="center"/>
              <w:rPr>
                <w:rFonts w:ascii="Times New Roman" w:hAnsi="Times New Roman" w:cs="Times New Roman"/>
                <w:lang w:val="ro-RO"/>
              </w:rPr>
            </w:pPr>
            <w:r w:rsidRPr="00381993">
              <w:rPr>
                <w:rFonts w:ascii="Times New Roman" w:hAnsi="Times New Roman" w:cs="Times New Roman"/>
                <w:lang w:val="ro-RO"/>
              </w:rPr>
              <w:t>3</w:t>
            </w:r>
          </w:p>
        </w:tc>
        <w:tc>
          <w:tcPr>
            <w:tcW w:w="4800" w:type="pct"/>
            <w:gridSpan w:val="3"/>
          </w:tcPr>
          <w:p w14:paraId="273FA6E4" w14:textId="77777777" w:rsidR="00AB5E12" w:rsidRPr="00381993" w:rsidRDefault="00AB5E12" w:rsidP="00584FB9">
            <w:pPr>
              <w:rPr>
                <w:rFonts w:ascii="Times New Roman" w:hAnsi="Times New Roman" w:cs="Times New Roman"/>
                <w:lang w:val="ro-RO"/>
              </w:rPr>
            </w:pPr>
            <w:r w:rsidRPr="00381993">
              <w:rPr>
                <w:rFonts w:ascii="Times New Roman" w:hAnsi="Times New Roman" w:cs="Times New Roman"/>
                <w:b/>
                <w:bCs/>
                <w:lang w:val="ro-RO" w:eastAsia="ru-RU"/>
              </w:rPr>
              <w:t>Anexa nr. 1 a hotărârii</w:t>
            </w:r>
          </w:p>
        </w:tc>
      </w:tr>
      <w:tr w:rsidR="00AB5E12" w:rsidRPr="0056375A" w14:paraId="71FE7219" w14:textId="77777777" w:rsidTr="000E268A">
        <w:tc>
          <w:tcPr>
            <w:tcW w:w="200" w:type="pct"/>
          </w:tcPr>
          <w:p w14:paraId="1B048235" w14:textId="77777777" w:rsidR="00AB5E12" w:rsidRPr="00381993" w:rsidRDefault="00AB5E12" w:rsidP="00584FB9">
            <w:pPr>
              <w:jc w:val="center"/>
              <w:rPr>
                <w:rFonts w:ascii="Times New Roman" w:hAnsi="Times New Roman" w:cs="Times New Roman"/>
                <w:lang w:val="ro-RO"/>
              </w:rPr>
            </w:pPr>
          </w:p>
        </w:tc>
        <w:tc>
          <w:tcPr>
            <w:tcW w:w="876" w:type="pct"/>
          </w:tcPr>
          <w:p w14:paraId="1703DA9D" w14:textId="77777777" w:rsidR="00AB5E12" w:rsidRPr="0056375A" w:rsidRDefault="00AB5E12" w:rsidP="00584FB9">
            <w:pPr>
              <w:rPr>
                <w:rFonts w:ascii="Times New Roman" w:hAnsi="Times New Roman" w:cs="Times New Roman"/>
                <w:lang w:val="it-IT" w:eastAsia="ru-RU"/>
              </w:rPr>
            </w:pPr>
            <w:r w:rsidRPr="00381993">
              <w:rPr>
                <w:rFonts w:ascii="Times New Roman" w:hAnsi="Times New Roman" w:cs="Times New Roman"/>
                <w:lang w:val="ro-RO" w:eastAsia="ru-RU"/>
              </w:rPr>
              <w:t>Expertiza și certificarea valorilor culturale mobile și imobile (pentru un obiect)</w:t>
            </w:r>
          </w:p>
        </w:tc>
        <w:tc>
          <w:tcPr>
            <w:tcW w:w="1816" w:type="pct"/>
          </w:tcPr>
          <w:p w14:paraId="09E664B9" w14:textId="77777777" w:rsidR="00AB5E12" w:rsidRPr="0056375A" w:rsidRDefault="00AB5E12" w:rsidP="00584FB9">
            <w:pPr>
              <w:tabs>
                <w:tab w:val="num" w:pos="360"/>
              </w:tabs>
              <w:jc w:val="both"/>
              <w:rPr>
                <w:rFonts w:ascii="Times New Roman" w:hAnsi="Times New Roman" w:cs="Times New Roman"/>
                <w:lang w:val="it-IT"/>
              </w:rPr>
            </w:pPr>
            <w:r w:rsidRPr="00381993">
              <w:rPr>
                <w:rFonts w:ascii="Times New Roman" w:hAnsi="Times New Roman" w:cs="Times New Roman"/>
                <w:lang w:val="ro-RO"/>
              </w:rPr>
              <w:t>Expertiza și certificarea valorilor culturale imobile (pentru un obiect)</w:t>
            </w:r>
          </w:p>
        </w:tc>
        <w:tc>
          <w:tcPr>
            <w:tcW w:w="2108" w:type="pct"/>
          </w:tcPr>
          <w:p w14:paraId="66B2BCB6" w14:textId="77777777" w:rsidR="00AB5E12" w:rsidRPr="00381993" w:rsidRDefault="00AB5E12" w:rsidP="00584FB9">
            <w:pPr>
              <w:jc w:val="both"/>
              <w:rPr>
                <w:rFonts w:ascii="Times New Roman" w:eastAsia="Times New Roman" w:hAnsi="Times New Roman"/>
                <w:lang w:val="ro-RO"/>
              </w:rPr>
            </w:pPr>
            <w:r w:rsidRPr="00381993">
              <w:rPr>
                <w:rFonts w:ascii="Times New Roman" w:eastAsia="Times New Roman" w:hAnsi="Times New Roman"/>
                <w:lang w:val="ro-RO"/>
              </w:rPr>
              <w:t xml:space="preserve">Proiectul propune </w:t>
            </w:r>
            <w:r w:rsidRPr="00381993">
              <w:rPr>
                <w:rFonts w:ascii="Times New Roman" w:hAnsi="Times New Roman" w:cs="Times New Roman"/>
                <w:lang w:val="ro-RO"/>
              </w:rPr>
              <w:t xml:space="preserve">racordarea serviciilor prestate de către Ministerul Culturii, prin excluderea din anexa nr. 1 a hotărârii a sintagmei „mobile și”, dat fiind că aceste atribuții au trecut în responsabilitatea </w:t>
            </w:r>
            <w:r w:rsidRPr="00381993">
              <w:rPr>
                <w:rFonts w:ascii="Times New Roman" w:hAnsi="Times New Roman" w:cs="Times New Roman"/>
                <w:shd w:val="clear" w:color="auto" w:fill="FFFFFF"/>
                <w:lang w:val="ro-RO"/>
              </w:rPr>
              <w:t>Serviciul de evidență și circulație a bunurilor culturale mobile.</w:t>
            </w:r>
          </w:p>
        </w:tc>
      </w:tr>
      <w:tr w:rsidR="004B3FF2" w:rsidRPr="00381993" w14:paraId="4FC3678A" w14:textId="77777777" w:rsidTr="005612E9">
        <w:tc>
          <w:tcPr>
            <w:tcW w:w="200" w:type="pct"/>
          </w:tcPr>
          <w:p w14:paraId="72760DDF" w14:textId="3B907129" w:rsidR="004B3FF2" w:rsidRPr="00381993" w:rsidRDefault="00842A12" w:rsidP="003B54F2">
            <w:pPr>
              <w:jc w:val="center"/>
              <w:rPr>
                <w:rFonts w:ascii="Times New Roman" w:hAnsi="Times New Roman" w:cs="Times New Roman"/>
                <w:lang w:val="ro-RO"/>
              </w:rPr>
            </w:pPr>
            <w:r w:rsidRPr="00381993">
              <w:rPr>
                <w:rFonts w:ascii="Times New Roman" w:hAnsi="Times New Roman" w:cs="Times New Roman"/>
                <w:lang w:val="ro-RO"/>
              </w:rPr>
              <w:t>3</w:t>
            </w:r>
          </w:p>
        </w:tc>
        <w:tc>
          <w:tcPr>
            <w:tcW w:w="4800" w:type="pct"/>
            <w:gridSpan w:val="3"/>
          </w:tcPr>
          <w:p w14:paraId="4F2B6B62" w14:textId="496C1D12" w:rsidR="004B3FF2" w:rsidRPr="00381993" w:rsidRDefault="00987E36" w:rsidP="004B3FF2">
            <w:pPr>
              <w:rPr>
                <w:rFonts w:ascii="Times New Roman" w:hAnsi="Times New Roman" w:cs="Times New Roman"/>
                <w:lang w:val="ro-RO"/>
              </w:rPr>
            </w:pPr>
            <w:r w:rsidRPr="00381993">
              <w:rPr>
                <w:rFonts w:ascii="Times New Roman" w:hAnsi="Times New Roman" w:cs="Times New Roman"/>
                <w:b/>
                <w:bCs/>
                <w:lang w:val="ro-RO" w:eastAsia="ru-RU"/>
              </w:rPr>
              <w:t>A</w:t>
            </w:r>
            <w:r w:rsidR="00ED74F4" w:rsidRPr="00381993">
              <w:rPr>
                <w:rFonts w:ascii="Times New Roman" w:hAnsi="Times New Roman" w:cs="Times New Roman"/>
                <w:b/>
                <w:bCs/>
                <w:lang w:val="ro-RO" w:eastAsia="ru-RU"/>
              </w:rPr>
              <w:t>nexa nr. 1</w:t>
            </w:r>
            <w:r w:rsidR="00AB5E12" w:rsidRPr="00381993">
              <w:rPr>
                <w:rFonts w:ascii="Times New Roman" w:hAnsi="Times New Roman" w:cs="Times New Roman"/>
                <w:b/>
                <w:bCs/>
                <w:vertAlign w:val="superscript"/>
                <w:lang w:val="ro-RO" w:eastAsia="ru-RU"/>
              </w:rPr>
              <w:t>1</w:t>
            </w:r>
            <w:r w:rsidR="00ED74F4" w:rsidRPr="00381993">
              <w:rPr>
                <w:rFonts w:ascii="Times New Roman" w:hAnsi="Times New Roman" w:cs="Times New Roman"/>
                <w:b/>
                <w:bCs/>
                <w:lang w:val="ro-RO" w:eastAsia="ru-RU"/>
              </w:rPr>
              <w:t xml:space="preserve"> a hotărârii</w:t>
            </w:r>
          </w:p>
        </w:tc>
      </w:tr>
      <w:tr w:rsidR="003B54F2" w:rsidRPr="0056375A" w14:paraId="44800994" w14:textId="77777777" w:rsidTr="000E268A">
        <w:tc>
          <w:tcPr>
            <w:tcW w:w="200" w:type="pct"/>
          </w:tcPr>
          <w:p w14:paraId="16680A47" w14:textId="77777777" w:rsidR="003B54F2" w:rsidRPr="00381993" w:rsidRDefault="003B54F2" w:rsidP="003B54F2">
            <w:pPr>
              <w:jc w:val="center"/>
              <w:rPr>
                <w:rFonts w:ascii="Times New Roman" w:hAnsi="Times New Roman" w:cs="Times New Roman"/>
                <w:lang w:val="ro-RO"/>
              </w:rPr>
            </w:pPr>
          </w:p>
        </w:tc>
        <w:tc>
          <w:tcPr>
            <w:tcW w:w="876" w:type="pct"/>
          </w:tcPr>
          <w:p w14:paraId="4825CB60" w14:textId="59DD7003" w:rsidR="003B54F2" w:rsidRPr="00381993" w:rsidRDefault="00AB5E12" w:rsidP="003B54F2">
            <w:pPr>
              <w:rPr>
                <w:rFonts w:ascii="Times New Roman" w:hAnsi="Times New Roman" w:cs="Times New Roman"/>
                <w:lang w:val="en-US" w:eastAsia="ru-RU"/>
              </w:rPr>
            </w:pPr>
            <w:r w:rsidRPr="00381993">
              <w:rPr>
                <w:rFonts w:ascii="Times New Roman" w:hAnsi="Times New Roman" w:cs="Times New Roman"/>
                <w:lang w:val="ro-RO" w:eastAsia="ru-RU"/>
              </w:rPr>
              <w:t>-</w:t>
            </w:r>
          </w:p>
        </w:tc>
        <w:tc>
          <w:tcPr>
            <w:tcW w:w="1816" w:type="pct"/>
          </w:tcPr>
          <w:p w14:paraId="5DEC4D60" w14:textId="77777777" w:rsidR="005079A4" w:rsidRPr="0056375A" w:rsidRDefault="005079A4" w:rsidP="005079A4">
            <w:pPr>
              <w:ind w:firstLine="720"/>
              <w:jc w:val="right"/>
              <w:rPr>
                <w:rFonts w:ascii="Times New Roman" w:hAnsi="Times New Roman" w:cs="Times New Roman"/>
                <w:lang w:val="it-IT"/>
              </w:rPr>
            </w:pPr>
            <w:r w:rsidRPr="00381993">
              <w:rPr>
                <w:rFonts w:ascii="Times New Roman" w:hAnsi="Times New Roman" w:cs="Times New Roman"/>
                <w:lang w:val="ro-RO"/>
              </w:rPr>
              <w:t>Anexa nr. 1</w:t>
            </w:r>
            <w:r w:rsidRPr="0056375A">
              <w:rPr>
                <w:rFonts w:ascii="Times New Roman" w:hAnsi="Times New Roman" w:cs="Times New Roman"/>
                <w:vertAlign w:val="superscript"/>
                <w:lang w:val="it-IT"/>
              </w:rPr>
              <w:t>1</w:t>
            </w:r>
          </w:p>
          <w:p w14:paraId="4D613E55" w14:textId="77777777" w:rsidR="005079A4" w:rsidRPr="00381993" w:rsidRDefault="005079A4" w:rsidP="005079A4">
            <w:pPr>
              <w:ind w:firstLine="720"/>
              <w:jc w:val="right"/>
              <w:rPr>
                <w:rFonts w:ascii="Times New Roman" w:hAnsi="Times New Roman" w:cs="Times New Roman"/>
                <w:lang w:val="ro-RO"/>
              </w:rPr>
            </w:pPr>
            <w:r w:rsidRPr="00381993">
              <w:rPr>
                <w:rFonts w:ascii="Times New Roman" w:hAnsi="Times New Roman" w:cs="Times New Roman"/>
                <w:lang w:val="ro-RO"/>
              </w:rPr>
              <w:t>la Hotărârea Guvernului nr. 1311 din 12 decembrie 2005</w:t>
            </w:r>
          </w:p>
          <w:p w14:paraId="26A11048" w14:textId="77777777" w:rsidR="005079A4" w:rsidRPr="00381993" w:rsidRDefault="005079A4" w:rsidP="005079A4">
            <w:pPr>
              <w:pStyle w:val="a5"/>
              <w:shd w:val="clear" w:color="auto" w:fill="FFFFFF"/>
              <w:spacing w:before="0" w:beforeAutospacing="0" w:after="0" w:afterAutospacing="0"/>
              <w:jc w:val="center"/>
              <w:rPr>
                <w:rStyle w:val="a4"/>
                <w:sz w:val="22"/>
                <w:szCs w:val="22"/>
                <w:shd w:val="clear" w:color="auto" w:fill="FFFFFF"/>
                <w:lang w:val="ro-RO"/>
              </w:rPr>
            </w:pPr>
          </w:p>
          <w:p w14:paraId="0BFA65FD" w14:textId="77777777" w:rsidR="005079A4" w:rsidRPr="00381993" w:rsidRDefault="005079A4" w:rsidP="005079A4">
            <w:pPr>
              <w:pStyle w:val="a5"/>
              <w:shd w:val="clear" w:color="auto" w:fill="FFFFFF"/>
              <w:spacing w:before="0" w:beforeAutospacing="0" w:after="0" w:afterAutospacing="0"/>
              <w:jc w:val="center"/>
              <w:rPr>
                <w:rStyle w:val="a4"/>
                <w:sz w:val="22"/>
                <w:szCs w:val="22"/>
                <w:shd w:val="clear" w:color="auto" w:fill="FFFFFF"/>
                <w:lang w:val="ro-RO"/>
              </w:rPr>
            </w:pPr>
            <w:r w:rsidRPr="00381993">
              <w:rPr>
                <w:rStyle w:val="a4"/>
                <w:sz w:val="22"/>
                <w:szCs w:val="22"/>
                <w:shd w:val="clear" w:color="auto" w:fill="FFFFFF"/>
                <w:lang w:val="ro-RO"/>
              </w:rPr>
              <w:t>Nomenclatorul</w:t>
            </w:r>
          </w:p>
          <w:p w14:paraId="2027477F" w14:textId="77777777" w:rsidR="005079A4" w:rsidRPr="00381993" w:rsidRDefault="005079A4" w:rsidP="005079A4">
            <w:pPr>
              <w:pStyle w:val="a5"/>
              <w:shd w:val="clear" w:color="auto" w:fill="FFFFFF"/>
              <w:spacing w:before="0" w:beforeAutospacing="0" w:after="0" w:afterAutospacing="0"/>
              <w:jc w:val="center"/>
              <w:rPr>
                <w:rStyle w:val="a4"/>
                <w:sz w:val="22"/>
                <w:szCs w:val="22"/>
                <w:lang w:val="ro-RO"/>
              </w:rPr>
            </w:pPr>
            <w:r w:rsidRPr="00381993">
              <w:rPr>
                <w:rStyle w:val="a4"/>
                <w:sz w:val="22"/>
                <w:szCs w:val="22"/>
                <w:shd w:val="clear" w:color="auto" w:fill="FFFFFF"/>
                <w:lang w:val="ro-RO"/>
              </w:rPr>
              <w:t xml:space="preserve">serviciilor cu plată prestate de </w:t>
            </w:r>
            <w:r w:rsidRPr="00381993">
              <w:rPr>
                <w:rStyle w:val="a4"/>
                <w:sz w:val="22"/>
                <w:szCs w:val="22"/>
                <w:lang w:val="ro-RO"/>
              </w:rPr>
              <w:t>Serviciul de</w:t>
            </w:r>
          </w:p>
          <w:p w14:paraId="1DEE8989" w14:textId="77777777" w:rsidR="005079A4" w:rsidRPr="00381993" w:rsidRDefault="005079A4" w:rsidP="005079A4">
            <w:pPr>
              <w:pStyle w:val="a5"/>
              <w:shd w:val="clear" w:color="auto" w:fill="FFFFFF"/>
              <w:spacing w:before="0" w:beforeAutospacing="0" w:after="0" w:afterAutospacing="0"/>
              <w:jc w:val="center"/>
              <w:rPr>
                <w:sz w:val="22"/>
                <w:szCs w:val="22"/>
                <w:lang w:val="ro-RO"/>
              </w:rPr>
            </w:pPr>
            <w:r w:rsidRPr="00381993">
              <w:rPr>
                <w:rStyle w:val="a4"/>
                <w:sz w:val="22"/>
                <w:szCs w:val="22"/>
                <w:lang w:val="ro-RO"/>
              </w:rPr>
              <w:lastRenderedPageBreak/>
              <w:t>evidență și circulație a bunurilor culturale mobile</w:t>
            </w:r>
          </w:p>
          <w:p w14:paraId="631F21A9" w14:textId="77777777" w:rsidR="005079A4" w:rsidRPr="00381993" w:rsidRDefault="005079A4" w:rsidP="005079A4">
            <w:pPr>
              <w:shd w:val="clear" w:color="auto" w:fill="FFFFFF"/>
              <w:ind w:firstLine="540"/>
              <w:jc w:val="center"/>
              <w:rPr>
                <w:rFonts w:ascii="Times New Roman" w:eastAsia="Times New Roman" w:hAnsi="Times New Roman" w:cs="Times New Roman"/>
                <w:lang w:val="ro-RO"/>
              </w:rPr>
            </w:pPr>
            <w:r w:rsidRPr="00381993">
              <w:rPr>
                <w:rFonts w:ascii="Times New Roman" w:eastAsia="Times New Roman" w:hAnsi="Times New Roman" w:cs="Times New Roman"/>
                <w:lang w:val="ro-RO"/>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51"/>
              <w:gridCol w:w="3646"/>
              <w:gridCol w:w="944"/>
            </w:tblGrid>
            <w:tr w:rsidR="005079A4" w:rsidRPr="00381993" w14:paraId="215411B5" w14:textId="77777777" w:rsidTr="00584FB9">
              <w:tc>
                <w:tcPr>
                  <w:tcW w:w="640" w:type="dxa"/>
                  <w:shd w:val="clear" w:color="auto" w:fill="FFFFFF"/>
                  <w:vAlign w:val="center"/>
                </w:tcPr>
                <w:p w14:paraId="3C5B48E1" w14:textId="77777777" w:rsidR="005079A4" w:rsidRPr="00381993" w:rsidRDefault="005079A4" w:rsidP="005079A4">
                  <w:pPr>
                    <w:spacing w:after="165" w:line="240" w:lineRule="auto"/>
                    <w:jc w:val="center"/>
                    <w:rPr>
                      <w:rFonts w:ascii="Times New Roman" w:eastAsia="Times New Roman" w:hAnsi="Times New Roman" w:cs="Times New Roman"/>
                      <w:b/>
                      <w:bCs/>
                      <w:lang w:val="ro-RO"/>
                    </w:rPr>
                  </w:pPr>
                  <w:r w:rsidRPr="00381993">
                    <w:rPr>
                      <w:rFonts w:ascii="Times New Roman" w:eastAsia="Times New Roman" w:hAnsi="Times New Roman" w:cs="Times New Roman"/>
                      <w:b/>
                      <w:bCs/>
                      <w:lang w:val="ro-RO"/>
                    </w:rPr>
                    <w:t>Nr.</w:t>
                  </w:r>
                </w:p>
              </w:tc>
              <w:tc>
                <w:tcPr>
                  <w:tcW w:w="7370" w:type="dxa"/>
                  <w:shd w:val="clear" w:color="auto" w:fill="FFFFFF"/>
                  <w:tcMar>
                    <w:top w:w="0" w:type="dxa"/>
                    <w:left w:w="108" w:type="dxa"/>
                    <w:bottom w:w="0" w:type="dxa"/>
                    <w:right w:w="108" w:type="dxa"/>
                  </w:tcMar>
                  <w:vAlign w:val="center"/>
                  <w:hideMark/>
                </w:tcPr>
                <w:p w14:paraId="1507BC94" w14:textId="77777777" w:rsidR="005079A4" w:rsidRPr="00381993" w:rsidRDefault="005079A4" w:rsidP="005079A4">
                  <w:pPr>
                    <w:spacing w:after="165" w:line="240" w:lineRule="auto"/>
                    <w:jc w:val="center"/>
                    <w:rPr>
                      <w:rFonts w:ascii="Times New Roman" w:eastAsia="Times New Roman" w:hAnsi="Times New Roman" w:cs="Times New Roman"/>
                      <w:lang w:val="ro-RO"/>
                    </w:rPr>
                  </w:pPr>
                  <w:r w:rsidRPr="00381993">
                    <w:rPr>
                      <w:rFonts w:ascii="Times New Roman" w:eastAsia="Times New Roman" w:hAnsi="Times New Roman" w:cs="Times New Roman"/>
                      <w:b/>
                      <w:bCs/>
                      <w:lang w:val="ro-RO"/>
                    </w:rPr>
                    <w:t>Denumirea serviciului</w:t>
                  </w:r>
                </w:p>
              </w:tc>
              <w:tc>
                <w:tcPr>
                  <w:tcW w:w="0" w:type="auto"/>
                  <w:shd w:val="clear" w:color="auto" w:fill="FFFFFF"/>
                  <w:tcMar>
                    <w:top w:w="0" w:type="dxa"/>
                    <w:left w:w="108" w:type="dxa"/>
                    <w:bottom w:w="0" w:type="dxa"/>
                    <w:right w:w="108" w:type="dxa"/>
                  </w:tcMar>
                  <w:vAlign w:val="center"/>
                  <w:hideMark/>
                </w:tcPr>
                <w:p w14:paraId="64DA2F43" w14:textId="77777777" w:rsidR="005079A4" w:rsidRPr="00381993" w:rsidRDefault="005079A4" w:rsidP="005079A4">
                  <w:pPr>
                    <w:spacing w:after="165" w:line="240" w:lineRule="auto"/>
                    <w:jc w:val="center"/>
                    <w:rPr>
                      <w:rFonts w:ascii="Times New Roman" w:eastAsia="Times New Roman" w:hAnsi="Times New Roman" w:cs="Times New Roman"/>
                      <w:lang w:val="ro-RO"/>
                    </w:rPr>
                  </w:pPr>
                  <w:r w:rsidRPr="00381993">
                    <w:rPr>
                      <w:rFonts w:ascii="Times New Roman" w:eastAsia="Times New Roman" w:hAnsi="Times New Roman" w:cs="Times New Roman"/>
                      <w:b/>
                      <w:bCs/>
                      <w:lang w:val="ro-RO"/>
                    </w:rPr>
                    <w:t>Tariful, lei</w:t>
                  </w:r>
                </w:p>
              </w:tc>
            </w:tr>
            <w:tr w:rsidR="005079A4" w:rsidRPr="00381993" w14:paraId="157E6DE1" w14:textId="77777777" w:rsidTr="00584FB9">
              <w:tc>
                <w:tcPr>
                  <w:tcW w:w="640" w:type="dxa"/>
                  <w:shd w:val="clear" w:color="auto" w:fill="FFFFFF"/>
                </w:tcPr>
                <w:p w14:paraId="3138039A" w14:textId="77777777" w:rsidR="005079A4" w:rsidRPr="00381993" w:rsidRDefault="005079A4" w:rsidP="005079A4">
                  <w:pPr>
                    <w:spacing w:after="165" w:line="240" w:lineRule="auto"/>
                    <w:rPr>
                      <w:rFonts w:ascii="Times New Roman" w:hAnsi="Times New Roman" w:cs="Times New Roman"/>
                      <w:b/>
                      <w:bCs/>
                      <w:shd w:val="clear" w:color="auto" w:fill="FFFFFF"/>
                      <w:lang w:val="ro-RO"/>
                    </w:rPr>
                  </w:pPr>
                </w:p>
              </w:tc>
              <w:tc>
                <w:tcPr>
                  <w:tcW w:w="7370" w:type="dxa"/>
                  <w:shd w:val="clear" w:color="auto" w:fill="FFFFFF"/>
                  <w:tcMar>
                    <w:top w:w="0" w:type="dxa"/>
                    <w:left w:w="108" w:type="dxa"/>
                    <w:bottom w:w="0" w:type="dxa"/>
                    <w:right w:w="108" w:type="dxa"/>
                  </w:tcMar>
                  <w:hideMark/>
                </w:tcPr>
                <w:p w14:paraId="4CEF0349" w14:textId="77777777" w:rsidR="005079A4" w:rsidRPr="00381993" w:rsidRDefault="005079A4" w:rsidP="005079A4">
                  <w:pPr>
                    <w:spacing w:after="165" w:line="240" w:lineRule="auto"/>
                    <w:rPr>
                      <w:rFonts w:ascii="Times New Roman" w:eastAsia="Times New Roman" w:hAnsi="Times New Roman" w:cs="Times New Roman"/>
                      <w:lang w:val="ro-RO"/>
                    </w:rPr>
                  </w:pPr>
                  <w:r w:rsidRPr="00381993">
                    <w:rPr>
                      <w:rFonts w:ascii="Times New Roman" w:hAnsi="Times New Roman" w:cs="Times New Roman"/>
                      <w:shd w:val="clear" w:color="auto" w:fill="FFFFFF"/>
                      <w:lang w:val="ro-RO"/>
                    </w:rPr>
                    <w:t>Pentru bunurile culturale mobile:</w:t>
                  </w:r>
                </w:p>
              </w:tc>
              <w:tc>
                <w:tcPr>
                  <w:tcW w:w="0" w:type="auto"/>
                  <w:shd w:val="clear" w:color="auto" w:fill="FFFFFF"/>
                  <w:tcMar>
                    <w:top w:w="0" w:type="dxa"/>
                    <w:left w:w="108" w:type="dxa"/>
                    <w:bottom w:w="0" w:type="dxa"/>
                    <w:right w:w="108" w:type="dxa"/>
                  </w:tcMar>
                  <w:hideMark/>
                </w:tcPr>
                <w:p w14:paraId="085DE748" w14:textId="77777777" w:rsidR="005079A4" w:rsidRPr="00381993" w:rsidRDefault="005079A4" w:rsidP="005079A4">
                  <w:pPr>
                    <w:spacing w:after="165" w:line="240" w:lineRule="auto"/>
                    <w:rPr>
                      <w:rFonts w:ascii="Times New Roman" w:eastAsia="Times New Roman" w:hAnsi="Times New Roman" w:cs="Times New Roman"/>
                      <w:lang w:val="ro-RO"/>
                    </w:rPr>
                  </w:pPr>
                </w:p>
              </w:tc>
            </w:tr>
            <w:tr w:rsidR="005079A4" w:rsidRPr="00381993" w14:paraId="6DDBCCEF" w14:textId="77777777" w:rsidTr="00584FB9">
              <w:tc>
                <w:tcPr>
                  <w:tcW w:w="640" w:type="dxa"/>
                  <w:shd w:val="clear" w:color="auto" w:fill="FFFFFF"/>
                </w:tcPr>
                <w:p w14:paraId="2E4A1779" w14:textId="77777777" w:rsidR="005079A4" w:rsidRPr="00381993" w:rsidRDefault="005079A4" w:rsidP="005079A4">
                  <w:pPr>
                    <w:spacing w:after="165" w:line="240" w:lineRule="auto"/>
                    <w:rPr>
                      <w:rFonts w:ascii="Times New Roman" w:hAnsi="Times New Roman" w:cs="Times New Roman"/>
                      <w:b/>
                      <w:bCs/>
                      <w:shd w:val="clear" w:color="auto" w:fill="FFFFFF"/>
                      <w:lang w:val="ro-RO"/>
                    </w:rPr>
                  </w:pPr>
                  <w:r w:rsidRPr="00381993">
                    <w:rPr>
                      <w:rFonts w:ascii="Times New Roman" w:hAnsi="Times New Roman" w:cs="Times New Roman"/>
                      <w:b/>
                      <w:bCs/>
                      <w:shd w:val="clear" w:color="auto" w:fill="FFFFFF"/>
                      <w:lang w:val="ro-RO"/>
                    </w:rPr>
                    <w:t>1.</w:t>
                  </w:r>
                </w:p>
              </w:tc>
              <w:tc>
                <w:tcPr>
                  <w:tcW w:w="7370" w:type="dxa"/>
                  <w:shd w:val="clear" w:color="auto" w:fill="FFFFFF"/>
                  <w:tcMar>
                    <w:top w:w="0" w:type="dxa"/>
                    <w:left w:w="108" w:type="dxa"/>
                    <w:bottom w:w="0" w:type="dxa"/>
                    <w:right w:w="108" w:type="dxa"/>
                  </w:tcMar>
                </w:tcPr>
                <w:p w14:paraId="6B73426A" w14:textId="77777777" w:rsidR="005079A4" w:rsidRPr="00381993" w:rsidRDefault="005079A4" w:rsidP="005079A4">
                  <w:pPr>
                    <w:spacing w:after="165" w:line="240" w:lineRule="auto"/>
                    <w:rPr>
                      <w:rFonts w:ascii="Times New Roman" w:hAnsi="Times New Roman" w:cs="Times New Roman"/>
                      <w:b/>
                      <w:bCs/>
                      <w:shd w:val="clear" w:color="auto" w:fill="FFFFFF"/>
                      <w:lang w:val="ro-RO"/>
                    </w:rPr>
                  </w:pPr>
                  <w:r w:rsidRPr="00381993">
                    <w:rPr>
                      <w:rFonts w:ascii="Times New Roman" w:hAnsi="Times New Roman" w:cs="Times New Roman"/>
                      <w:b/>
                      <w:bCs/>
                      <w:shd w:val="clear" w:color="auto" w:fill="FFFFFF"/>
                      <w:lang w:val="ro-RO"/>
                    </w:rPr>
                    <w:t>Expertizare</w:t>
                  </w:r>
                </w:p>
              </w:tc>
              <w:tc>
                <w:tcPr>
                  <w:tcW w:w="0" w:type="auto"/>
                  <w:shd w:val="clear" w:color="auto" w:fill="FFFFFF"/>
                  <w:tcMar>
                    <w:top w:w="0" w:type="dxa"/>
                    <w:left w:w="108" w:type="dxa"/>
                    <w:bottom w:w="0" w:type="dxa"/>
                    <w:right w:w="108" w:type="dxa"/>
                  </w:tcMar>
                </w:tcPr>
                <w:p w14:paraId="3FC7C4F5" w14:textId="77777777" w:rsidR="005079A4" w:rsidRPr="00381993" w:rsidRDefault="005079A4" w:rsidP="005079A4">
                  <w:pPr>
                    <w:spacing w:after="165" w:line="240" w:lineRule="auto"/>
                    <w:jc w:val="center"/>
                    <w:rPr>
                      <w:rFonts w:ascii="Times New Roman" w:eastAsia="Times New Roman" w:hAnsi="Times New Roman" w:cs="Times New Roman"/>
                      <w:b/>
                      <w:bCs/>
                      <w:lang w:val="ro-RO"/>
                    </w:rPr>
                  </w:pPr>
                </w:p>
              </w:tc>
            </w:tr>
            <w:tr w:rsidR="005079A4" w:rsidRPr="00381993" w14:paraId="2C5A9AD3" w14:textId="77777777" w:rsidTr="00584FB9">
              <w:tc>
                <w:tcPr>
                  <w:tcW w:w="640" w:type="dxa"/>
                  <w:shd w:val="clear" w:color="auto" w:fill="FFFFFF" w:themeFill="background1"/>
                </w:tcPr>
                <w:p w14:paraId="2451D62D" w14:textId="77777777" w:rsidR="005079A4" w:rsidRPr="00381993" w:rsidRDefault="005079A4" w:rsidP="005079A4">
                  <w:pPr>
                    <w:spacing w:after="165" w:line="240" w:lineRule="auto"/>
                    <w:rPr>
                      <w:rFonts w:ascii="Times New Roman" w:hAnsi="Times New Roman" w:cs="Times New Roman"/>
                      <w:shd w:val="clear" w:color="auto" w:fill="FFFFFF"/>
                      <w:lang w:val="ro-RO"/>
                    </w:rPr>
                  </w:pPr>
                  <w:r w:rsidRPr="00381993">
                    <w:rPr>
                      <w:rFonts w:ascii="Times New Roman" w:hAnsi="Times New Roman" w:cs="Times New Roman"/>
                      <w:shd w:val="clear" w:color="auto" w:fill="FFFFFF"/>
                      <w:lang w:val="ro-RO"/>
                    </w:rPr>
                    <w:t>1.1.</w:t>
                  </w:r>
                </w:p>
              </w:tc>
              <w:tc>
                <w:tcPr>
                  <w:tcW w:w="7370" w:type="dxa"/>
                  <w:shd w:val="clear" w:color="auto" w:fill="FFFFFF" w:themeFill="background1"/>
                  <w:tcMar>
                    <w:top w:w="0" w:type="dxa"/>
                    <w:left w:w="108" w:type="dxa"/>
                    <w:bottom w:w="0" w:type="dxa"/>
                    <w:right w:w="108" w:type="dxa"/>
                  </w:tcMar>
                </w:tcPr>
                <w:p w14:paraId="72923ECE" w14:textId="77777777" w:rsidR="005079A4" w:rsidRPr="00381993" w:rsidRDefault="005079A4" w:rsidP="005079A4">
                  <w:pPr>
                    <w:spacing w:after="165" w:line="240" w:lineRule="auto"/>
                    <w:rPr>
                      <w:rFonts w:ascii="Times New Roman" w:hAnsi="Times New Roman" w:cs="Times New Roman"/>
                      <w:shd w:val="clear" w:color="auto" w:fill="FFFFFF"/>
                      <w:lang w:val="ro-RO"/>
                    </w:rPr>
                  </w:pPr>
                  <w:r w:rsidRPr="00381993">
                    <w:rPr>
                      <w:rFonts w:ascii="Times New Roman" w:hAnsi="Times New Roman" w:cs="Times New Roman"/>
                      <w:shd w:val="clear" w:color="auto" w:fill="FFFFFF"/>
                      <w:lang w:val="ro-RO"/>
                    </w:rPr>
                    <w:t>Bunuri culturale producție contemporană</w:t>
                  </w:r>
                </w:p>
              </w:tc>
              <w:tc>
                <w:tcPr>
                  <w:tcW w:w="0" w:type="auto"/>
                  <w:shd w:val="clear" w:color="auto" w:fill="FFFFFF" w:themeFill="background1"/>
                  <w:tcMar>
                    <w:top w:w="0" w:type="dxa"/>
                    <w:left w:w="108" w:type="dxa"/>
                    <w:bottom w:w="0" w:type="dxa"/>
                    <w:right w:w="108" w:type="dxa"/>
                  </w:tcMar>
                </w:tcPr>
                <w:p w14:paraId="6F806975" w14:textId="77777777" w:rsidR="005079A4" w:rsidRPr="00381993" w:rsidRDefault="005079A4" w:rsidP="005079A4">
                  <w:pPr>
                    <w:spacing w:after="165" w:line="240" w:lineRule="auto"/>
                    <w:jc w:val="center"/>
                    <w:rPr>
                      <w:rFonts w:ascii="Times New Roman" w:eastAsia="Times New Roman" w:hAnsi="Times New Roman" w:cs="Times New Roman"/>
                      <w:lang w:val="ro-RO"/>
                    </w:rPr>
                  </w:pPr>
                  <w:r w:rsidRPr="00381993">
                    <w:rPr>
                      <w:rFonts w:ascii="Times New Roman" w:eastAsia="Times New Roman" w:hAnsi="Times New Roman" w:cs="Times New Roman"/>
                      <w:lang w:val="ro-RO"/>
                    </w:rPr>
                    <w:t>80</w:t>
                  </w:r>
                </w:p>
              </w:tc>
            </w:tr>
            <w:tr w:rsidR="005079A4" w:rsidRPr="00381993" w14:paraId="585841AF" w14:textId="77777777" w:rsidTr="00584FB9">
              <w:tc>
                <w:tcPr>
                  <w:tcW w:w="640" w:type="dxa"/>
                  <w:shd w:val="clear" w:color="auto" w:fill="FFFFFF" w:themeFill="background1"/>
                </w:tcPr>
                <w:p w14:paraId="2AF26B18" w14:textId="77777777" w:rsidR="005079A4" w:rsidRPr="00381993" w:rsidRDefault="005079A4" w:rsidP="005079A4">
                  <w:pPr>
                    <w:spacing w:after="165" w:line="240" w:lineRule="auto"/>
                    <w:rPr>
                      <w:rFonts w:ascii="Times New Roman" w:hAnsi="Times New Roman" w:cs="Times New Roman"/>
                      <w:shd w:val="clear" w:color="auto" w:fill="FFFFFF"/>
                      <w:lang w:val="ro-RO"/>
                    </w:rPr>
                  </w:pPr>
                  <w:r w:rsidRPr="00381993">
                    <w:rPr>
                      <w:rFonts w:ascii="Times New Roman" w:hAnsi="Times New Roman" w:cs="Times New Roman"/>
                      <w:shd w:val="clear" w:color="auto" w:fill="FFFFFF"/>
                      <w:lang w:val="ro-RO"/>
                    </w:rPr>
                    <w:t>1.2.</w:t>
                  </w:r>
                </w:p>
              </w:tc>
              <w:tc>
                <w:tcPr>
                  <w:tcW w:w="7370" w:type="dxa"/>
                  <w:shd w:val="clear" w:color="auto" w:fill="FFFFFF" w:themeFill="background1"/>
                  <w:tcMar>
                    <w:top w:w="0" w:type="dxa"/>
                    <w:left w:w="108" w:type="dxa"/>
                    <w:bottom w:w="0" w:type="dxa"/>
                    <w:right w:w="108" w:type="dxa"/>
                  </w:tcMar>
                </w:tcPr>
                <w:p w14:paraId="31033469" w14:textId="77777777" w:rsidR="005079A4" w:rsidRPr="00381993" w:rsidRDefault="005079A4" w:rsidP="005079A4">
                  <w:pPr>
                    <w:spacing w:after="165" w:line="240" w:lineRule="auto"/>
                    <w:rPr>
                      <w:rFonts w:ascii="Times New Roman" w:hAnsi="Times New Roman" w:cs="Times New Roman"/>
                      <w:shd w:val="clear" w:color="auto" w:fill="FFFFFF"/>
                      <w:lang w:val="ro-RO"/>
                    </w:rPr>
                  </w:pPr>
                  <w:r w:rsidRPr="00381993">
                    <w:rPr>
                      <w:rFonts w:ascii="Times New Roman" w:hAnsi="Times New Roman" w:cs="Times New Roman"/>
                      <w:shd w:val="clear" w:color="auto" w:fill="FFFFFF"/>
                      <w:lang w:val="ro-RO"/>
                    </w:rPr>
                    <w:t>Alte bunuri culturale</w:t>
                  </w:r>
                </w:p>
              </w:tc>
              <w:tc>
                <w:tcPr>
                  <w:tcW w:w="0" w:type="auto"/>
                  <w:shd w:val="clear" w:color="auto" w:fill="FFFFFF" w:themeFill="background1"/>
                  <w:tcMar>
                    <w:top w:w="0" w:type="dxa"/>
                    <w:left w:w="108" w:type="dxa"/>
                    <w:bottom w:w="0" w:type="dxa"/>
                    <w:right w:w="108" w:type="dxa"/>
                  </w:tcMar>
                </w:tcPr>
                <w:p w14:paraId="62FE7EED" w14:textId="77777777" w:rsidR="005079A4" w:rsidRPr="00381993" w:rsidRDefault="005079A4" w:rsidP="005079A4">
                  <w:pPr>
                    <w:spacing w:after="165" w:line="240" w:lineRule="auto"/>
                    <w:jc w:val="center"/>
                    <w:rPr>
                      <w:rFonts w:ascii="Times New Roman" w:eastAsia="Times New Roman" w:hAnsi="Times New Roman" w:cs="Times New Roman"/>
                      <w:lang w:val="ro-RO"/>
                    </w:rPr>
                  </w:pPr>
                  <w:r w:rsidRPr="00381993">
                    <w:rPr>
                      <w:rFonts w:ascii="Times New Roman" w:eastAsia="Times New Roman" w:hAnsi="Times New Roman" w:cs="Times New Roman"/>
                      <w:lang w:val="ro-RO"/>
                    </w:rPr>
                    <w:t>150</w:t>
                  </w:r>
                </w:p>
              </w:tc>
            </w:tr>
            <w:tr w:rsidR="005079A4" w:rsidRPr="00381993" w14:paraId="742D3320" w14:textId="77777777" w:rsidTr="00584FB9">
              <w:tc>
                <w:tcPr>
                  <w:tcW w:w="640" w:type="dxa"/>
                  <w:shd w:val="clear" w:color="auto" w:fill="auto"/>
                </w:tcPr>
                <w:p w14:paraId="4CDCAC84" w14:textId="77777777" w:rsidR="005079A4" w:rsidRPr="00381993" w:rsidRDefault="005079A4" w:rsidP="005079A4">
                  <w:pPr>
                    <w:spacing w:after="165" w:line="240" w:lineRule="auto"/>
                    <w:rPr>
                      <w:rFonts w:ascii="Times New Roman" w:hAnsi="Times New Roman" w:cs="Times New Roman"/>
                      <w:b/>
                      <w:bCs/>
                      <w:shd w:val="clear" w:color="auto" w:fill="FFFFFF"/>
                      <w:lang w:val="ro-RO"/>
                    </w:rPr>
                  </w:pPr>
                  <w:r w:rsidRPr="00381993">
                    <w:rPr>
                      <w:rFonts w:ascii="Times New Roman" w:hAnsi="Times New Roman" w:cs="Times New Roman"/>
                      <w:b/>
                      <w:bCs/>
                      <w:shd w:val="clear" w:color="auto" w:fill="FFFFFF"/>
                      <w:lang w:val="ro-RO"/>
                    </w:rPr>
                    <w:t>2.</w:t>
                  </w:r>
                </w:p>
              </w:tc>
              <w:tc>
                <w:tcPr>
                  <w:tcW w:w="7370" w:type="dxa"/>
                  <w:shd w:val="clear" w:color="auto" w:fill="auto"/>
                  <w:tcMar>
                    <w:top w:w="0" w:type="dxa"/>
                    <w:left w:w="108" w:type="dxa"/>
                    <w:bottom w:w="0" w:type="dxa"/>
                    <w:right w:w="108" w:type="dxa"/>
                  </w:tcMar>
                </w:tcPr>
                <w:p w14:paraId="48D32AE8" w14:textId="77777777" w:rsidR="005079A4" w:rsidRPr="00381993" w:rsidRDefault="005079A4" w:rsidP="005079A4">
                  <w:pPr>
                    <w:spacing w:after="165" w:line="240" w:lineRule="auto"/>
                    <w:rPr>
                      <w:rFonts w:ascii="Times New Roman" w:hAnsi="Times New Roman" w:cs="Times New Roman"/>
                      <w:b/>
                      <w:bCs/>
                      <w:shd w:val="clear" w:color="auto" w:fill="FFFFFF"/>
                      <w:lang w:val="ro-RO"/>
                    </w:rPr>
                  </w:pPr>
                  <w:r w:rsidRPr="00381993">
                    <w:rPr>
                      <w:rFonts w:ascii="Times New Roman" w:hAnsi="Times New Roman" w:cs="Times New Roman"/>
                      <w:b/>
                      <w:bCs/>
                      <w:shd w:val="clear" w:color="auto" w:fill="FFFFFF"/>
                      <w:lang w:val="ro-RO"/>
                    </w:rPr>
                    <w:t>Emiterea adeverinței de export per cerere</w:t>
                  </w:r>
                </w:p>
              </w:tc>
              <w:tc>
                <w:tcPr>
                  <w:tcW w:w="0" w:type="auto"/>
                  <w:shd w:val="clear" w:color="auto" w:fill="auto"/>
                  <w:tcMar>
                    <w:top w:w="0" w:type="dxa"/>
                    <w:left w:w="108" w:type="dxa"/>
                    <w:bottom w:w="0" w:type="dxa"/>
                    <w:right w:w="108" w:type="dxa"/>
                  </w:tcMar>
                </w:tcPr>
                <w:p w14:paraId="6821CFC9" w14:textId="77777777" w:rsidR="005079A4" w:rsidRPr="00381993" w:rsidRDefault="005079A4" w:rsidP="005079A4">
                  <w:pPr>
                    <w:spacing w:after="165" w:line="240" w:lineRule="auto"/>
                    <w:jc w:val="center"/>
                    <w:rPr>
                      <w:rFonts w:ascii="Times New Roman" w:eastAsia="Times New Roman" w:hAnsi="Times New Roman" w:cs="Times New Roman"/>
                      <w:b/>
                      <w:bCs/>
                      <w:lang w:val="ro-RO"/>
                    </w:rPr>
                  </w:pPr>
                  <w:r w:rsidRPr="00381993">
                    <w:rPr>
                      <w:rFonts w:ascii="Times New Roman" w:eastAsia="Times New Roman" w:hAnsi="Times New Roman" w:cs="Times New Roman"/>
                      <w:b/>
                      <w:bCs/>
                      <w:lang w:val="ro-RO"/>
                    </w:rPr>
                    <w:t>100</w:t>
                  </w:r>
                </w:p>
              </w:tc>
            </w:tr>
            <w:tr w:rsidR="005079A4" w:rsidRPr="00381993" w14:paraId="2092A5FE" w14:textId="77777777" w:rsidTr="00584FB9">
              <w:tc>
                <w:tcPr>
                  <w:tcW w:w="640" w:type="dxa"/>
                  <w:shd w:val="clear" w:color="auto" w:fill="auto"/>
                </w:tcPr>
                <w:p w14:paraId="050F3C0E" w14:textId="77777777" w:rsidR="005079A4" w:rsidRPr="00381993" w:rsidRDefault="005079A4" w:rsidP="005079A4">
                  <w:pPr>
                    <w:spacing w:after="165" w:line="240" w:lineRule="auto"/>
                    <w:rPr>
                      <w:rFonts w:ascii="Times New Roman" w:hAnsi="Times New Roman" w:cs="Times New Roman"/>
                      <w:b/>
                      <w:bCs/>
                      <w:shd w:val="clear" w:color="auto" w:fill="FFFFFF"/>
                      <w:lang w:val="ro-RO"/>
                    </w:rPr>
                  </w:pPr>
                  <w:r w:rsidRPr="00381993">
                    <w:rPr>
                      <w:rFonts w:ascii="Times New Roman" w:hAnsi="Times New Roman" w:cs="Times New Roman"/>
                      <w:b/>
                      <w:bCs/>
                      <w:shd w:val="clear" w:color="auto" w:fill="FFFFFF"/>
                      <w:lang w:val="ro-RO"/>
                    </w:rPr>
                    <w:t>3.</w:t>
                  </w:r>
                </w:p>
              </w:tc>
              <w:tc>
                <w:tcPr>
                  <w:tcW w:w="7370" w:type="dxa"/>
                  <w:shd w:val="clear" w:color="auto" w:fill="auto"/>
                  <w:tcMar>
                    <w:top w:w="0" w:type="dxa"/>
                    <w:left w:w="108" w:type="dxa"/>
                    <w:bottom w:w="0" w:type="dxa"/>
                    <w:right w:w="108" w:type="dxa"/>
                  </w:tcMar>
                </w:tcPr>
                <w:p w14:paraId="347F8814" w14:textId="77777777" w:rsidR="005079A4" w:rsidRPr="00381993" w:rsidRDefault="005079A4" w:rsidP="005079A4">
                  <w:pPr>
                    <w:spacing w:after="165" w:line="240" w:lineRule="auto"/>
                    <w:rPr>
                      <w:rFonts w:ascii="Times New Roman" w:hAnsi="Times New Roman" w:cs="Times New Roman"/>
                      <w:b/>
                      <w:bCs/>
                      <w:shd w:val="clear" w:color="auto" w:fill="FFFFFF"/>
                      <w:lang w:val="ro-RO"/>
                    </w:rPr>
                  </w:pPr>
                  <w:r w:rsidRPr="00381993">
                    <w:rPr>
                      <w:rFonts w:ascii="Times New Roman" w:hAnsi="Times New Roman" w:cs="Times New Roman"/>
                      <w:b/>
                      <w:bCs/>
                      <w:shd w:val="clear" w:color="auto" w:fill="FFFFFF"/>
                      <w:lang w:val="ro-RO"/>
                    </w:rPr>
                    <w:t>Emiterea certificatului de export per cerere</w:t>
                  </w:r>
                </w:p>
              </w:tc>
              <w:tc>
                <w:tcPr>
                  <w:tcW w:w="0" w:type="auto"/>
                  <w:shd w:val="clear" w:color="auto" w:fill="auto"/>
                  <w:tcMar>
                    <w:top w:w="0" w:type="dxa"/>
                    <w:left w:w="108" w:type="dxa"/>
                    <w:bottom w:w="0" w:type="dxa"/>
                    <w:right w:w="108" w:type="dxa"/>
                  </w:tcMar>
                </w:tcPr>
                <w:p w14:paraId="1B943A70" w14:textId="77777777" w:rsidR="005079A4" w:rsidRPr="00381993" w:rsidRDefault="005079A4" w:rsidP="005079A4">
                  <w:pPr>
                    <w:spacing w:after="165" w:line="240" w:lineRule="auto"/>
                    <w:jc w:val="center"/>
                    <w:rPr>
                      <w:rFonts w:ascii="Times New Roman" w:eastAsia="Times New Roman" w:hAnsi="Times New Roman" w:cs="Times New Roman"/>
                      <w:b/>
                      <w:bCs/>
                      <w:lang w:val="ro-RO"/>
                    </w:rPr>
                  </w:pPr>
                  <w:r w:rsidRPr="00381993">
                    <w:rPr>
                      <w:rFonts w:ascii="Times New Roman" w:eastAsia="Times New Roman" w:hAnsi="Times New Roman" w:cs="Times New Roman"/>
                      <w:b/>
                      <w:bCs/>
                      <w:lang w:val="ro-RO"/>
                    </w:rPr>
                    <w:t>150</w:t>
                  </w:r>
                </w:p>
              </w:tc>
            </w:tr>
            <w:tr w:rsidR="005079A4" w:rsidRPr="0056375A" w14:paraId="3538CC7A" w14:textId="77777777" w:rsidTr="00584FB9">
              <w:tc>
                <w:tcPr>
                  <w:tcW w:w="640" w:type="dxa"/>
                  <w:shd w:val="clear" w:color="auto" w:fill="FFFFFF"/>
                </w:tcPr>
                <w:p w14:paraId="34F6C9CE" w14:textId="77777777" w:rsidR="005079A4" w:rsidRPr="00381993" w:rsidRDefault="005079A4" w:rsidP="005079A4">
                  <w:pPr>
                    <w:spacing w:after="165" w:line="240" w:lineRule="auto"/>
                    <w:rPr>
                      <w:rFonts w:ascii="Times New Roman" w:hAnsi="Times New Roman" w:cs="Times New Roman"/>
                      <w:b/>
                      <w:bCs/>
                      <w:shd w:val="clear" w:color="auto" w:fill="FFFFFF"/>
                      <w:lang w:val="ro-RO"/>
                    </w:rPr>
                  </w:pPr>
                </w:p>
              </w:tc>
              <w:tc>
                <w:tcPr>
                  <w:tcW w:w="7370" w:type="dxa"/>
                  <w:shd w:val="clear" w:color="auto" w:fill="FFFFFF"/>
                  <w:tcMar>
                    <w:top w:w="0" w:type="dxa"/>
                    <w:left w:w="108" w:type="dxa"/>
                    <w:bottom w:w="0" w:type="dxa"/>
                    <w:right w:w="108" w:type="dxa"/>
                  </w:tcMar>
                </w:tcPr>
                <w:p w14:paraId="7AA8B714" w14:textId="77777777" w:rsidR="005079A4" w:rsidRPr="00381993" w:rsidRDefault="005079A4" w:rsidP="005079A4">
                  <w:pPr>
                    <w:spacing w:after="165" w:line="240" w:lineRule="auto"/>
                    <w:rPr>
                      <w:rFonts w:ascii="Times New Roman" w:hAnsi="Times New Roman" w:cs="Times New Roman"/>
                      <w:shd w:val="clear" w:color="auto" w:fill="FFFFFF"/>
                      <w:lang w:val="ro-RO"/>
                    </w:rPr>
                  </w:pPr>
                  <w:r w:rsidRPr="00381993">
                    <w:rPr>
                      <w:rFonts w:ascii="Times New Roman" w:hAnsi="Times New Roman" w:cs="Times New Roman"/>
                      <w:b/>
                      <w:bCs/>
                      <w:shd w:val="clear" w:color="auto" w:fill="FFFFFF"/>
                      <w:lang w:val="ro-RO"/>
                    </w:rPr>
                    <w:t>Notă:</w:t>
                  </w:r>
                  <w:r w:rsidRPr="00381993">
                    <w:rPr>
                      <w:rFonts w:ascii="Times New Roman" w:hAnsi="Times New Roman" w:cs="Times New Roman"/>
                      <w:shd w:val="clear" w:color="auto" w:fill="FFFFFF"/>
                      <w:lang w:val="ro-RO"/>
                    </w:rPr>
                    <w:t xml:space="preserve"> Modalitatea de prestare a serviciilor specificate </w:t>
                  </w:r>
                  <w:r w:rsidRPr="00381993">
                    <w:rPr>
                      <w:rFonts w:ascii="Times New Roman" w:hAnsi="Times New Roman" w:cs="Times New Roman"/>
                      <w:lang w:val="ro-RO"/>
                    </w:rPr>
                    <w:t>în anexă</w:t>
                  </w:r>
                  <w:r w:rsidRPr="00381993">
                    <w:rPr>
                      <w:rFonts w:ascii="Times New Roman" w:hAnsi="Times New Roman" w:cs="Times New Roman"/>
                      <w:shd w:val="clear" w:color="auto" w:fill="FFFFFF"/>
                      <w:lang w:val="ro-RO"/>
                    </w:rPr>
                    <w:t xml:space="preserve"> se realizează conform HG 470/2023</w:t>
                  </w:r>
                </w:p>
              </w:tc>
              <w:tc>
                <w:tcPr>
                  <w:tcW w:w="0" w:type="auto"/>
                  <w:shd w:val="clear" w:color="auto" w:fill="FFFFFF"/>
                  <w:tcMar>
                    <w:top w:w="0" w:type="dxa"/>
                    <w:left w:w="108" w:type="dxa"/>
                    <w:bottom w:w="0" w:type="dxa"/>
                    <w:right w:w="108" w:type="dxa"/>
                  </w:tcMar>
                </w:tcPr>
                <w:p w14:paraId="358472E7" w14:textId="77777777" w:rsidR="005079A4" w:rsidRPr="00381993" w:rsidRDefault="005079A4" w:rsidP="005079A4">
                  <w:pPr>
                    <w:spacing w:after="165" w:line="240" w:lineRule="auto"/>
                    <w:jc w:val="center"/>
                    <w:rPr>
                      <w:rFonts w:ascii="Times New Roman" w:eastAsia="Times New Roman" w:hAnsi="Times New Roman" w:cs="Times New Roman"/>
                      <w:lang w:val="ro-RO"/>
                    </w:rPr>
                  </w:pPr>
                </w:p>
              </w:tc>
            </w:tr>
          </w:tbl>
          <w:p w14:paraId="6CF7F185" w14:textId="21B2A839" w:rsidR="003B54F2" w:rsidRPr="0056375A" w:rsidRDefault="003B54F2" w:rsidP="00D675C3">
            <w:pPr>
              <w:tabs>
                <w:tab w:val="num" w:pos="360"/>
              </w:tabs>
              <w:jc w:val="both"/>
              <w:rPr>
                <w:rFonts w:ascii="Times New Roman" w:hAnsi="Times New Roman" w:cs="Times New Roman"/>
                <w:lang w:val="it-IT"/>
              </w:rPr>
            </w:pPr>
          </w:p>
        </w:tc>
        <w:tc>
          <w:tcPr>
            <w:tcW w:w="2108" w:type="pct"/>
          </w:tcPr>
          <w:p w14:paraId="3F856A8D" w14:textId="002CF260" w:rsidR="00620DBF" w:rsidRPr="00381993" w:rsidRDefault="00620DBF" w:rsidP="00620DBF">
            <w:pPr>
              <w:jc w:val="both"/>
              <w:rPr>
                <w:rFonts w:ascii="Times New Roman" w:hAnsi="Times New Roman" w:cs="Times New Roman"/>
                <w:lang w:val="ro-RO"/>
              </w:rPr>
            </w:pPr>
            <w:r w:rsidRPr="00381993">
              <w:rPr>
                <w:rFonts w:ascii="Times New Roman" w:hAnsi="Times New Roman" w:cs="Times New Roman"/>
                <w:lang w:val="ro-RO"/>
              </w:rPr>
              <w:lastRenderedPageBreak/>
              <w:t>Proiectul prevede instituirea nomenclatorului serviciilor cu plată prestate de Serviciul de evidență și circulație a bunurilor culturale mobile.</w:t>
            </w:r>
          </w:p>
          <w:p w14:paraId="7C556DC6" w14:textId="77777777" w:rsidR="00620DBF" w:rsidRPr="00381993" w:rsidRDefault="00620DBF" w:rsidP="00620DBF">
            <w:pPr>
              <w:jc w:val="both"/>
              <w:rPr>
                <w:rFonts w:ascii="Times New Roman" w:hAnsi="Times New Roman" w:cs="Times New Roman"/>
                <w:lang w:val="ro-RO"/>
              </w:rPr>
            </w:pPr>
            <w:r w:rsidRPr="00381993">
              <w:rPr>
                <w:rFonts w:ascii="Times New Roman" w:hAnsi="Times New Roman" w:cs="Times New Roman"/>
                <w:lang w:val="ro-RO"/>
              </w:rPr>
              <w:t xml:space="preserve">Nomenclatorul include următoarele tipuri de servicii pentru bunurile culturale mobile: </w:t>
            </w:r>
          </w:p>
          <w:p w14:paraId="74613ADD" w14:textId="77777777" w:rsidR="00620DBF" w:rsidRPr="00381993" w:rsidRDefault="00620DBF" w:rsidP="00620DBF">
            <w:pPr>
              <w:jc w:val="both"/>
              <w:rPr>
                <w:rFonts w:ascii="Times New Roman" w:hAnsi="Times New Roman" w:cs="Times New Roman"/>
                <w:lang w:val="ro-RO"/>
              </w:rPr>
            </w:pPr>
            <w:r w:rsidRPr="00381993">
              <w:rPr>
                <w:rFonts w:ascii="Times New Roman" w:hAnsi="Times New Roman" w:cs="Times New Roman"/>
                <w:lang w:val="ro-RO"/>
              </w:rPr>
              <w:t xml:space="preserve">1. Expertizarea (1.1. bunurilor culturale de producție </w:t>
            </w:r>
            <w:r w:rsidRPr="00381993">
              <w:rPr>
                <w:rFonts w:ascii="Times New Roman" w:hAnsi="Times New Roman" w:cs="Times New Roman"/>
                <w:lang w:val="ro-RO"/>
              </w:rPr>
              <w:lastRenderedPageBreak/>
              <w:t>contemporană și 1.2. a altor bunuri culturale);</w:t>
            </w:r>
          </w:p>
          <w:p w14:paraId="511C2CE4" w14:textId="77777777" w:rsidR="00620DBF" w:rsidRPr="00381993" w:rsidRDefault="00620DBF" w:rsidP="00620DBF">
            <w:pPr>
              <w:jc w:val="both"/>
              <w:rPr>
                <w:rFonts w:ascii="Times New Roman" w:hAnsi="Times New Roman" w:cs="Times New Roman"/>
                <w:lang w:val="ro-RO"/>
              </w:rPr>
            </w:pPr>
            <w:r w:rsidRPr="00381993">
              <w:rPr>
                <w:rFonts w:ascii="Times New Roman" w:hAnsi="Times New Roman" w:cs="Times New Roman"/>
                <w:lang w:val="ro-RO"/>
              </w:rPr>
              <w:t>2. Emiterea adeverinței de export per cerere;</w:t>
            </w:r>
          </w:p>
          <w:p w14:paraId="40F3035D" w14:textId="77777777" w:rsidR="00620DBF" w:rsidRPr="00381993" w:rsidRDefault="00620DBF" w:rsidP="00620DBF">
            <w:pPr>
              <w:jc w:val="both"/>
              <w:rPr>
                <w:rFonts w:ascii="Times New Roman" w:hAnsi="Times New Roman" w:cs="Times New Roman"/>
                <w:lang w:val="ro-RO"/>
              </w:rPr>
            </w:pPr>
            <w:r w:rsidRPr="00381993">
              <w:rPr>
                <w:rFonts w:ascii="Times New Roman" w:hAnsi="Times New Roman" w:cs="Times New Roman"/>
                <w:lang w:val="ro-RO"/>
              </w:rPr>
              <w:t>3. Emiterea certificatului de export per cerere.</w:t>
            </w:r>
          </w:p>
          <w:p w14:paraId="45D4ED23" w14:textId="77777777" w:rsidR="00620DBF" w:rsidRPr="00381993" w:rsidRDefault="00620DBF" w:rsidP="00620DBF">
            <w:pPr>
              <w:jc w:val="both"/>
              <w:rPr>
                <w:rFonts w:ascii="Times New Roman" w:hAnsi="Times New Roman" w:cs="Times New Roman"/>
                <w:lang w:val="ro-RO"/>
              </w:rPr>
            </w:pPr>
            <w:r w:rsidRPr="00381993">
              <w:rPr>
                <w:rFonts w:ascii="Times New Roman" w:hAnsi="Times New Roman" w:cs="Times New Roman"/>
                <w:lang w:val="ro-RO"/>
              </w:rPr>
              <w:t xml:space="preserve">Tarifele la serviciile prestate de către Serviciul de evidență și circulație a bunurilor culturale mobile au fost elaborate având în vedere cheltuielile actuale necesare pentru expertizarea bunurilor culturale mobile, raportate la volumul de timp mediu necesar pentru realizarea unei expertize, inclusiv costuri aferente (consumabile, etc.) Întrucât salariul unui angajat  al Serviciul de evidență și circulație a bunurilor culturale mobile (specialist principal) cu atribuții în efectuarea expertizelor și emiterea certificatelor/adeverințelor este de 7300 lei (brut)/21 zile lucrătoare, costul unei ore de muncă constituie 43,4 lei. </w:t>
            </w:r>
          </w:p>
          <w:p w14:paraId="149A3634" w14:textId="77777777" w:rsidR="00620DBF" w:rsidRPr="00381993" w:rsidRDefault="00620DBF" w:rsidP="00620DBF">
            <w:pPr>
              <w:jc w:val="both"/>
              <w:rPr>
                <w:rFonts w:ascii="Times New Roman" w:hAnsi="Times New Roman" w:cs="Times New Roman"/>
                <w:lang w:val="ro-RO"/>
              </w:rPr>
            </w:pPr>
            <w:r w:rsidRPr="00381993">
              <w:rPr>
                <w:rFonts w:ascii="Times New Roman" w:hAnsi="Times New Roman" w:cs="Times New Roman"/>
                <w:lang w:val="ro-RO"/>
              </w:rPr>
              <w:t>Pentru expertizarea unui bun cultural contemporan, care, conform Legii 280/2011, au mai puțin de 50 ani de la data creării, sunt necesare aproximativ 1,5-2 ore. Respectiv, se propune tariful de 80 lei/obiect.</w:t>
            </w:r>
          </w:p>
          <w:p w14:paraId="7B1E1E3C" w14:textId="77777777" w:rsidR="00620DBF" w:rsidRPr="00381993" w:rsidRDefault="00620DBF" w:rsidP="00620DBF">
            <w:pPr>
              <w:jc w:val="both"/>
              <w:rPr>
                <w:rFonts w:ascii="Times New Roman" w:hAnsi="Times New Roman" w:cs="Times New Roman"/>
                <w:lang w:val="ro-RO"/>
              </w:rPr>
            </w:pPr>
            <w:r w:rsidRPr="00381993">
              <w:rPr>
                <w:rFonts w:ascii="Times New Roman" w:hAnsi="Times New Roman" w:cs="Times New Roman"/>
                <w:lang w:val="ro-RO"/>
              </w:rPr>
              <w:t>Pentru expertizarea bunurilor culturale mai vechi de 50 ani, volumul de timp/lucru este mai mare: întrucât bunurile din această categorie pot fi susceptibile pentru clasare în patrimoniul cultural național, sunt examinate sursele informaționale naționale și internaționale, poate fi solicitată consultația altor experți, examinată bibliografia etc. Starea de conservare precară a obiectului la fel poate prelungi perioada expertizării. Din aceste considerente tariful pentru expertizarea unui bun din această categorie a fost estimat la 150 lei/obiect, utilizând aceiași formulă de calcul prezentată anterior.</w:t>
            </w:r>
          </w:p>
          <w:p w14:paraId="4D7AF096" w14:textId="77777777" w:rsidR="00620DBF" w:rsidRPr="00381993" w:rsidRDefault="00620DBF" w:rsidP="00620DBF">
            <w:pPr>
              <w:jc w:val="both"/>
              <w:rPr>
                <w:rFonts w:ascii="Times New Roman" w:hAnsi="Times New Roman" w:cs="Times New Roman"/>
                <w:lang w:val="ro-RO"/>
              </w:rPr>
            </w:pPr>
            <w:r w:rsidRPr="00381993">
              <w:rPr>
                <w:rFonts w:ascii="Times New Roman" w:eastAsia="Times New Roman" w:hAnsi="Times New Roman" w:cs="Times New Roman"/>
                <w:bCs/>
                <w:lang w:val="ro-RO" w:eastAsia="ru-RU"/>
              </w:rPr>
              <w:t>Potrivit art. 2 din Anexa 4 la HG 470/2023, adeverința de export</w:t>
            </w:r>
            <w:r w:rsidRPr="00381993">
              <w:rPr>
                <w:rFonts w:ascii="Times New Roman" w:eastAsia="Times New Roman" w:hAnsi="Times New Roman" w:cs="Times New Roman"/>
                <w:lang w:val="ro-RO" w:eastAsia="ru-RU"/>
              </w:rPr>
              <w:t xml:space="preserve"> este documentul care atestă scoaterea temporară sau definitivă a bunurilor culturale mobile producție contemporană. </w:t>
            </w:r>
            <w:r w:rsidRPr="00381993">
              <w:rPr>
                <w:rFonts w:ascii="Times New Roman" w:hAnsi="Times New Roman" w:cs="Times New Roman"/>
                <w:lang w:val="ro-RO"/>
              </w:rPr>
              <w:t xml:space="preserve">Emiterea adeverinței de export pentru această categorie de bunuri necesită costuri aferente mai mari – procesarea și editarea imaginii color, colectarea datelor de la proprietar, verificarea informației privind calitatea solicitantului -  proprietar, mandatar al unui proprietar, administrator de bunuri culturale mobile proprietate publică </w:t>
            </w:r>
            <w:proofErr w:type="spellStart"/>
            <w:r w:rsidRPr="00381993">
              <w:rPr>
                <w:rFonts w:ascii="Times New Roman" w:hAnsi="Times New Roman" w:cs="Times New Roman"/>
                <w:lang w:val="ro-RO"/>
              </w:rPr>
              <w:t>etc</w:t>
            </w:r>
            <w:proofErr w:type="spellEnd"/>
            <w:r w:rsidRPr="00381993">
              <w:rPr>
                <w:rFonts w:ascii="Times New Roman" w:hAnsi="Times New Roman" w:cs="Times New Roman"/>
                <w:lang w:val="ro-RO"/>
              </w:rPr>
              <w:t>). Adeverința se emite pentru numărul de obiecte solicitat, tariful estimat fiind de 100 lei/adeverință.</w:t>
            </w:r>
          </w:p>
          <w:p w14:paraId="006C9006" w14:textId="77777777" w:rsidR="00620DBF" w:rsidRPr="00381993" w:rsidRDefault="00620DBF" w:rsidP="00620DBF">
            <w:pPr>
              <w:jc w:val="both"/>
              <w:rPr>
                <w:rFonts w:ascii="Times New Roman" w:hAnsi="Times New Roman" w:cs="Times New Roman"/>
                <w:lang w:val="ro-RO"/>
              </w:rPr>
            </w:pPr>
            <w:r w:rsidRPr="00381993">
              <w:rPr>
                <w:rFonts w:ascii="Times New Roman" w:eastAsia="Times New Roman" w:hAnsi="Times New Roman" w:cs="Times New Roman"/>
                <w:bCs/>
                <w:lang w:val="ro-RO" w:eastAsia="ru-RU"/>
              </w:rPr>
              <w:t xml:space="preserve">Conform prevederilor aceluiași art. 2 din Anexa 4 la HG </w:t>
            </w:r>
            <w:r w:rsidRPr="00381993">
              <w:rPr>
                <w:rFonts w:ascii="Times New Roman" w:eastAsia="Times New Roman" w:hAnsi="Times New Roman" w:cs="Times New Roman"/>
                <w:bCs/>
                <w:lang w:val="ro-RO" w:eastAsia="ru-RU"/>
              </w:rPr>
              <w:lastRenderedPageBreak/>
              <w:t>470/2023,</w:t>
            </w:r>
            <w:r w:rsidRPr="00381993">
              <w:rPr>
                <w:rFonts w:ascii="Times New Roman" w:eastAsia="Calibri" w:hAnsi="Times New Roman" w:cs="Times New Roman"/>
                <w:lang w:val="ro-RO"/>
              </w:rPr>
              <w:t xml:space="preserve"> certificatul </w:t>
            </w:r>
            <w:r w:rsidRPr="00381993">
              <w:rPr>
                <w:rFonts w:ascii="Times New Roman" w:eastAsia="Times New Roman" w:hAnsi="Times New Roman" w:cs="Times New Roman"/>
                <w:lang w:val="ro-RO" w:eastAsia="ru-RU"/>
              </w:rPr>
              <w:t>de export este documentul care atestă scoaterea temporară sau definitivă a bunurilor culturale mobile, altele decât</w:t>
            </w:r>
            <w:r w:rsidRPr="00381993">
              <w:rPr>
                <w:lang w:val="ro-RO"/>
              </w:rPr>
              <w:t xml:space="preserve"> b</w:t>
            </w:r>
            <w:r w:rsidRPr="00381993">
              <w:rPr>
                <w:rFonts w:ascii="Times New Roman" w:eastAsia="Times New Roman" w:hAnsi="Times New Roman" w:cs="Times New Roman"/>
                <w:lang w:val="ro-RO" w:eastAsia="ru-RU"/>
              </w:rPr>
              <w:t xml:space="preserve">unurile culturale mobile producție contemporană. Emiterea certificatului de export necesită timp și costuri aferente mai mari – procesarea și editarea imaginii color, colectarea datelor de la proprietar, verificarea informației privind calitatea solicitantului -  proprietar, mandatar al unui proprietar, administrator de bunuri culturale mobile proprietate publică </w:t>
            </w:r>
            <w:proofErr w:type="spellStart"/>
            <w:r w:rsidRPr="00381993">
              <w:rPr>
                <w:rFonts w:ascii="Times New Roman" w:eastAsia="Times New Roman" w:hAnsi="Times New Roman" w:cs="Times New Roman"/>
                <w:lang w:val="ro-RO" w:eastAsia="ru-RU"/>
              </w:rPr>
              <w:t>etc</w:t>
            </w:r>
            <w:proofErr w:type="spellEnd"/>
            <w:r w:rsidRPr="00381993">
              <w:rPr>
                <w:rFonts w:ascii="Times New Roman" w:eastAsia="Times New Roman" w:hAnsi="Times New Roman" w:cs="Times New Roman"/>
                <w:lang w:val="ro-RO" w:eastAsia="ru-RU"/>
              </w:rPr>
              <w:t>), completarea certificatului și imprimarea acestuia în trei exemplare (art.13</w:t>
            </w:r>
            <w:r w:rsidRPr="00381993">
              <w:rPr>
                <w:lang w:val="ro-RO"/>
              </w:rPr>
              <w:t xml:space="preserve"> </w:t>
            </w:r>
            <w:r w:rsidRPr="00381993">
              <w:rPr>
                <w:rFonts w:ascii="Times New Roman" w:eastAsia="Times New Roman" w:hAnsi="Times New Roman" w:cs="Times New Roman"/>
                <w:lang w:val="ro-RO" w:eastAsia="ru-RU"/>
              </w:rPr>
              <w:t xml:space="preserve">din Anexa 4 la HG 470/2023). Certificatul se emite pentru numărul de obiecte solicitat, tariful propus fiind estimat de 150 lei/certificat. </w:t>
            </w:r>
          </w:p>
          <w:p w14:paraId="5FDDEE60" w14:textId="77777777" w:rsidR="00620DBF" w:rsidRPr="00381993" w:rsidRDefault="00620DBF" w:rsidP="00620DBF">
            <w:pPr>
              <w:jc w:val="both"/>
              <w:rPr>
                <w:rFonts w:ascii="Times New Roman" w:hAnsi="Times New Roman" w:cs="Times New Roman"/>
                <w:lang w:val="ro-RO"/>
              </w:rPr>
            </w:pPr>
            <w:r w:rsidRPr="00381993">
              <w:rPr>
                <w:rFonts w:ascii="Times New Roman" w:hAnsi="Times New Roman" w:cs="Times New Roman"/>
                <w:lang w:val="ro-RO"/>
              </w:rPr>
              <w:t>Tarifele au fost elaborate de către Serviciul de evidență și circulație a bunurilor culturale mobile în comun cu experții acreditați în domeniu și avizate de către Comisia Națională a Muzeelor și Colecțiilor, care agreează și susține prezentul proiect.</w:t>
            </w:r>
          </w:p>
          <w:p w14:paraId="7EF97EBD" w14:textId="303E245B" w:rsidR="003B54F2" w:rsidRPr="00381993" w:rsidRDefault="00620DBF" w:rsidP="000070C3">
            <w:pPr>
              <w:jc w:val="both"/>
              <w:rPr>
                <w:rFonts w:ascii="Times New Roman" w:hAnsi="Times New Roman" w:cs="Times New Roman"/>
                <w:lang w:val="ro-RO"/>
              </w:rPr>
            </w:pPr>
            <w:r w:rsidRPr="00381993">
              <w:rPr>
                <w:rFonts w:ascii="Times New Roman" w:hAnsi="Times New Roman" w:cs="Times New Roman"/>
                <w:lang w:val="ro-RO"/>
              </w:rPr>
              <w:t>Evidențiem că modalitatea de prestare a serviciilor specificate în anexă se realizează conform HG 470/2023.</w:t>
            </w:r>
          </w:p>
        </w:tc>
      </w:tr>
      <w:tr w:rsidR="000E268A" w:rsidRPr="00822CC1" w14:paraId="4FE20DD6" w14:textId="77777777" w:rsidTr="000E268A">
        <w:tc>
          <w:tcPr>
            <w:tcW w:w="200" w:type="pct"/>
          </w:tcPr>
          <w:p w14:paraId="6887783B" w14:textId="2E39BD02" w:rsidR="000E268A" w:rsidRPr="00381993" w:rsidRDefault="000E268A" w:rsidP="003B54F2">
            <w:pPr>
              <w:jc w:val="center"/>
              <w:rPr>
                <w:rFonts w:ascii="Times New Roman" w:hAnsi="Times New Roman" w:cs="Times New Roman"/>
                <w:lang w:val="ro-RO"/>
              </w:rPr>
            </w:pPr>
            <w:r>
              <w:rPr>
                <w:rFonts w:ascii="Times New Roman" w:hAnsi="Times New Roman" w:cs="Times New Roman"/>
                <w:lang w:val="ro-RO"/>
              </w:rPr>
              <w:lastRenderedPageBreak/>
              <w:t>4</w:t>
            </w:r>
          </w:p>
        </w:tc>
        <w:tc>
          <w:tcPr>
            <w:tcW w:w="4800" w:type="pct"/>
            <w:gridSpan w:val="3"/>
          </w:tcPr>
          <w:p w14:paraId="3E514C1F" w14:textId="6561EDE6" w:rsidR="000E268A" w:rsidRPr="006A26B3" w:rsidRDefault="006A26B3" w:rsidP="00620DBF">
            <w:pPr>
              <w:jc w:val="both"/>
              <w:rPr>
                <w:rFonts w:ascii="Times New Roman" w:hAnsi="Times New Roman" w:cs="Times New Roman"/>
                <w:b/>
                <w:bCs/>
                <w:lang w:val="ro-RO"/>
              </w:rPr>
            </w:pPr>
            <w:r>
              <w:rPr>
                <w:rFonts w:ascii="Times New Roman" w:hAnsi="Times New Roman" w:cs="Times New Roman"/>
                <w:b/>
                <w:bCs/>
                <w:lang w:val="ro-RO" w:eastAsia="ru-RU"/>
              </w:rPr>
              <w:t>Î</w:t>
            </w:r>
            <w:r w:rsidRPr="006A26B3">
              <w:rPr>
                <w:rFonts w:ascii="Times New Roman" w:hAnsi="Times New Roman" w:cs="Times New Roman"/>
                <w:b/>
                <w:bCs/>
                <w:lang w:val="ro-RO" w:eastAsia="ru-RU"/>
              </w:rPr>
              <w:t>n denumirea și pe tot parcursul textului anexei nr. 6</w:t>
            </w:r>
          </w:p>
        </w:tc>
      </w:tr>
      <w:tr w:rsidR="000E268A" w:rsidRPr="0056375A" w14:paraId="0E246FC9" w14:textId="77777777" w:rsidTr="000E268A">
        <w:tc>
          <w:tcPr>
            <w:tcW w:w="200" w:type="pct"/>
          </w:tcPr>
          <w:p w14:paraId="3B53182E" w14:textId="77777777" w:rsidR="000E268A" w:rsidRDefault="000E268A" w:rsidP="003B54F2">
            <w:pPr>
              <w:jc w:val="center"/>
              <w:rPr>
                <w:rFonts w:ascii="Times New Roman" w:hAnsi="Times New Roman" w:cs="Times New Roman"/>
                <w:lang w:val="ro-RO"/>
              </w:rPr>
            </w:pPr>
          </w:p>
        </w:tc>
        <w:tc>
          <w:tcPr>
            <w:tcW w:w="876" w:type="pct"/>
          </w:tcPr>
          <w:p w14:paraId="7DD37AD1" w14:textId="4A7C0411" w:rsidR="000E268A" w:rsidRDefault="00E007AA" w:rsidP="003B54F2">
            <w:pPr>
              <w:rPr>
                <w:rFonts w:ascii="Times New Roman" w:hAnsi="Times New Roman" w:cs="Times New Roman"/>
                <w:lang w:val="ro-RO" w:eastAsia="ru-RU"/>
              </w:rPr>
            </w:pPr>
            <w:r w:rsidRPr="00E007AA">
              <w:rPr>
                <w:rFonts w:ascii="Times New Roman" w:hAnsi="Times New Roman" w:cs="Times New Roman"/>
                <w:lang w:val="ro-RO" w:eastAsia="ru-RU"/>
              </w:rPr>
              <w:t>Ministerul Educației, Culturii și Cercetării</w:t>
            </w:r>
          </w:p>
        </w:tc>
        <w:tc>
          <w:tcPr>
            <w:tcW w:w="1816" w:type="pct"/>
          </w:tcPr>
          <w:p w14:paraId="351BA986" w14:textId="79BE710E" w:rsidR="000E268A" w:rsidRPr="00381993" w:rsidRDefault="00E007AA" w:rsidP="00E007AA">
            <w:pPr>
              <w:rPr>
                <w:rFonts w:ascii="Times New Roman" w:hAnsi="Times New Roman" w:cs="Times New Roman"/>
                <w:lang w:val="ro-RO"/>
              </w:rPr>
            </w:pPr>
            <w:r w:rsidRPr="00E007AA">
              <w:rPr>
                <w:rFonts w:ascii="Times New Roman" w:hAnsi="Times New Roman" w:cs="Times New Roman"/>
                <w:lang w:val="ro-RO"/>
              </w:rPr>
              <w:t>Ministerul Educației și Cercetării, Ministerul Culturii</w:t>
            </w:r>
          </w:p>
        </w:tc>
        <w:tc>
          <w:tcPr>
            <w:tcW w:w="2108" w:type="pct"/>
          </w:tcPr>
          <w:p w14:paraId="01434E6E" w14:textId="26E4A5FD" w:rsidR="000E268A" w:rsidRPr="00381993" w:rsidRDefault="00CE28AE" w:rsidP="00620DBF">
            <w:pPr>
              <w:jc w:val="both"/>
              <w:rPr>
                <w:rFonts w:ascii="Times New Roman" w:hAnsi="Times New Roman" w:cs="Times New Roman"/>
                <w:lang w:val="ro-RO"/>
              </w:rPr>
            </w:pPr>
            <w:r>
              <w:rPr>
                <w:rFonts w:ascii="Times New Roman" w:hAnsi="Times New Roman" w:cs="Times New Roman"/>
                <w:lang w:val="ro-RO"/>
              </w:rPr>
              <w:t>Modificarea survine în baza raționamentelor expuse la pct. 1</w:t>
            </w:r>
            <w:r w:rsidR="004C2A6B">
              <w:rPr>
                <w:rFonts w:ascii="Times New Roman" w:hAnsi="Times New Roman" w:cs="Times New Roman"/>
                <w:lang w:val="ro-RO"/>
              </w:rPr>
              <w:t>.</w:t>
            </w:r>
          </w:p>
        </w:tc>
      </w:tr>
    </w:tbl>
    <w:p w14:paraId="7EFC4269" w14:textId="77777777" w:rsidR="008F39CF" w:rsidRPr="002709EA" w:rsidRDefault="008F39CF" w:rsidP="008F39CF">
      <w:pPr>
        <w:jc w:val="center"/>
        <w:rPr>
          <w:rFonts w:ascii="Times New Roman" w:hAnsi="Times New Roman" w:cs="Times New Roman"/>
          <w:sz w:val="24"/>
          <w:szCs w:val="24"/>
          <w:lang w:val="ro-RO"/>
        </w:rPr>
      </w:pPr>
    </w:p>
    <w:sectPr w:rsidR="008F39CF" w:rsidRPr="002709EA" w:rsidSect="008F39CF">
      <w:pgSz w:w="16838" w:h="11906" w:orient="landscape"/>
      <w:pgMar w:top="1134" w:right="141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670"/>
    <w:rsid w:val="00001729"/>
    <w:rsid w:val="000070C3"/>
    <w:rsid w:val="000C3DB9"/>
    <w:rsid w:val="000E268A"/>
    <w:rsid w:val="001211AD"/>
    <w:rsid w:val="00181AF5"/>
    <w:rsid w:val="001A3276"/>
    <w:rsid w:val="001B72B2"/>
    <w:rsid w:val="0027005C"/>
    <w:rsid w:val="002709EA"/>
    <w:rsid w:val="0027318F"/>
    <w:rsid w:val="0029169B"/>
    <w:rsid w:val="003159BE"/>
    <w:rsid w:val="00381993"/>
    <w:rsid w:val="003B54F2"/>
    <w:rsid w:val="003C1D2E"/>
    <w:rsid w:val="004028D0"/>
    <w:rsid w:val="00407708"/>
    <w:rsid w:val="00410098"/>
    <w:rsid w:val="0042330F"/>
    <w:rsid w:val="004774BC"/>
    <w:rsid w:val="004A6D37"/>
    <w:rsid w:val="004B3FF2"/>
    <w:rsid w:val="004C2A6B"/>
    <w:rsid w:val="004C36E6"/>
    <w:rsid w:val="004D5670"/>
    <w:rsid w:val="004E2865"/>
    <w:rsid w:val="00503388"/>
    <w:rsid w:val="005079A4"/>
    <w:rsid w:val="00545F0B"/>
    <w:rsid w:val="005612E9"/>
    <w:rsid w:val="0056375A"/>
    <w:rsid w:val="00566417"/>
    <w:rsid w:val="005C5D90"/>
    <w:rsid w:val="00620DBF"/>
    <w:rsid w:val="00665367"/>
    <w:rsid w:val="006A26B3"/>
    <w:rsid w:val="00724D39"/>
    <w:rsid w:val="00743D52"/>
    <w:rsid w:val="00765621"/>
    <w:rsid w:val="007E12D5"/>
    <w:rsid w:val="00822CC1"/>
    <w:rsid w:val="00842A12"/>
    <w:rsid w:val="00856966"/>
    <w:rsid w:val="0088409C"/>
    <w:rsid w:val="008F39CF"/>
    <w:rsid w:val="00981C92"/>
    <w:rsid w:val="00987E36"/>
    <w:rsid w:val="00997D85"/>
    <w:rsid w:val="009B4268"/>
    <w:rsid w:val="009D794D"/>
    <w:rsid w:val="009E0ADA"/>
    <w:rsid w:val="00A616D7"/>
    <w:rsid w:val="00AA5D71"/>
    <w:rsid w:val="00AB5E12"/>
    <w:rsid w:val="00BC5F6C"/>
    <w:rsid w:val="00C13281"/>
    <w:rsid w:val="00C67346"/>
    <w:rsid w:val="00CB51DB"/>
    <w:rsid w:val="00CE28AE"/>
    <w:rsid w:val="00D12B32"/>
    <w:rsid w:val="00D218BB"/>
    <w:rsid w:val="00D675C3"/>
    <w:rsid w:val="00D82A00"/>
    <w:rsid w:val="00DC3959"/>
    <w:rsid w:val="00DE75C1"/>
    <w:rsid w:val="00E007AA"/>
    <w:rsid w:val="00ED74F4"/>
    <w:rsid w:val="00F20504"/>
    <w:rsid w:val="00FD2D5B"/>
    <w:rsid w:val="00FF51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7E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39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42330F"/>
    <w:rPr>
      <w:b/>
      <w:bCs/>
    </w:rPr>
  </w:style>
  <w:style w:type="paragraph" w:customStyle="1" w:styleId="1">
    <w:name w:val="Обычный1"/>
    <w:rsid w:val="004C36E6"/>
    <w:pPr>
      <w:snapToGrid w:val="0"/>
      <w:spacing w:before="100" w:after="100" w:line="240" w:lineRule="auto"/>
    </w:pPr>
    <w:rPr>
      <w:rFonts w:ascii="Times New Roman" w:eastAsia="Times New Roman" w:hAnsi="Times New Roman" w:cs="Times New Roman"/>
      <w:sz w:val="24"/>
      <w:szCs w:val="20"/>
      <w:lang w:eastAsia="ru-RU"/>
    </w:rPr>
  </w:style>
  <w:style w:type="paragraph" w:styleId="a5">
    <w:name w:val="Normal (Web)"/>
    <w:basedOn w:val="a"/>
    <w:uiPriority w:val="99"/>
    <w:semiHidden/>
    <w:unhideWhenUsed/>
    <w:rsid w:val="005079A4"/>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39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42330F"/>
    <w:rPr>
      <w:b/>
      <w:bCs/>
    </w:rPr>
  </w:style>
  <w:style w:type="paragraph" w:customStyle="1" w:styleId="1">
    <w:name w:val="Обычный1"/>
    <w:rsid w:val="004C36E6"/>
    <w:pPr>
      <w:snapToGrid w:val="0"/>
      <w:spacing w:before="100" w:after="100" w:line="240" w:lineRule="auto"/>
    </w:pPr>
    <w:rPr>
      <w:rFonts w:ascii="Times New Roman" w:eastAsia="Times New Roman" w:hAnsi="Times New Roman" w:cs="Times New Roman"/>
      <w:sz w:val="24"/>
      <w:szCs w:val="20"/>
      <w:lang w:eastAsia="ru-RU"/>
    </w:rPr>
  </w:style>
  <w:style w:type="paragraph" w:styleId="a5">
    <w:name w:val="Normal (Web)"/>
    <w:basedOn w:val="a"/>
    <w:uiPriority w:val="99"/>
    <w:semiHidden/>
    <w:unhideWhenUsed/>
    <w:rsid w:val="005079A4"/>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22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983</Words>
  <Characters>5608</Characters>
  <Application>Microsoft Office Word</Application>
  <DocSecurity>0</DocSecurity>
  <Lines>46</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Director</cp:lastModifiedBy>
  <cp:revision>2</cp:revision>
  <dcterms:created xsi:type="dcterms:W3CDTF">2024-11-12T09:21:00Z</dcterms:created>
  <dcterms:modified xsi:type="dcterms:W3CDTF">2024-11-12T09:21:00Z</dcterms:modified>
</cp:coreProperties>
</file>