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294" w:rsidRPr="00CD4F05" w:rsidRDefault="00FA178F" w:rsidP="00FA178F">
      <w:pPr>
        <w:spacing w:after="0" w:line="240" w:lineRule="auto"/>
        <w:ind w:left="708" w:hanging="708"/>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Tabelul divergenţilor</w:t>
      </w:r>
    </w:p>
    <w:p w:rsidR="00C02294" w:rsidRPr="00CD4F05" w:rsidRDefault="00C02294" w:rsidP="00C02294">
      <w:pPr>
        <w:spacing w:after="0" w:line="240" w:lineRule="auto"/>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la proiectul Hotărîrii de Guvern cu privire la aprobarea Reglementării tehnice privind punerea la dispoziţie pe piaţă a mijloacelor de măsurare</w:t>
      </w:r>
    </w:p>
    <w:p w:rsidR="00C02294" w:rsidRPr="00CD4F05" w:rsidRDefault="00C02294" w:rsidP="00C02294">
      <w:pPr>
        <w:spacing w:after="0" w:line="240" w:lineRule="auto"/>
        <w:jc w:val="center"/>
        <w:rPr>
          <w:rFonts w:ascii="Times New Roman" w:hAnsi="Times New Roman" w:cs="Times New Roman"/>
          <w:b/>
          <w:sz w:val="24"/>
          <w:szCs w:val="24"/>
          <w:lang w:val="ro-RO"/>
        </w:rPr>
      </w:pPr>
    </w:p>
    <w:tbl>
      <w:tblPr>
        <w:tblStyle w:val="a3"/>
        <w:tblW w:w="15735" w:type="dxa"/>
        <w:tblInd w:w="-176" w:type="dxa"/>
        <w:tblLayout w:type="fixed"/>
        <w:tblLook w:val="04A0" w:firstRow="1" w:lastRow="0" w:firstColumn="1" w:lastColumn="0" w:noHBand="0" w:noVBand="1"/>
      </w:tblPr>
      <w:tblGrid>
        <w:gridCol w:w="425"/>
        <w:gridCol w:w="1592"/>
        <w:gridCol w:w="1276"/>
        <w:gridCol w:w="7196"/>
        <w:gridCol w:w="5246"/>
      </w:tblGrid>
      <w:tr w:rsidR="00C02294" w:rsidRPr="00CD4F05" w:rsidTr="00CD4F05">
        <w:tc>
          <w:tcPr>
            <w:tcW w:w="425" w:type="dxa"/>
          </w:tcPr>
          <w:p w:rsidR="00C02294" w:rsidRPr="00CD4F05" w:rsidRDefault="00C02294" w:rsidP="003B2B90">
            <w:pPr>
              <w:pStyle w:val="a4"/>
              <w:ind w:left="34" w:right="34"/>
              <w:jc w:val="center"/>
              <w:rPr>
                <w:rFonts w:ascii="Times New Roman" w:hAnsi="Times New Roman" w:cs="Times New Roman"/>
                <w:b/>
                <w:sz w:val="24"/>
                <w:szCs w:val="24"/>
              </w:rPr>
            </w:pPr>
            <w:r w:rsidRPr="00CD4F05">
              <w:rPr>
                <w:rFonts w:ascii="Times New Roman" w:hAnsi="Times New Roman" w:cs="Times New Roman"/>
                <w:b/>
                <w:sz w:val="24"/>
                <w:szCs w:val="24"/>
              </w:rPr>
              <w:t>Nr.</w:t>
            </w:r>
          </w:p>
        </w:tc>
        <w:tc>
          <w:tcPr>
            <w:tcW w:w="1592" w:type="dxa"/>
          </w:tcPr>
          <w:p w:rsidR="00C02294" w:rsidRPr="00CD4F05" w:rsidRDefault="00C02294" w:rsidP="00C02294">
            <w:pPr>
              <w:jc w:val="center"/>
              <w:rPr>
                <w:rFonts w:ascii="Times New Roman" w:hAnsi="Times New Roman" w:cs="Times New Roman"/>
                <w:b/>
                <w:sz w:val="24"/>
                <w:szCs w:val="24"/>
              </w:rPr>
            </w:pPr>
            <w:r w:rsidRPr="00CD4F05">
              <w:rPr>
                <w:rFonts w:ascii="Times New Roman" w:hAnsi="Times New Roman" w:cs="Times New Roman"/>
                <w:b/>
                <w:sz w:val="24"/>
                <w:szCs w:val="24"/>
              </w:rPr>
              <w:t>Instituţia</w:t>
            </w:r>
          </w:p>
        </w:tc>
        <w:tc>
          <w:tcPr>
            <w:tcW w:w="1276" w:type="dxa"/>
          </w:tcPr>
          <w:p w:rsidR="00C02294" w:rsidRPr="00CD4F05" w:rsidRDefault="00C02294" w:rsidP="00C02294">
            <w:pPr>
              <w:jc w:val="center"/>
              <w:rPr>
                <w:rFonts w:ascii="Times New Roman" w:hAnsi="Times New Roman" w:cs="Times New Roman"/>
                <w:b/>
                <w:sz w:val="24"/>
                <w:szCs w:val="24"/>
              </w:rPr>
            </w:pPr>
            <w:r w:rsidRPr="00CD4F05">
              <w:rPr>
                <w:rFonts w:ascii="Times New Roman" w:hAnsi="Times New Roman" w:cs="Times New Roman"/>
                <w:b/>
                <w:sz w:val="24"/>
                <w:szCs w:val="24"/>
                <w:lang w:val="ro-RO"/>
              </w:rPr>
              <w:t>D</w:t>
            </w:r>
            <w:r w:rsidRPr="00CD4F05">
              <w:rPr>
                <w:rFonts w:ascii="Times New Roman" w:hAnsi="Times New Roman" w:cs="Times New Roman"/>
                <w:b/>
                <w:sz w:val="24"/>
                <w:szCs w:val="24"/>
              </w:rPr>
              <w:t>emersul</w:t>
            </w:r>
          </w:p>
        </w:tc>
        <w:tc>
          <w:tcPr>
            <w:tcW w:w="7196" w:type="dxa"/>
          </w:tcPr>
          <w:p w:rsidR="00C02294" w:rsidRPr="00CD4F05" w:rsidRDefault="00C02294" w:rsidP="00C02294">
            <w:pPr>
              <w:jc w:val="center"/>
              <w:rPr>
                <w:rFonts w:ascii="Times New Roman" w:hAnsi="Times New Roman" w:cs="Times New Roman"/>
                <w:b/>
                <w:sz w:val="24"/>
                <w:szCs w:val="24"/>
              </w:rPr>
            </w:pPr>
            <w:r w:rsidRPr="00CD4F05">
              <w:rPr>
                <w:rFonts w:ascii="Times New Roman" w:hAnsi="Times New Roman" w:cs="Times New Roman"/>
                <w:b/>
                <w:sz w:val="24"/>
                <w:szCs w:val="24"/>
              </w:rPr>
              <w:t>Obiecţii şi recomandări</w:t>
            </w:r>
          </w:p>
        </w:tc>
        <w:tc>
          <w:tcPr>
            <w:tcW w:w="5246" w:type="dxa"/>
          </w:tcPr>
          <w:p w:rsidR="00C02294" w:rsidRPr="00CD4F05" w:rsidRDefault="00C02294" w:rsidP="00C02294">
            <w:pPr>
              <w:jc w:val="center"/>
              <w:rPr>
                <w:rFonts w:ascii="Times New Roman" w:hAnsi="Times New Roman" w:cs="Times New Roman"/>
                <w:b/>
                <w:sz w:val="24"/>
                <w:szCs w:val="24"/>
              </w:rPr>
            </w:pPr>
            <w:r w:rsidRPr="00CD4F05">
              <w:rPr>
                <w:rFonts w:ascii="Times New Roman" w:hAnsi="Times New Roman" w:cs="Times New Roman"/>
                <w:b/>
                <w:sz w:val="24"/>
                <w:szCs w:val="24"/>
              </w:rPr>
              <w:t>Decizia luată</w:t>
            </w:r>
          </w:p>
        </w:tc>
      </w:tr>
      <w:tr w:rsidR="00C02294" w:rsidRPr="000240B9" w:rsidTr="00CD4F05">
        <w:tc>
          <w:tcPr>
            <w:tcW w:w="425" w:type="dxa"/>
          </w:tcPr>
          <w:p w:rsidR="00C02294" w:rsidRPr="00CD4F05" w:rsidRDefault="00C02294" w:rsidP="003B2B90">
            <w:pPr>
              <w:pStyle w:val="a4"/>
              <w:numPr>
                <w:ilvl w:val="0"/>
                <w:numId w:val="2"/>
              </w:numPr>
              <w:ind w:left="34" w:right="34" w:firstLine="0"/>
              <w:rPr>
                <w:rFonts w:ascii="Times New Roman" w:hAnsi="Times New Roman" w:cs="Times New Roman"/>
                <w:sz w:val="24"/>
                <w:szCs w:val="24"/>
                <w:lang w:val="ro-RO"/>
              </w:rPr>
            </w:pPr>
          </w:p>
        </w:tc>
        <w:tc>
          <w:tcPr>
            <w:tcW w:w="1592" w:type="dxa"/>
          </w:tcPr>
          <w:p w:rsidR="00C02294" w:rsidRPr="00CD4F05" w:rsidRDefault="00C02294"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Ministerul Dezvoltării Regionale şi Construcţiilor</w:t>
            </w:r>
          </w:p>
        </w:tc>
        <w:tc>
          <w:tcPr>
            <w:tcW w:w="1276" w:type="dxa"/>
          </w:tcPr>
          <w:p w:rsidR="00C02294" w:rsidRPr="00CD4F05" w:rsidRDefault="00C02294"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Nr. 03/1-2073 din 03.10.2014</w:t>
            </w:r>
          </w:p>
        </w:tc>
        <w:tc>
          <w:tcPr>
            <w:tcW w:w="7196" w:type="dxa"/>
          </w:tcPr>
          <w:p w:rsidR="00C02294" w:rsidRPr="00CD4F05" w:rsidRDefault="00C02294"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Lipsa de obiecţii şi propuneri</w:t>
            </w:r>
          </w:p>
        </w:tc>
        <w:tc>
          <w:tcPr>
            <w:tcW w:w="5246" w:type="dxa"/>
          </w:tcPr>
          <w:p w:rsidR="00C02294" w:rsidRPr="00CD4F05" w:rsidRDefault="00C02294" w:rsidP="00C02294">
            <w:pPr>
              <w:jc w:val="center"/>
              <w:rPr>
                <w:rFonts w:ascii="Times New Roman" w:hAnsi="Times New Roman" w:cs="Times New Roman"/>
                <w:b/>
                <w:sz w:val="24"/>
                <w:szCs w:val="24"/>
                <w:lang w:val="ro-RO"/>
              </w:rPr>
            </w:pPr>
          </w:p>
        </w:tc>
      </w:tr>
      <w:tr w:rsidR="00C02294" w:rsidRPr="000240B9" w:rsidTr="00CD4F05">
        <w:tc>
          <w:tcPr>
            <w:tcW w:w="425" w:type="dxa"/>
          </w:tcPr>
          <w:p w:rsidR="00C02294" w:rsidRPr="00CD4F05" w:rsidRDefault="00C02294" w:rsidP="003B2B90">
            <w:pPr>
              <w:pStyle w:val="a4"/>
              <w:numPr>
                <w:ilvl w:val="0"/>
                <w:numId w:val="2"/>
              </w:numPr>
              <w:ind w:left="34" w:right="34" w:firstLine="0"/>
              <w:rPr>
                <w:rFonts w:ascii="Times New Roman" w:hAnsi="Times New Roman" w:cs="Times New Roman"/>
                <w:sz w:val="24"/>
                <w:szCs w:val="24"/>
                <w:lang w:val="ro-RO"/>
              </w:rPr>
            </w:pPr>
          </w:p>
        </w:tc>
        <w:tc>
          <w:tcPr>
            <w:tcW w:w="1592" w:type="dxa"/>
          </w:tcPr>
          <w:p w:rsidR="00C02294" w:rsidRPr="00CD4F05" w:rsidRDefault="00C02294"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Ministerul Mediului</w:t>
            </w:r>
          </w:p>
        </w:tc>
        <w:tc>
          <w:tcPr>
            <w:tcW w:w="1276" w:type="dxa"/>
          </w:tcPr>
          <w:p w:rsidR="00C02294" w:rsidRPr="00CD4F05" w:rsidRDefault="00C02294"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Nr. 05-07/1880 din 29.09.1014</w:t>
            </w:r>
          </w:p>
        </w:tc>
        <w:tc>
          <w:tcPr>
            <w:tcW w:w="7196" w:type="dxa"/>
          </w:tcPr>
          <w:p w:rsidR="00C02294" w:rsidRPr="00CD4F05" w:rsidRDefault="00C02294"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Lipsa de obiecţii şi propuneri</w:t>
            </w:r>
          </w:p>
        </w:tc>
        <w:tc>
          <w:tcPr>
            <w:tcW w:w="5246" w:type="dxa"/>
          </w:tcPr>
          <w:p w:rsidR="00C02294" w:rsidRPr="00CD4F05" w:rsidRDefault="00C02294" w:rsidP="00C02294">
            <w:pPr>
              <w:jc w:val="center"/>
              <w:rPr>
                <w:rFonts w:ascii="Times New Roman" w:hAnsi="Times New Roman" w:cs="Times New Roman"/>
                <w:b/>
                <w:sz w:val="24"/>
                <w:szCs w:val="24"/>
                <w:lang w:val="ro-RO"/>
              </w:rPr>
            </w:pPr>
          </w:p>
        </w:tc>
      </w:tr>
      <w:tr w:rsidR="00B222AB" w:rsidRPr="000240B9" w:rsidTr="00CD4F05">
        <w:tc>
          <w:tcPr>
            <w:tcW w:w="425" w:type="dxa"/>
          </w:tcPr>
          <w:p w:rsidR="00B222AB" w:rsidRPr="00CD4F05" w:rsidRDefault="00B222AB" w:rsidP="003B2B90">
            <w:pPr>
              <w:pStyle w:val="a4"/>
              <w:numPr>
                <w:ilvl w:val="0"/>
                <w:numId w:val="2"/>
              </w:numPr>
              <w:ind w:left="34" w:right="34" w:firstLine="0"/>
              <w:rPr>
                <w:rFonts w:ascii="Times New Roman" w:hAnsi="Times New Roman" w:cs="Times New Roman"/>
                <w:sz w:val="24"/>
                <w:szCs w:val="24"/>
                <w:lang w:val="en-US"/>
              </w:rPr>
            </w:pPr>
          </w:p>
        </w:tc>
        <w:tc>
          <w:tcPr>
            <w:tcW w:w="1592" w:type="dxa"/>
          </w:tcPr>
          <w:p w:rsidR="00B222AB" w:rsidRPr="00CD4F05" w:rsidRDefault="00B222AB" w:rsidP="00B222AB">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Ministerul Sănătăţii</w:t>
            </w:r>
          </w:p>
        </w:tc>
        <w:tc>
          <w:tcPr>
            <w:tcW w:w="1276" w:type="dxa"/>
          </w:tcPr>
          <w:p w:rsidR="00B222AB" w:rsidRPr="00CD4F05" w:rsidRDefault="00B222AB"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Nr. 01-9/1632 din 06.10.14</w:t>
            </w:r>
          </w:p>
        </w:tc>
        <w:tc>
          <w:tcPr>
            <w:tcW w:w="7196" w:type="dxa"/>
          </w:tcPr>
          <w:p w:rsidR="00B222AB" w:rsidRPr="00CD4F05" w:rsidRDefault="00B222AB"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Lipsa de obiecţii şi propuneri</w:t>
            </w:r>
          </w:p>
        </w:tc>
        <w:tc>
          <w:tcPr>
            <w:tcW w:w="5246" w:type="dxa"/>
          </w:tcPr>
          <w:p w:rsidR="00B222AB" w:rsidRPr="00CD4F05" w:rsidRDefault="00B222AB" w:rsidP="00C02294">
            <w:pPr>
              <w:jc w:val="center"/>
              <w:rPr>
                <w:rFonts w:ascii="Times New Roman" w:hAnsi="Times New Roman" w:cs="Times New Roman"/>
                <w:b/>
                <w:sz w:val="24"/>
                <w:szCs w:val="24"/>
                <w:lang w:val="ro-RO"/>
              </w:rPr>
            </w:pPr>
          </w:p>
        </w:tc>
      </w:tr>
      <w:tr w:rsidR="000240B9" w:rsidRPr="000240B9" w:rsidTr="00CD4F05">
        <w:tc>
          <w:tcPr>
            <w:tcW w:w="425" w:type="dxa"/>
          </w:tcPr>
          <w:p w:rsidR="000240B9" w:rsidRPr="00CD4F05" w:rsidRDefault="000240B9" w:rsidP="003B2B90">
            <w:pPr>
              <w:pStyle w:val="a4"/>
              <w:numPr>
                <w:ilvl w:val="0"/>
                <w:numId w:val="2"/>
              </w:numPr>
              <w:ind w:left="34" w:right="34" w:firstLine="0"/>
              <w:rPr>
                <w:rFonts w:ascii="Times New Roman" w:hAnsi="Times New Roman" w:cs="Times New Roman"/>
                <w:sz w:val="24"/>
                <w:szCs w:val="24"/>
                <w:lang w:val="en-US"/>
              </w:rPr>
            </w:pPr>
          </w:p>
        </w:tc>
        <w:tc>
          <w:tcPr>
            <w:tcW w:w="1592" w:type="dxa"/>
          </w:tcPr>
          <w:p w:rsidR="000240B9" w:rsidRPr="00CD4F05" w:rsidRDefault="000240B9" w:rsidP="000240B9">
            <w:pPr>
              <w:jc w:val="center"/>
              <w:rPr>
                <w:rFonts w:ascii="Times New Roman" w:hAnsi="Times New Roman" w:cs="Times New Roman"/>
                <w:sz w:val="24"/>
                <w:szCs w:val="24"/>
                <w:lang w:val="ro-RO"/>
              </w:rPr>
            </w:pPr>
            <w:r w:rsidRPr="000240B9">
              <w:rPr>
                <w:rFonts w:ascii="Times New Roman" w:hAnsi="Times New Roman" w:cs="Times New Roman"/>
                <w:sz w:val="24"/>
                <w:szCs w:val="24"/>
                <w:lang w:val="ro-RO"/>
              </w:rPr>
              <w:t>Ministerul</w:t>
            </w:r>
            <w:r>
              <w:rPr>
                <w:rFonts w:ascii="Times New Roman" w:hAnsi="Times New Roman" w:cs="Times New Roman"/>
                <w:sz w:val="24"/>
                <w:szCs w:val="24"/>
                <w:lang w:val="ro-RO"/>
              </w:rPr>
              <w:t xml:space="preserve"> Muncii, Protecţiei Sociale şi Familiei</w:t>
            </w:r>
          </w:p>
        </w:tc>
        <w:tc>
          <w:tcPr>
            <w:tcW w:w="1276" w:type="dxa"/>
          </w:tcPr>
          <w:p w:rsidR="000240B9" w:rsidRPr="00CD4F05" w:rsidRDefault="000240B9" w:rsidP="000240B9">
            <w:pPr>
              <w:jc w:val="center"/>
              <w:rPr>
                <w:rFonts w:ascii="Times New Roman" w:hAnsi="Times New Roman" w:cs="Times New Roman"/>
                <w:sz w:val="24"/>
                <w:szCs w:val="24"/>
                <w:lang w:val="ro-RO"/>
              </w:rPr>
            </w:pPr>
            <w:r w:rsidRPr="000240B9">
              <w:rPr>
                <w:rFonts w:ascii="Times New Roman" w:hAnsi="Times New Roman" w:cs="Times New Roman"/>
                <w:sz w:val="24"/>
                <w:szCs w:val="24"/>
                <w:lang w:val="ro-RO"/>
              </w:rPr>
              <w:t>Nr. 01-</w:t>
            </w:r>
            <w:r>
              <w:rPr>
                <w:rFonts w:ascii="Times New Roman" w:hAnsi="Times New Roman" w:cs="Times New Roman"/>
                <w:sz w:val="24"/>
                <w:szCs w:val="24"/>
                <w:lang w:val="ro-RO"/>
              </w:rPr>
              <w:t>4017 din 23</w:t>
            </w:r>
            <w:r w:rsidRPr="000240B9">
              <w:rPr>
                <w:rFonts w:ascii="Times New Roman" w:hAnsi="Times New Roman" w:cs="Times New Roman"/>
                <w:sz w:val="24"/>
                <w:szCs w:val="24"/>
                <w:lang w:val="ro-RO"/>
              </w:rPr>
              <w:t>.10.14</w:t>
            </w:r>
          </w:p>
        </w:tc>
        <w:tc>
          <w:tcPr>
            <w:tcW w:w="7196" w:type="dxa"/>
          </w:tcPr>
          <w:p w:rsidR="000240B9" w:rsidRPr="00CD4F05" w:rsidRDefault="000240B9" w:rsidP="00C02294">
            <w:pPr>
              <w:jc w:val="center"/>
              <w:rPr>
                <w:rFonts w:ascii="Times New Roman" w:hAnsi="Times New Roman" w:cs="Times New Roman"/>
                <w:sz w:val="24"/>
                <w:szCs w:val="24"/>
                <w:lang w:val="ro-RO"/>
              </w:rPr>
            </w:pPr>
            <w:r w:rsidRPr="000240B9">
              <w:rPr>
                <w:rFonts w:ascii="Times New Roman" w:hAnsi="Times New Roman" w:cs="Times New Roman"/>
                <w:sz w:val="24"/>
                <w:szCs w:val="24"/>
                <w:lang w:val="ro-RO"/>
              </w:rPr>
              <w:t>Lipsa de obiecţii şi propuneri</w:t>
            </w:r>
          </w:p>
        </w:tc>
        <w:tc>
          <w:tcPr>
            <w:tcW w:w="5246" w:type="dxa"/>
          </w:tcPr>
          <w:p w:rsidR="000240B9" w:rsidRPr="00CD4F05" w:rsidRDefault="000240B9" w:rsidP="00C02294">
            <w:pPr>
              <w:jc w:val="center"/>
              <w:rPr>
                <w:rFonts w:ascii="Times New Roman" w:hAnsi="Times New Roman" w:cs="Times New Roman"/>
                <w:b/>
                <w:sz w:val="24"/>
                <w:szCs w:val="24"/>
                <w:lang w:val="ro-RO"/>
              </w:rPr>
            </w:pPr>
          </w:p>
        </w:tc>
      </w:tr>
      <w:tr w:rsidR="00B222AB" w:rsidRPr="000240B9" w:rsidTr="00CD4F05">
        <w:tc>
          <w:tcPr>
            <w:tcW w:w="425" w:type="dxa"/>
          </w:tcPr>
          <w:p w:rsidR="00B222AB" w:rsidRPr="00CD4F05" w:rsidRDefault="00B222AB" w:rsidP="003B2B90">
            <w:pPr>
              <w:pStyle w:val="a4"/>
              <w:numPr>
                <w:ilvl w:val="0"/>
                <w:numId w:val="2"/>
              </w:numPr>
              <w:ind w:left="34" w:right="34" w:firstLine="0"/>
              <w:rPr>
                <w:rFonts w:ascii="Times New Roman" w:hAnsi="Times New Roman" w:cs="Times New Roman"/>
                <w:sz w:val="24"/>
                <w:szCs w:val="24"/>
                <w:lang w:val="en-US"/>
              </w:rPr>
            </w:pPr>
          </w:p>
        </w:tc>
        <w:tc>
          <w:tcPr>
            <w:tcW w:w="1592" w:type="dxa"/>
          </w:tcPr>
          <w:p w:rsidR="00B222AB" w:rsidRPr="00CD4F05" w:rsidRDefault="003751E8" w:rsidP="00B222AB">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Confederaţia Naţională a Sindicatelor</w:t>
            </w:r>
          </w:p>
        </w:tc>
        <w:tc>
          <w:tcPr>
            <w:tcW w:w="1276" w:type="dxa"/>
          </w:tcPr>
          <w:p w:rsidR="00B222AB" w:rsidRPr="00CD4F05" w:rsidRDefault="003751E8"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Nr. 05-02/1004 din 22.10.2014</w:t>
            </w:r>
          </w:p>
        </w:tc>
        <w:tc>
          <w:tcPr>
            <w:tcW w:w="7196" w:type="dxa"/>
          </w:tcPr>
          <w:p w:rsidR="00B222AB" w:rsidRPr="00CD4F05" w:rsidRDefault="003751E8"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Lipsa de obiecţii şi propuneri</w:t>
            </w:r>
          </w:p>
        </w:tc>
        <w:tc>
          <w:tcPr>
            <w:tcW w:w="5246" w:type="dxa"/>
          </w:tcPr>
          <w:p w:rsidR="00B222AB" w:rsidRPr="00CD4F05" w:rsidRDefault="00B222AB" w:rsidP="00C02294">
            <w:pPr>
              <w:jc w:val="center"/>
              <w:rPr>
                <w:rFonts w:ascii="Times New Roman" w:hAnsi="Times New Roman" w:cs="Times New Roman"/>
                <w:b/>
                <w:sz w:val="24"/>
                <w:szCs w:val="24"/>
                <w:lang w:val="ro-RO"/>
              </w:rPr>
            </w:pPr>
          </w:p>
        </w:tc>
      </w:tr>
      <w:tr w:rsidR="00230862" w:rsidRPr="000240B9" w:rsidTr="00CD4F05">
        <w:tc>
          <w:tcPr>
            <w:tcW w:w="425" w:type="dxa"/>
            <w:vMerge w:val="restart"/>
          </w:tcPr>
          <w:p w:rsidR="00230862" w:rsidRPr="00CD4F05" w:rsidRDefault="00230862" w:rsidP="003B2B90">
            <w:pPr>
              <w:pStyle w:val="a4"/>
              <w:numPr>
                <w:ilvl w:val="0"/>
                <w:numId w:val="2"/>
              </w:numPr>
              <w:ind w:left="34" w:right="34" w:firstLine="0"/>
              <w:rPr>
                <w:rFonts w:ascii="Times New Roman" w:hAnsi="Times New Roman" w:cs="Times New Roman"/>
                <w:sz w:val="24"/>
                <w:szCs w:val="24"/>
                <w:lang w:val="en-US"/>
              </w:rPr>
            </w:pPr>
          </w:p>
        </w:tc>
        <w:tc>
          <w:tcPr>
            <w:tcW w:w="1592" w:type="dxa"/>
            <w:vMerge w:val="restart"/>
          </w:tcPr>
          <w:p w:rsidR="00230862" w:rsidRPr="00CD4F05" w:rsidRDefault="00230862" w:rsidP="00F47699">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Agenţia Naţională</w:t>
            </w:r>
          </w:p>
          <w:p w:rsidR="00230862" w:rsidRPr="00CD4F05" w:rsidRDefault="00230862" w:rsidP="00F47699">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Transport Auto</w:t>
            </w:r>
          </w:p>
        </w:tc>
        <w:tc>
          <w:tcPr>
            <w:tcW w:w="1276" w:type="dxa"/>
            <w:vMerge w:val="restart"/>
          </w:tcPr>
          <w:p w:rsidR="00230862" w:rsidRPr="00CD4F05" w:rsidRDefault="00230862"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Nr. 02/1-1-7721 din 17.10.2014</w:t>
            </w:r>
          </w:p>
        </w:tc>
        <w:tc>
          <w:tcPr>
            <w:tcW w:w="7196" w:type="dxa"/>
          </w:tcPr>
          <w:p w:rsidR="00230862" w:rsidRPr="00CD4F05" w:rsidRDefault="00230862" w:rsidP="00230862">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Preambulul Hotărîrii de Guvern se modifică şi se expune în următoarea redacţie, după cum urmează:</w:t>
            </w:r>
          </w:p>
          <w:p w:rsidR="00230862" w:rsidRPr="00CD4F05" w:rsidRDefault="00230862" w:rsidP="00230862">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„În conformitate cu Legea nr. 420-XVI din 22.12.2006 privind activitatea de reglementare tehnică (Monitorul Oficial al Republicii Moldova, 2007, nr.36-38, art.</w:t>
            </w:r>
            <w:bookmarkStart w:id="0" w:name="_GoBack"/>
            <w:bookmarkEnd w:id="0"/>
            <w:r w:rsidRPr="00CD4F05">
              <w:rPr>
                <w:rFonts w:ascii="Times New Roman" w:hAnsi="Times New Roman" w:cs="Times New Roman"/>
                <w:sz w:val="24"/>
                <w:szCs w:val="24"/>
                <w:lang w:val="ro-RO"/>
              </w:rPr>
              <w:t xml:space="preserve">141), cu modificările şi completările ulterioare, în scopul respectării prevederilor Legii nr. 235 din </w:t>
            </w:r>
            <w:r w:rsidRPr="00CD4F05">
              <w:rPr>
                <w:rFonts w:ascii="Times New Roman" w:hAnsi="Times New Roman" w:cs="Times New Roman"/>
                <w:sz w:val="24"/>
                <w:szCs w:val="24"/>
                <w:lang w:val="ro-RO"/>
              </w:rPr>
              <w:lastRenderedPageBreak/>
              <w:t>01.12.2011 privind activităţile de acreditare şi evaluare a conformităţii(Monitorul Oficial al Republicii Moldova, 2012, nr. 46-47, art. 136) Guvernul”</w:t>
            </w:r>
          </w:p>
        </w:tc>
        <w:tc>
          <w:tcPr>
            <w:tcW w:w="5246" w:type="dxa"/>
          </w:tcPr>
          <w:p w:rsidR="00C265A5" w:rsidRPr="00CD4F05" w:rsidRDefault="00C265A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lastRenderedPageBreak/>
              <w:t xml:space="preserve">Nu se acceptă, </w:t>
            </w:r>
          </w:p>
          <w:p w:rsidR="00230862" w:rsidRPr="00CD4F05" w:rsidRDefault="00C265A5" w:rsidP="005E6E4A">
            <w:pPr>
              <w:jc w:val="both"/>
              <w:rPr>
                <w:rFonts w:ascii="Times New Roman" w:hAnsi="Times New Roman" w:cs="Times New Roman"/>
                <w:b/>
                <w:sz w:val="24"/>
                <w:szCs w:val="24"/>
                <w:lang w:val="en-US"/>
              </w:rPr>
            </w:pPr>
            <w:r w:rsidRPr="00CD4F05">
              <w:rPr>
                <w:rFonts w:ascii="Times New Roman" w:hAnsi="Times New Roman" w:cs="Times New Roman"/>
                <w:sz w:val="24"/>
                <w:szCs w:val="24"/>
                <w:lang w:val="ro-RO"/>
              </w:rPr>
              <w:t xml:space="preserve">Legea nr. 420-XVI din 22.12.2006 privind activitatea de reglementare tehnică este cadrul legal orizontal care stabileşte </w:t>
            </w:r>
            <w:proofErr w:type="spellStart"/>
            <w:r w:rsidRPr="00CD4F05">
              <w:rPr>
                <w:rFonts w:ascii="Times New Roman" w:hAnsi="Times New Roman" w:cs="Times New Roman"/>
                <w:sz w:val="24"/>
                <w:szCs w:val="24"/>
                <w:lang w:val="en-US"/>
              </w:rPr>
              <w:t>cerinţele</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generale</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faţă</w:t>
            </w:r>
            <w:proofErr w:type="spellEnd"/>
            <w:r w:rsidRPr="00CD4F05">
              <w:rPr>
                <w:rFonts w:ascii="Times New Roman" w:hAnsi="Times New Roman" w:cs="Times New Roman"/>
                <w:sz w:val="24"/>
                <w:szCs w:val="24"/>
                <w:lang w:val="en-US"/>
              </w:rPr>
              <w:t xml:space="preserve"> de </w:t>
            </w:r>
            <w:proofErr w:type="spellStart"/>
            <w:r w:rsidRPr="00CD4F05">
              <w:rPr>
                <w:rFonts w:ascii="Times New Roman" w:hAnsi="Times New Roman" w:cs="Times New Roman"/>
                <w:sz w:val="24"/>
                <w:szCs w:val="24"/>
                <w:lang w:val="en-US"/>
              </w:rPr>
              <w:t>conţinutul</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şi</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modul</w:t>
            </w:r>
            <w:proofErr w:type="spellEnd"/>
            <w:r w:rsidRPr="00CD4F05">
              <w:rPr>
                <w:rFonts w:ascii="Times New Roman" w:hAnsi="Times New Roman" w:cs="Times New Roman"/>
                <w:sz w:val="24"/>
                <w:szCs w:val="24"/>
                <w:lang w:val="en-US"/>
              </w:rPr>
              <w:t xml:space="preserve"> de </w:t>
            </w:r>
            <w:proofErr w:type="spellStart"/>
            <w:r w:rsidRPr="00CD4F05">
              <w:rPr>
                <w:rFonts w:ascii="Times New Roman" w:hAnsi="Times New Roman" w:cs="Times New Roman"/>
                <w:sz w:val="24"/>
                <w:szCs w:val="24"/>
                <w:lang w:val="en-US"/>
              </w:rPr>
              <w:t>elaborare</w:t>
            </w:r>
            <w:proofErr w:type="spellEnd"/>
            <w:r w:rsidRPr="00CD4F05">
              <w:rPr>
                <w:rFonts w:ascii="Times New Roman" w:hAnsi="Times New Roman" w:cs="Times New Roman"/>
                <w:sz w:val="24"/>
                <w:szCs w:val="24"/>
                <w:lang w:val="en-US"/>
              </w:rPr>
              <w:t xml:space="preserve"> de </w:t>
            </w:r>
            <w:proofErr w:type="spellStart"/>
            <w:r w:rsidRPr="00CD4F05">
              <w:rPr>
                <w:rFonts w:ascii="Times New Roman" w:hAnsi="Times New Roman" w:cs="Times New Roman"/>
                <w:sz w:val="24"/>
                <w:szCs w:val="24"/>
                <w:lang w:val="en-US"/>
              </w:rPr>
              <w:t>către</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autorităţile</w:t>
            </w:r>
            <w:proofErr w:type="spellEnd"/>
            <w:r w:rsidRPr="00CD4F05">
              <w:rPr>
                <w:rFonts w:ascii="Times New Roman" w:hAnsi="Times New Roman" w:cs="Times New Roman"/>
                <w:sz w:val="24"/>
                <w:szCs w:val="24"/>
                <w:lang w:val="en-US"/>
              </w:rPr>
              <w:t xml:space="preserve"> de </w:t>
            </w:r>
            <w:proofErr w:type="spellStart"/>
            <w:r w:rsidRPr="00CD4F05">
              <w:rPr>
                <w:rFonts w:ascii="Times New Roman" w:hAnsi="Times New Roman" w:cs="Times New Roman"/>
                <w:sz w:val="24"/>
                <w:szCs w:val="24"/>
                <w:lang w:val="en-US"/>
              </w:rPr>
              <w:t>reglementare</w:t>
            </w:r>
            <w:proofErr w:type="spellEnd"/>
            <w:r w:rsidRPr="00CD4F05">
              <w:rPr>
                <w:rFonts w:ascii="Times New Roman" w:hAnsi="Times New Roman" w:cs="Times New Roman"/>
                <w:sz w:val="24"/>
                <w:szCs w:val="24"/>
                <w:lang w:val="en-US"/>
              </w:rPr>
              <w:t xml:space="preserve"> a </w:t>
            </w:r>
            <w:proofErr w:type="spellStart"/>
            <w:r w:rsidRPr="00CD4F05">
              <w:rPr>
                <w:rFonts w:ascii="Times New Roman" w:hAnsi="Times New Roman" w:cs="Times New Roman"/>
                <w:sz w:val="24"/>
                <w:szCs w:val="24"/>
                <w:lang w:val="en-US"/>
              </w:rPr>
              <w:t>reglementărilor</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tehnice</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însă</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lastRenderedPageBreak/>
              <w:t>Anexa</w:t>
            </w:r>
            <w:proofErr w:type="spellEnd"/>
            <w:r w:rsidRPr="00CD4F05">
              <w:rPr>
                <w:rFonts w:ascii="Times New Roman" w:hAnsi="Times New Roman" w:cs="Times New Roman"/>
                <w:sz w:val="24"/>
                <w:szCs w:val="24"/>
                <w:lang w:val="en-US"/>
              </w:rPr>
              <w:t xml:space="preserve"> nr. 3 din </w:t>
            </w:r>
            <w:proofErr w:type="spellStart"/>
            <w:r w:rsidRPr="00CD4F05">
              <w:rPr>
                <w:rFonts w:ascii="Times New Roman" w:hAnsi="Times New Roman" w:cs="Times New Roman"/>
                <w:sz w:val="24"/>
                <w:szCs w:val="24"/>
                <w:lang w:val="en-US"/>
              </w:rPr>
              <w:t>Legea</w:t>
            </w:r>
            <w:proofErr w:type="spellEnd"/>
            <w:r w:rsidRPr="00CD4F05">
              <w:rPr>
                <w:rFonts w:ascii="Times New Roman" w:hAnsi="Times New Roman" w:cs="Times New Roman"/>
                <w:sz w:val="24"/>
                <w:szCs w:val="24"/>
                <w:lang w:val="en-US"/>
              </w:rPr>
              <w:t xml:space="preserve"> nr. 235 din 01.12.2011 </w:t>
            </w:r>
            <w:proofErr w:type="spellStart"/>
            <w:r w:rsidRPr="00CD4F05">
              <w:rPr>
                <w:rFonts w:ascii="Times New Roman" w:hAnsi="Times New Roman" w:cs="Times New Roman"/>
                <w:sz w:val="24"/>
                <w:szCs w:val="24"/>
                <w:lang w:val="en-US"/>
              </w:rPr>
              <w:t>privind</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activităţile</w:t>
            </w:r>
            <w:proofErr w:type="spellEnd"/>
            <w:r w:rsidRPr="00CD4F05">
              <w:rPr>
                <w:rFonts w:ascii="Times New Roman" w:hAnsi="Times New Roman" w:cs="Times New Roman"/>
                <w:sz w:val="24"/>
                <w:szCs w:val="24"/>
                <w:lang w:val="en-US"/>
              </w:rPr>
              <w:t xml:space="preserve"> de </w:t>
            </w:r>
            <w:proofErr w:type="spellStart"/>
            <w:r w:rsidRPr="00CD4F05">
              <w:rPr>
                <w:rFonts w:ascii="Times New Roman" w:hAnsi="Times New Roman" w:cs="Times New Roman"/>
                <w:sz w:val="24"/>
                <w:szCs w:val="24"/>
                <w:lang w:val="en-US"/>
              </w:rPr>
              <w:t>acreditare</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şi</w:t>
            </w:r>
            <w:proofErr w:type="spellEnd"/>
            <w:r w:rsidRPr="00CD4F05">
              <w:rPr>
                <w:rFonts w:ascii="Times New Roman" w:hAnsi="Times New Roman" w:cs="Times New Roman"/>
                <w:sz w:val="24"/>
                <w:szCs w:val="24"/>
                <w:lang w:val="en-US"/>
              </w:rPr>
              <w:t xml:space="preserve"> de </w:t>
            </w:r>
            <w:proofErr w:type="spellStart"/>
            <w:r w:rsidRPr="00CD4F05">
              <w:rPr>
                <w:rFonts w:ascii="Times New Roman" w:hAnsi="Times New Roman" w:cs="Times New Roman"/>
                <w:sz w:val="24"/>
                <w:szCs w:val="24"/>
                <w:lang w:val="en-US"/>
              </w:rPr>
              <w:t>evaluare</w:t>
            </w:r>
            <w:proofErr w:type="spellEnd"/>
            <w:r w:rsidRPr="00CD4F05">
              <w:rPr>
                <w:rFonts w:ascii="Times New Roman" w:hAnsi="Times New Roman" w:cs="Times New Roman"/>
                <w:sz w:val="24"/>
                <w:szCs w:val="24"/>
                <w:lang w:val="en-US"/>
              </w:rPr>
              <w:t xml:space="preserve"> a </w:t>
            </w:r>
            <w:proofErr w:type="spellStart"/>
            <w:r w:rsidRPr="00CD4F05">
              <w:rPr>
                <w:rFonts w:ascii="Times New Roman" w:hAnsi="Times New Roman" w:cs="Times New Roman"/>
                <w:sz w:val="24"/>
                <w:szCs w:val="24"/>
                <w:lang w:val="en-US"/>
              </w:rPr>
              <w:t>conformităţii</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nominalizează</w:t>
            </w:r>
            <w:proofErr w:type="spellEnd"/>
            <w:r w:rsidRPr="00CD4F05">
              <w:rPr>
                <w:rFonts w:ascii="Times New Roman" w:hAnsi="Times New Roman" w:cs="Times New Roman"/>
                <w:sz w:val="24"/>
                <w:szCs w:val="24"/>
                <w:lang w:val="en-US"/>
              </w:rPr>
              <w:t xml:space="preserve"> </w:t>
            </w:r>
            <w:proofErr w:type="spellStart"/>
            <w:r w:rsidRPr="005E6E4A">
              <w:rPr>
                <w:rFonts w:ascii="Times New Roman" w:hAnsi="Times New Roman" w:cs="Times New Roman"/>
                <w:sz w:val="24"/>
                <w:szCs w:val="24"/>
                <w:lang w:val="en-US"/>
              </w:rPr>
              <w:t>nemijloci</w:t>
            </w:r>
            <w:r w:rsidR="0078663D" w:rsidRPr="005E6E4A">
              <w:rPr>
                <w:rFonts w:ascii="Times New Roman" w:hAnsi="Times New Roman" w:cs="Times New Roman"/>
                <w:sz w:val="24"/>
                <w:szCs w:val="24"/>
                <w:lang w:val="en-US"/>
              </w:rPr>
              <w:t>t</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domeniile</w:t>
            </w:r>
            <w:proofErr w:type="spellEnd"/>
            <w:r w:rsidRPr="00CD4F05">
              <w:rPr>
                <w:rFonts w:ascii="Times New Roman" w:hAnsi="Times New Roman" w:cs="Times New Roman"/>
                <w:sz w:val="24"/>
                <w:szCs w:val="24"/>
                <w:lang w:val="en-US"/>
              </w:rPr>
              <w:t xml:space="preserve"> care </w:t>
            </w:r>
            <w:proofErr w:type="spellStart"/>
            <w:r w:rsidRPr="00CD4F05">
              <w:rPr>
                <w:rFonts w:ascii="Times New Roman" w:hAnsi="Times New Roman" w:cs="Times New Roman"/>
                <w:sz w:val="24"/>
                <w:szCs w:val="24"/>
                <w:lang w:val="en-US"/>
              </w:rPr>
              <w:t>trebuie</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reglemenate</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prin</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reglementări</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tehnice</w:t>
            </w:r>
            <w:proofErr w:type="spellEnd"/>
            <w:r w:rsidRPr="00CD4F05">
              <w:rPr>
                <w:rFonts w:ascii="Times New Roman" w:hAnsi="Times New Roman" w:cs="Times New Roman"/>
                <w:sz w:val="24"/>
                <w:szCs w:val="24"/>
                <w:lang w:val="en-US"/>
              </w:rPr>
              <w:t xml:space="preserve">. </w:t>
            </w:r>
          </w:p>
        </w:tc>
      </w:tr>
      <w:tr w:rsidR="00230862" w:rsidRPr="000240B9" w:rsidTr="00CD4F05">
        <w:tc>
          <w:tcPr>
            <w:tcW w:w="425" w:type="dxa"/>
            <w:vMerge/>
          </w:tcPr>
          <w:p w:rsidR="00230862" w:rsidRPr="00CD4F05" w:rsidRDefault="00230862" w:rsidP="003B2B90">
            <w:pPr>
              <w:pStyle w:val="a4"/>
              <w:numPr>
                <w:ilvl w:val="0"/>
                <w:numId w:val="2"/>
              </w:numPr>
              <w:ind w:left="34" w:right="34" w:firstLine="0"/>
              <w:rPr>
                <w:rFonts w:ascii="Times New Roman" w:hAnsi="Times New Roman" w:cs="Times New Roman"/>
                <w:sz w:val="24"/>
                <w:szCs w:val="24"/>
                <w:lang w:val="en-US"/>
              </w:rPr>
            </w:pPr>
          </w:p>
        </w:tc>
        <w:tc>
          <w:tcPr>
            <w:tcW w:w="1592" w:type="dxa"/>
            <w:vMerge/>
          </w:tcPr>
          <w:p w:rsidR="00230862" w:rsidRPr="00CD4F05" w:rsidRDefault="00230862" w:rsidP="00B222AB">
            <w:pPr>
              <w:jc w:val="center"/>
              <w:rPr>
                <w:rFonts w:ascii="Times New Roman" w:hAnsi="Times New Roman" w:cs="Times New Roman"/>
                <w:sz w:val="24"/>
                <w:szCs w:val="24"/>
                <w:lang w:val="ro-RO"/>
              </w:rPr>
            </w:pPr>
          </w:p>
        </w:tc>
        <w:tc>
          <w:tcPr>
            <w:tcW w:w="1276" w:type="dxa"/>
            <w:vMerge/>
          </w:tcPr>
          <w:p w:rsidR="00230862" w:rsidRPr="00CD4F05" w:rsidRDefault="00230862" w:rsidP="00C02294">
            <w:pPr>
              <w:jc w:val="center"/>
              <w:rPr>
                <w:rFonts w:ascii="Times New Roman" w:hAnsi="Times New Roman" w:cs="Times New Roman"/>
                <w:sz w:val="24"/>
                <w:szCs w:val="24"/>
                <w:lang w:val="ro-RO"/>
              </w:rPr>
            </w:pPr>
          </w:p>
        </w:tc>
        <w:tc>
          <w:tcPr>
            <w:tcW w:w="7196" w:type="dxa"/>
          </w:tcPr>
          <w:p w:rsidR="00230862" w:rsidRPr="00CD4F05" w:rsidRDefault="00230862" w:rsidP="00230862">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Punctul 20 din Reglementare se modifică şi se expune în următoarea redacţie, după cum urmează: „Producătorul sau reprezentantul lui autorizat, sau, în cazul în care nici producătorul, nici reprezentantul autorizat al acestuia nu are domiciliu ori sediu în Republica Moldova, importatorul produsului, emit o declaraţie de conformitate care reprezintă o formă de atestare a conformităţii pentru a respecta cererile pieţei şi ale autorităţilor cu funcţii de reglementare, pentru a se conferi în produsul plasat pe piaţă”.</w:t>
            </w:r>
          </w:p>
        </w:tc>
        <w:tc>
          <w:tcPr>
            <w:tcW w:w="5246" w:type="dxa"/>
          </w:tcPr>
          <w:p w:rsidR="00637097" w:rsidRPr="00CD4F05" w:rsidRDefault="00637097" w:rsidP="00637097">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 xml:space="preserve">Nu se acceptă, </w:t>
            </w:r>
          </w:p>
          <w:p w:rsidR="00230862" w:rsidRPr="00CD4F05" w:rsidRDefault="00304A8D" w:rsidP="00C82F8F">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conform Noului Cadru Legislativ European, </w:t>
            </w:r>
            <w:r w:rsidR="00C82F8F" w:rsidRPr="00CD4F05">
              <w:rPr>
                <w:rFonts w:ascii="Times New Roman" w:hAnsi="Times New Roman" w:cs="Times New Roman"/>
                <w:sz w:val="24"/>
                <w:szCs w:val="24"/>
                <w:lang w:val="ro-RO"/>
              </w:rPr>
              <w:t>care include</w:t>
            </w:r>
            <w:r w:rsidRPr="00CD4F05">
              <w:rPr>
                <w:rFonts w:ascii="Times New Roman" w:hAnsi="Times New Roman" w:cs="Times New Roman"/>
                <w:sz w:val="24"/>
                <w:szCs w:val="24"/>
                <w:lang w:val="ro-RO"/>
              </w:rPr>
              <w:t xml:space="preserve"> Regulamentul UE 765/2008, </w:t>
            </w:r>
            <w:r w:rsidR="00637097" w:rsidRPr="00CD4F05">
              <w:rPr>
                <w:rFonts w:ascii="Times New Roman" w:hAnsi="Times New Roman" w:cs="Times New Roman"/>
                <w:sz w:val="24"/>
                <w:szCs w:val="24"/>
                <w:lang w:val="ro-RO"/>
              </w:rPr>
              <w:t>întocmirea documentaţiei tehnice, precum şi emiterea declaraţiei de conformitate este atribuţia exclusivă a producătorului, care nu se transmite nici reprezentantului autorizat prin mandatul său</w:t>
            </w:r>
            <w:r w:rsidR="009127E7" w:rsidRPr="00CD4F05">
              <w:rPr>
                <w:rFonts w:ascii="Times New Roman" w:hAnsi="Times New Roman" w:cs="Times New Roman"/>
                <w:sz w:val="24"/>
                <w:szCs w:val="24"/>
                <w:lang w:val="ro-RO"/>
              </w:rPr>
              <w:t xml:space="preserve"> nici importatorului</w:t>
            </w:r>
            <w:r w:rsidR="00637097" w:rsidRPr="00CD4F05">
              <w:rPr>
                <w:rFonts w:ascii="Times New Roman" w:hAnsi="Times New Roman" w:cs="Times New Roman"/>
                <w:sz w:val="24"/>
                <w:szCs w:val="24"/>
                <w:lang w:val="ro-RO"/>
              </w:rPr>
              <w:t>. Astfel, de către Ministerul Economiei este elaborat proiectul de modificare a Legii nr. 235 din 11.12.2011 care prevede excluderea prevederilor ce ţin de emiterea declaraţiei de conformitate de către importator şi înregistrarea acestei la organismele de evaluare a conformităţii. Importatorul</w:t>
            </w:r>
            <w:r w:rsidR="00430B62" w:rsidRPr="00CD4F05">
              <w:rPr>
                <w:rFonts w:ascii="Times New Roman" w:hAnsi="Times New Roman" w:cs="Times New Roman"/>
                <w:sz w:val="24"/>
                <w:szCs w:val="24"/>
                <w:lang w:val="ro-RO"/>
              </w:rPr>
              <w:t>,</w:t>
            </w:r>
            <w:r w:rsidR="00637097" w:rsidRPr="00CD4F05">
              <w:rPr>
                <w:rFonts w:ascii="Times New Roman" w:hAnsi="Times New Roman" w:cs="Times New Roman"/>
                <w:sz w:val="24"/>
                <w:szCs w:val="24"/>
                <w:lang w:val="ro-RO"/>
              </w:rPr>
              <w:t xml:space="preserve"> </w:t>
            </w:r>
            <w:r w:rsidR="00430B62" w:rsidRPr="00CD4F05">
              <w:rPr>
                <w:rFonts w:ascii="Times New Roman" w:hAnsi="Times New Roman" w:cs="Times New Roman"/>
                <w:sz w:val="24"/>
                <w:szCs w:val="24"/>
                <w:lang w:val="ro-RO"/>
              </w:rPr>
              <w:t xml:space="preserve">înainte de introducere a produselor pe piaţă </w:t>
            </w:r>
            <w:r w:rsidR="00637097" w:rsidRPr="00CD4F05">
              <w:rPr>
                <w:rFonts w:ascii="Times New Roman" w:hAnsi="Times New Roman" w:cs="Times New Roman"/>
                <w:sz w:val="24"/>
                <w:szCs w:val="24"/>
                <w:lang w:val="ro-RO"/>
              </w:rPr>
              <w:t xml:space="preserve">trebuie </w:t>
            </w:r>
            <w:r w:rsidR="00430B62" w:rsidRPr="00CD4F05">
              <w:rPr>
                <w:rFonts w:ascii="Times New Roman" w:hAnsi="Times New Roman" w:cs="Times New Roman"/>
                <w:sz w:val="24"/>
                <w:szCs w:val="24"/>
                <w:lang w:val="ro-RO"/>
              </w:rPr>
              <w:t xml:space="preserve">să </w:t>
            </w:r>
            <w:r w:rsidR="000D7CF0" w:rsidRPr="00CD4F05">
              <w:rPr>
                <w:rFonts w:ascii="Times New Roman" w:hAnsi="Times New Roman" w:cs="Times New Roman"/>
                <w:sz w:val="24"/>
                <w:szCs w:val="24"/>
                <w:lang w:val="ro-RO"/>
              </w:rPr>
              <w:t xml:space="preserve">se </w:t>
            </w:r>
            <w:r w:rsidR="00430B62" w:rsidRPr="00CD4F05">
              <w:rPr>
                <w:rFonts w:ascii="Times New Roman" w:hAnsi="Times New Roman" w:cs="Times New Roman"/>
                <w:sz w:val="24"/>
                <w:szCs w:val="24"/>
                <w:lang w:val="ro-RO"/>
              </w:rPr>
              <w:t>asigure şi să  garantează că producătorul a întocmit documentaţia tehnică, că</w:t>
            </w:r>
            <w:r w:rsidR="000D7CF0" w:rsidRPr="00CD4F05">
              <w:rPr>
                <w:rFonts w:ascii="Times New Roman" w:hAnsi="Times New Roman" w:cs="Times New Roman"/>
                <w:sz w:val="24"/>
                <w:szCs w:val="24"/>
                <w:lang w:val="ro-RO"/>
              </w:rPr>
              <w:t xml:space="preserve"> a aplicat pe </w:t>
            </w:r>
            <w:r w:rsidR="00430B62" w:rsidRPr="00CD4F05">
              <w:rPr>
                <w:rFonts w:ascii="Times New Roman" w:hAnsi="Times New Roman" w:cs="Times New Roman"/>
                <w:sz w:val="24"/>
                <w:szCs w:val="24"/>
                <w:lang w:val="ro-RO"/>
              </w:rPr>
              <w:t xml:space="preserve"> mijlocul de măsurare marcajul CE şi marcajul metrologic suplimentar şi </w:t>
            </w:r>
            <w:r w:rsidR="000D7CF0" w:rsidRPr="00CD4F05">
              <w:rPr>
                <w:rFonts w:ascii="Times New Roman" w:hAnsi="Times New Roman" w:cs="Times New Roman"/>
                <w:sz w:val="24"/>
                <w:szCs w:val="24"/>
                <w:lang w:val="ro-RO"/>
              </w:rPr>
              <w:t xml:space="preserve">că mijlocul de măsurare </w:t>
            </w:r>
            <w:r w:rsidR="00430B62" w:rsidRPr="00CD4F05">
              <w:rPr>
                <w:rFonts w:ascii="Times New Roman" w:hAnsi="Times New Roman" w:cs="Times New Roman"/>
                <w:sz w:val="24"/>
                <w:szCs w:val="24"/>
                <w:lang w:val="ro-RO"/>
              </w:rPr>
              <w:t>este însoţit de o copie a declaraţiei UE de conformitate şi de documentele necesare</w:t>
            </w:r>
            <w:r w:rsidR="000D7CF0" w:rsidRPr="00CD4F05">
              <w:rPr>
                <w:rFonts w:ascii="Times New Roman" w:hAnsi="Times New Roman" w:cs="Times New Roman"/>
                <w:sz w:val="24"/>
                <w:szCs w:val="24"/>
                <w:lang w:val="ro-RO"/>
              </w:rPr>
              <w:t>, precum</w:t>
            </w:r>
            <w:r w:rsidR="00430B62" w:rsidRPr="00CD4F05">
              <w:rPr>
                <w:rFonts w:ascii="Times New Roman" w:hAnsi="Times New Roman" w:cs="Times New Roman"/>
                <w:sz w:val="24"/>
                <w:szCs w:val="24"/>
                <w:lang w:val="ro-RO"/>
              </w:rPr>
              <w:t xml:space="preserve"> şi că producătorul </w:t>
            </w:r>
            <w:r w:rsidR="000D7CF0" w:rsidRPr="00CD4F05">
              <w:rPr>
                <w:rFonts w:ascii="Times New Roman" w:hAnsi="Times New Roman" w:cs="Times New Roman"/>
                <w:sz w:val="24"/>
                <w:szCs w:val="24"/>
                <w:lang w:val="ro-RO"/>
              </w:rPr>
              <w:t xml:space="preserve">a identificat tipul mijlocului de măsurare şi </w:t>
            </w:r>
            <w:r w:rsidR="00430B62" w:rsidRPr="00CD4F05">
              <w:rPr>
                <w:rFonts w:ascii="Times New Roman" w:hAnsi="Times New Roman" w:cs="Times New Roman"/>
                <w:sz w:val="24"/>
                <w:szCs w:val="24"/>
                <w:lang w:val="ro-RO"/>
              </w:rPr>
              <w:t xml:space="preserve">a </w:t>
            </w:r>
            <w:r w:rsidR="000D7CF0" w:rsidRPr="00CD4F05">
              <w:rPr>
                <w:rFonts w:ascii="Times New Roman" w:hAnsi="Times New Roman" w:cs="Times New Roman"/>
                <w:sz w:val="24"/>
                <w:szCs w:val="24"/>
                <w:lang w:val="ro-RO"/>
              </w:rPr>
              <w:t>afişat denumirea sa.</w:t>
            </w:r>
          </w:p>
        </w:tc>
      </w:tr>
      <w:tr w:rsidR="00230862" w:rsidRPr="000240B9" w:rsidTr="00CD4F05">
        <w:tc>
          <w:tcPr>
            <w:tcW w:w="425" w:type="dxa"/>
            <w:vMerge/>
          </w:tcPr>
          <w:p w:rsidR="00230862" w:rsidRPr="00CD4F05" w:rsidRDefault="00230862"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230862" w:rsidRPr="00CD4F05" w:rsidRDefault="00230862" w:rsidP="00B222AB">
            <w:pPr>
              <w:jc w:val="center"/>
              <w:rPr>
                <w:rFonts w:ascii="Times New Roman" w:hAnsi="Times New Roman" w:cs="Times New Roman"/>
                <w:sz w:val="24"/>
                <w:szCs w:val="24"/>
                <w:lang w:val="ro-RO"/>
              </w:rPr>
            </w:pPr>
          </w:p>
        </w:tc>
        <w:tc>
          <w:tcPr>
            <w:tcW w:w="1276" w:type="dxa"/>
            <w:vMerge/>
          </w:tcPr>
          <w:p w:rsidR="00230862" w:rsidRPr="00CD4F05" w:rsidRDefault="00230862" w:rsidP="00C02294">
            <w:pPr>
              <w:jc w:val="center"/>
              <w:rPr>
                <w:rFonts w:ascii="Times New Roman" w:hAnsi="Times New Roman" w:cs="Times New Roman"/>
                <w:sz w:val="24"/>
                <w:szCs w:val="24"/>
                <w:lang w:val="ro-RO"/>
              </w:rPr>
            </w:pPr>
          </w:p>
        </w:tc>
        <w:tc>
          <w:tcPr>
            <w:tcW w:w="7196" w:type="dxa"/>
          </w:tcPr>
          <w:p w:rsidR="00230862" w:rsidRPr="00CD4F05" w:rsidRDefault="00230862" w:rsidP="00230862">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La punctul 43 din reglementare după sintagma „s-a demonstrat” se completează cu sintagma „prin rapoartele de încercări, certificatele de conformitate şi alte documente,”, iar sintagma „întocmesc” se substituie cu sintagma „emit”.</w:t>
            </w:r>
          </w:p>
        </w:tc>
        <w:tc>
          <w:tcPr>
            <w:tcW w:w="5246" w:type="dxa"/>
          </w:tcPr>
          <w:p w:rsidR="00230862" w:rsidRPr="00CD4F05" w:rsidRDefault="0042148A"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 parţial</w:t>
            </w:r>
            <w:r w:rsidR="009127E7" w:rsidRPr="00CD4F05">
              <w:rPr>
                <w:rFonts w:ascii="Times New Roman" w:hAnsi="Times New Roman" w:cs="Times New Roman"/>
                <w:b/>
                <w:sz w:val="24"/>
                <w:szCs w:val="24"/>
                <w:lang w:val="ro-RO"/>
              </w:rPr>
              <w:t xml:space="preserve">, </w:t>
            </w:r>
          </w:p>
          <w:p w:rsidR="009127E7" w:rsidRPr="00CD4F05" w:rsidRDefault="009127E7" w:rsidP="005E6E4A">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conformitatea mijlocului de măsurare cu cerin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ele aplicabile din prezenta reglementare tehnică prin procedura de evaluare a conformită</w:t>
            </w:r>
            <w:r w:rsidRPr="00CD4F05">
              <w:rPr>
                <w:rFonts w:ascii="Cambria Math" w:hAnsi="Cambria Math" w:cs="Cambria Math"/>
                <w:sz w:val="24"/>
                <w:szCs w:val="24"/>
                <w:lang w:val="ro-RO"/>
              </w:rPr>
              <w:t>ț</w:t>
            </w:r>
            <w:r w:rsidR="0078663D">
              <w:rPr>
                <w:rFonts w:ascii="Times New Roman" w:hAnsi="Times New Roman" w:cs="Times New Roman"/>
                <w:sz w:val="24"/>
                <w:szCs w:val="24"/>
                <w:lang w:val="ro-RO"/>
              </w:rPr>
              <w:t xml:space="preserve">ii </w:t>
            </w:r>
            <w:r w:rsidRPr="00CD4F05">
              <w:rPr>
                <w:rFonts w:ascii="Times New Roman" w:hAnsi="Times New Roman" w:cs="Times New Roman"/>
                <w:sz w:val="24"/>
                <w:szCs w:val="24"/>
                <w:lang w:val="ro-RO"/>
              </w:rPr>
              <w:t xml:space="preserve"> include evaluarea nu </w:t>
            </w:r>
            <w:r w:rsidRPr="005E6E4A">
              <w:rPr>
                <w:rFonts w:ascii="Times New Roman" w:hAnsi="Times New Roman" w:cs="Times New Roman"/>
                <w:sz w:val="24"/>
                <w:szCs w:val="24"/>
                <w:lang w:val="ro-RO"/>
              </w:rPr>
              <w:t xml:space="preserve">doar </w:t>
            </w:r>
            <w:r w:rsidR="0078663D" w:rsidRPr="005E6E4A">
              <w:rPr>
                <w:rFonts w:ascii="Times New Roman" w:hAnsi="Times New Roman" w:cs="Times New Roman"/>
                <w:sz w:val="24"/>
                <w:szCs w:val="24"/>
                <w:lang w:val="ro-RO"/>
              </w:rPr>
              <w:t>a</w:t>
            </w:r>
            <w:r w:rsidR="0078663D">
              <w:rPr>
                <w:rFonts w:ascii="Times New Roman" w:hAnsi="Times New Roman" w:cs="Times New Roman"/>
                <w:sz w:val="24"/>
                <w:szCs w:val="24"/>
                <w:lang w:val="ro-RO"/>
              </w:rPr>
              <w:t xml:space="preserve"> </w:t>
            </w:r>
            <w:r w:rsidRPr="00CD4F05">
              <w:rPr>
                <w:rFonts w:ascii="Times New Roman" w:hAnsi="Times New Roman" w:cs="Times New Roman"/>
                <w:sz w:val="24"/>
                <w:szCs w:val="24"/>
                <w:lang w:val="ro-RO"/>
              </w:rPr>
              <w:t xml:space="preserve">rapoartelor de încercări dar şi a documentaţiei tehnice care este menţionată în Capitolul XIII. </w:t>
            </w:r>
          </w:p>
        </w:tc>
      </w:tr>
      <w:tr w:rsidR="00230862" w:rsidRPr="000240B9" w:rsidTr="00CD4F05">
        <w:tc>
          <w:tcPr>
            <w:tcW w:w="425" w:type="dxa"/>
            <w:vMerge/>
          </w:tcPr>
          <w:p w:rsidR="00230862" w:rsidRPr="00CD4F05" w:rsidRDefault="00230862"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230862" w:rsidRPr="00CD4F05" w:rsidRDefault="00230862" w:rsidP="00B222AB">
            <w:pPr>
              <w:jc w:val="center"/>
              <w:rPr>
                <w:rFonts w:ascii="Times New Roman" w:hAnsi="Times New Roman" w:cs="Times New Roman"/>
                <w:sz w:val="24"/>
                <w:szCs w:val="24"/>
                <w:lang w:val="ro-RO"/>
              </w:rPr>
            </w:pPr>
          </w:p>
        </w:tc>
        <w:tc>
          <w:tcPr>
            <w:tcW w:w="1276" w:type="dxa"/>
            <w:vMerge/>
          </w:tcPr>
          <w:p w:rsidR="00230862" w:rsidRPr="00CD4F05" w:rsidRDefault="00230862" w:rsidP="00C02294">
            <w:pPr>
              <w:jc w:val="center"/>
              <w:rPr>
                <w:rFonts w:ascii="Times New Roman" w:hAnsi="Times New Roman" w:cs="Times New Roman"/>
                <w:sz w:val="24"/>
                <w:szCs w:val="24"/>
                <w:lang w:val="ro-RO"/>
              </w:rPr>
            </w:pPr>
          </w:p>
        </w:tc>
        <w:tc>
          <w:tcPr>
            <w:tcW w:w="7196" w:type="dxa"/>
          </w:tcPr>
          <w:p w:rsidR="00230862" w:rsidRPr="00CD4F05" w:rsidRDefault="00230862" w:rsidP="00230862">
            <w:pPr>
              <w:jc w:val="both"/>
              <w:rPr>
                <w:rFonts w:ascii="Times New Roman" w:hAnsi="Times New Roman" w:cs="Times New Roman"/>
                <w:sz w:val="24"/>
                <w:szCs w:val="24"/>
                <w:lang w:val="en-US"/>
              </w:rPr>
            </w:pPr>
            <w:r w:rsidRPr="00CD4F05">
              <w:rPr>
                <w:rFonts w:ascii="Times New Roman" w:hAnsi="Times New Roman" w:cs="Times New Roman"/>
                <w:sz w:val="24"/>
                <w:szCs w:val="24"/>
                <w:lang w:val="ro-RO"/>
              </w:rPr>
              <w:t>După punctul 55 din reglementare se completează,</w:t>
            </w:r>
            <w:r w:rsidR="009127E7" w:rsidRPr="00CD4F05">
              <w:rPr>
                <w:rFonts w:ascii="Times New Roman" w:hAnsi="Times New Roman" w:cs="Times New Roman"/>
                <w:sz w:val="24"/>
                <w:szCs w:val="24"/>
                <w:lang w:val="ro-RO"/>
              </w:rPr>
              <w:t xml:space="preserve"> </w:t>
            </w:r>
            <w:r w:rsidRPr="00CD4F05">
              <w:rPr>
                <w:rFonts w:ascii="Times New Roman" w:hAnsi="Times New Roman" w:cs="Times New Roman"/>
                <w:sz w:val="24"/>
                <w:szCs w:val="24"/>
                <w:lang w:val="ro-RO"/>
              </w:rPr>
              <w:t xml:space="preserve">după relevanţă, cu </w:t>
            </w:r>
            <w:r w:rsidRPr="00CD4F05">
              <w:rPr>
                <w:rFonts w:ascii="Times New Roman" w:hAnsi="Times New Roman" w:cs="Times New Roman"/>
                <w:sz w:val="24"/>
                <w:szCs w:val="24"/>
                <w:lang w:val="ro-RO"/>
              </w:rPr>
              <w:lastRenderedPageBreak/>
              <w:t>punctul 56 cu următorul conţinut; „</w:t>
            </w:r>
            <w:proofErr w:type="spellStart"/>
            <w:r w:rsidRPr="00CD4F05">
              <w:rPr>
                <w:rFonts w:ascii="Times New Roman" w:hAnsi="Times New Roman" w:cs="Times New Roman"/>
                <w:sz w:val="24"/>
                <w:szCs w:val="24"/>
                <w:lang w:val="en-US"/>
              </w:rPr>
              <w:t>Dacă</w:t>
            </w:r>
            <w:proofErr w:type="spellEnd"/>
            <w:r w:rsidRPr="00CD4F05">
              <w:rPr>
                <w:rFonts w:ascii="Times New Roman" w:hAnsi="Times New Roman" w:cs="Times New Roman"/>
                <w:sz w:val="24"/>
                <w:szCs w:val="24"/>
                <w:lang w:val="en-US"/>
              </w:rPr>
              <w:t xml:space="preserve"> nu </w:t>
            </w:r>
            <w:proofErr w:type="spellStart"/>
            <w:r w:rsidRPr="00CD4F05">
              <w:rPr>
                <w:rFonts w:ascii="Times New Roman" w:hAnsi="Times New Roman" w:cs="Times New Roman"/>
                <w:sz w:val="24"/>
                <w:szCs w:val="24"/>
                <w:lang w:val="en-US"/>
              </w:rPr>
              <w:t>deţine</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toată</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documentaţia</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tehnică</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necesară</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pentru</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emiterea</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declaraţiei</w:t>
            </w:r>
            <w:proofErr w:type="spellEnd"/>
            <w:r w:rsidRPr="00CD4F05">
              <w:rPr>
                <w:rFonts w:ascii="Times New Roman" w:hAnsi="Times New Roman" w:cs="Times New Roman"/>
                <w:sz w:val="24"/>
                <w:szCs w:val="24"/>
                <w:lang w:val="en-US"/>
              </w:rPr>
              <w:t xml:space="preserve"> de </w:t>
            </w:r>
            <w:proofErr w:type="spellStart"/>
            <w:r w:rsidRPr="00CD4F05">
              <w:rPr>
                <w:rFonts w:ascii="Times New Roman" w:hAnsi="Times New Roman" w:cs="Times New Roman"/>
                <w:sz w:val="24"/>
                <w:szCs w:val="24"/>
                <w:lang w:val="en-US"/>
              </w:rPr>
              <w:t>conformitate</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importatorul</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va</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asigura</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desfăşurarea</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procedurilor</w:t>
            </w:r>
            <w:proofErr w:type="spellEnd"/>
            <w:r w:rsidRPr="00CD4F05">
              <w:rPr>
                <w:rFonts w:ascii="Times New Roman" w:hAnsi="Times New Roman" w:cs="Times New Roman"/>
                <w:sz w:val="24"/>
                <w:szCs w:val="24"/>
                <w:lang w:val="en-US"/>
              </w:rPr>
              <w:t xml:space="preserve"> respective de </w:t>
            </w:r>
            <w:proofErr w:type="spellStart"/>
            <w:r w:rsidRPr="00CD4F05">
              <w:rPr>
                <w:rFonts w:ascii="Times New Roman" w:hAnsi="Times New Roman" w:cs="Times New Roman"/>
                <w:sz w:val="24"/>
                <w:szCs w:val="24"/>
                <w:lang w:val="en-US"/>
              </w:rPr>
              <w:t>evaluare</w:t>
            </w:r>
            <w:proofErr w:type="spellEnd"/>
            <w:r w:rsidRPr="00CD4F05">
              <w:rPr>
                <w:rFonts w:ascii="Times New Roman" w:hAnsi="Times New Roman" w:cs="Times New Roman"/>
                <w:sz w:val="24"/>
                <w:szCs w:val="24"/>
                <w:lang w:val="en-US"/>
              </w:rPr>
              <w:t xml:space="preserve"> a </w:t>
            </w:r>
            <w:proofErr w:type="spellStart"/>
            <w:r w:rsidRPr="00CD4F05">
              <w:rPr>
                <w:rFonts w:ascii="Times New Roman" w:hAnsi="Times New Roman" w:cs="Times New Roman"/>
                <w:sz w:val="24"/>
                <w:szCs w:val="24"/>
                <w:lang w:val="en-US"/>
              </w:rPr>
              <w:t>conformităţii</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şi</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va</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emite</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declaraţia</w:t>
            </w:r>
            <w:proofErr w:type="spellEnd"/>
            <w:r w:rsidRPr="00CD4F05">
              <w:rPr>
                <w:rFonts w:ascii="Times New Roman" w:hAnsi="Times New Roman" w:cs="Times New Roman"/>
                <w:sz w:val="24"/>
                <w:szCs w:val="24"/>
                <w:lang w:val="en-US"/>
              </w:rPr>
              <w:t xml:space="preserve"> de </w:t>
            </w:r>
            <w:proofErr w:type="spellStart"/>
            <w:r w:rsidRPr="00CD4F05">
              <w:rPr>
                <w:rFonts w:ascii="Times New Roman" w:hAnsi="Times New Roman" w:cs="Times New Roman"/>
                <w:sz w:val="24"/>
                <w:szCs w:val="24"/>
                <w:lang w:val="en-US"/>
              </w:rPr>
              <w:t>conformitate</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în</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baza</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rezultatelor</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evaluărilor</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efectuate</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în</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Republica</w:t>
            </w:r>
            <w:proofErr w:type="spellEnd"/>
            <w:r w:rsidRPr="00CD4F05">
              <w:rPr>
                <w:rFonts w:ascii="Times New Roman" w:hAnsi="Times New Roman" w:cs="Times New Roman"/>
                <w:sz w:val="24"/>
                <w:szCs w:val="24"/>
                <w:lang w:val="en-US"/>
              </w:rPr>
              <w:t xml:space="preserve"> Moldova de </w:t>
            </w:r>
            <w:proofErr w:type="spellStart"/>
            <w:r w:rsidRPr="00CD4F05">
              <w:rPr>
                <w:rFonts w:ascii="Times New Roman" w:hAnsi="Times New Roman" w:cs="Times New Roman"/>
                <w:sz w:val="24"/>
                <w:szCs w:val="24"/>
                <w:lang w:val="en-US"/>
              </w:rPr>
              <w:t>către</w:t>
            </w:r>
            <w:proofErr w:type="spellEnd"/>
            <w:r w:rsidRPr="00CD4F05">
              <w:rPr>
                <w:rFonts w:ascii="Times New Roman" w:hAnsi="Times New Roman" w:cs="Times New Roman"/>
                <w:sz w:val="24"/>
                <w:szCs w:val="24"/>
                <w:lang w:val="en-US"/>
              </w:rPr>
              <w:t xml:space="preserve"> un organism de </w:t>
            </w:r>
            <w:proofErr w:type="spellStart"/>
            <w:r w:rsidRPr="00CD4F05">
              <w:rPr>
                <w:rFonts w:ascii="Times New Roman" w:hAnsi="Times New Roman" w:cs="Times New Roman"/>
                <w:sz w:val="24"/>
                <w:szCs w:val="24"/>
                <w:lang w:val="en-US"/>
              </w:rPr>
              <w:t>evaluare</w:t>
            </w:r>
            <w:proofErr w:type="spellEnd"/>
            <w:r w:rsidRPr="00CD4F05">
              <w:rPr>
                <w:rFonts w:ascii="Times New Roman" w:hAnsi="Times New Roman" w:cs="Times New Roman"/>
                <w:sz w:val="24"/>
                <w:szCs w:val="24"/>
                <w:lang w:val="en-US"/>
              </w:rPr>
              <w:t xml:space="preserve"> a </w:t>
            </w:r>
            <w:proofErr w:type="spellStart"/>
            <w:r w:rsidRPr="00CD4F05">
              <w:rPr>
                <w:rFonts w:ascii="Times New Roman" w:hAnsi="Times New Roman" w:cs="Times New Roman"/>
                <w:sz w:val="24"/>
                <w:szCs w:val="24"/>
                <w:lang w:val="en-US"/>
              </w:rPr>
              <w:t>conformităţii</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acreditat</w:t>
            </w:r>
            <w:proofErr w:type="spellEnd"/>
            <w:r w:rsidRPr="00CD4F05">
              <w:rPr>
                <w:rFonts w:ascii="Times New Roman" w:hAnsi="Times New Roman" w:cs="Times New Roman"/>
                <w:sz w:val="24"/>
                <w:szCs w:val="24"/>
                <w:lang w:val="en-US"/>
              </w:rPr>
              <w:t>.</w:t>
            </w:r>
            <w:r w:rsidRPr="00CD4F05">
              <w:rPr>
                <w:rFonts w:ascii="Times New Roman" w:hAnsi="Times New Roman" w:cs="Times New Roman"/>
                <w:sz w:val="24"/>
                <w:szCs w:val="24"/>
                <w:lang w:val="ro-RO"/>
              </w:rPr>
              <w:t>”</w:t>
            </w:r>
          </w:p>
        </w:tc>
        <w:tc>
          <w:tcPr>
            <w:tcW w:w="5246" w:type="dxa"/>
          </w:tcPr>
          <w:p w:rsidR="009127E7" w:rsidRPr="00CD4F05" w:rsidRDefault="009127E7"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lastRenderedPageBreak/>
              <w:t xml:space="preserve">Nu se acceptă, </w:t>
            </w:r>
          </w:p>
          <w:p w:rsidR="00230862" w:rsidRPr="00CD4F05" w:rsidRDefault="009127E7" w:rsidP="00720A42">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lastRenderedPageBreak/>
              <w:t>efectuarea procedurilor de evaluare a conformităţii este atribuţia exclusivă a producătorului, care s</w:t>
            </w:r>
            <w:r w:rsidR="00720A42" w:rsidRPr="00CD4F05">
              <w:rPr>
                <w:rFonts w:ascii="Times New Roman" w:hAnsi="Times New Roman" w:cs="Times New Roman"/>
                <w:sz w:val="24"/>
                <w:szCs w:val="24"/>
                <w:lang w:val="ro-RO"/>
              </w:rPr>
              <w:t xml:space="preserve">unt </w:t>
            </w:r>
            <w:r w:rsidRPr="00CD4F05">
              <w:rPr>
                <w:rFonts w:ascii="Times New Roman" w:hAnsi="Times New Roman" w:cs="Times New Roman"/>
                <w:sz w:val="24"/>
                <w:szCs w:val="24"/>
                <w:lang w:val="ro-RO"/>
              </w:rPr>
              <w:t>desfăş</w:t>
            </w:r>
            <w:r w:rsidR="00720A42" w:rsidRPr="00CD4F05">
              <w:rPr>
                <w:rFonts w:ascii="Times New Roman" w:hAnsi="Times New Roman" w:cs="Times New Roman"/>
                <w:sz w:val="24"/>
                <w:szCs w:val="24"/>
                <w:lang w:val="ro-RO"/>
              </w:rPr>
              <w:t>urate</w:t>
            </w:r>
            <w:r w:rsidRPr="00CD4F05">
              <w:rPr>
                <w:rFonts w:ascii="Times New Roman" w:hAnsi="Times New Roman" w:cs="Times New Roman"/>
                <w:sz w:val="24"/>
                <w:szCs w:val="24"/>
                <w:lang w:val="ro-RO"/>
              </w:rPr>
              <w:t xml:space="preserve"> la etapa de proiectare sau fabricare a mijlocului de măsurare. Astfel, de către Ministerul Economiei este elaborat proiectul de modificare a Legii nr. 235 din </w:t>
            </w:r>
            <w:r w:rsidRPr="005E6E4A">
              <w:rPr>
                <w:rFonts w:ascii="Times New Roman" w:hAnsi="Times New Roman" w:cs="Times New Roman"/>
                <w:sz w:val="24"/>
                <w:szCs w:val="24"/>
                <w:lang w:val="ro-RO"/>
              </w:rPr>
              <w:t>11.12.2011 care prevede excluderea prevederilor</w:t>
            </w:r>
            <w:r w:rsidR="0078663D" w:rsidRPr="005E6E4A">
              <w:rPr>
                <w:rFonts w:ascii="Times New Roman" w:hAnsi="Times New Roman" w:cs="Times New Roman"/>
                <w:sz w:val="24"/>
                <w:szCs w:val="24"/>
                <w:lang w:val="ro-RO"/>
              </w:rPr>
              <w:t xml:space="preserve"> propuse</w:t>
            </w:r>
            <w:r w:rsidR="00720A42" w:rsidRPr="005E6E4A">
              <w:rPr>
                <w:rFonts w:ascii="Times New Roman" w:hAnsi="Times New Roman" w:cs="Times New Roman"/>
                <w:sz w:val="24"/>
                <w:szCs w:val="24"/>
                <w:lang w:val="ro-RO"/>
              </w:rPr>
              <w:t>.</w:t>
            </w:r>
          </w:p>
        </w:tc>
      </w:tr>
      <w:tr w:rsidR="00230862" w:rsidRPr="000240B9" w:rsidTr="00CD4F05">
        <w:tc>
          <w:tcPr>
            <w:tcW w:w="425" w:type="dxa"/>
            <w:vMerge/>
          </w:tcPr>
          <w:p w:rsidR="00230862" w:rsidRPr="00CD4F05" w:rsidRDefault="00230862"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230862" w:rsidRPr="00CD4F05" w:rsidRDefault="00230862" w:rsidP="00B222AB">
            <w:pPr>
              <w:jc w:val="center"/>
              <w:rPr>
                <w:rFonts w:ascii="Times New Roman" w:hAnsi="Times New Roman" w:cs="Times New Roman"/>
                <w:sz w:val="24"/>
                <w:szCs w:val="24"/>
                <w:lang w:val="ro-RO"/>
              </w:rPr>
            </w:pPr>
          </w:p>
        </w:tc>
        <w:tc>
          <w:tcPr>
            <w:tcW w:w="1276" w:type="dxa"/>
            <w:vMerge/>
          </w:tcPr>
          <w:p w:rsidR="00230862" w:rsidRPr="00CD4F05" w:rsidRDefault="00230862" w:rsidP="00C02294">
            <w:pPr>
              <w:jc w:val="center"/>
              <w:rPr>
                <w:rFonts w:ascii="Times New Roman" w:hAnsi="Times New Roman" w:cs="Times New Roman"/>
                <w:sz w:val="24"/>
                <w:szCs w:val="24"/>
                <w:lang w:val="ro-RO"/>
              </w:rPr>
            </w:pPr>
          </w:p>
        </w:tc>
        <w:tc>
          <w:tcPr>
            <w:tcW w:w="7196" w:type="dxa"/>
          </w:tcPr>
          <w:p w:rsidR="00230862" w:rsidRPr="00CD4F05" w:rsidRDefault="00230862" w:rsidP="00C02294">
            <w:pPr>
              <w:jc w:val="center"/>
              <w:rPr>
                <w:rFonts w:ascii="Times New Roman" w:hAnsi="Times New Roman" w:cs="Times New Roman"/>
                <w:sz w:val="24"/>
                <w:szCs w:val="24"/>
                <w:lang w:val="ro-RO"/>
              </w:rPr>
            </w:pPr>
          </w:p>
        </w:tc>
        <w:tc>
          <w:tcPr>
            <w:tcW w:w="5246" w:type="dxa"/>
          </w:tcPr>
          <w:p w:rsidR="00230862" w:rsidRPr="00CD4F05" w:rsidRDefault="00230862" w:rsidP="00C02294">
            <w:pPr>
              <w:jc w:val="center"/>
              <w:rPr>
                <w:rFonts w:ascii="Times New Roman" w:hAnsi="Times New Roman" w:cs="Times New Roman"/>
                <w:b/>
                <w:sz w:val="24"/>
                <w:szCs w:val="24"/>
                <w:lang w:val="ro-RO"/>
              </w:rPr>
            </w:pPr>
          </w:p>
        </w:tc>
      </w:tr>
      <w:tr w:rsidR="00031083" w:rsidRPr="00CD4F05" w:rsidTr="00CD4F05">
        <w:tc>
          <w:tcPr>
            <w:tcW w:w="425" w:type="dxa"/>
            <w:vMerge w:val="restart"/>
          </w:tcPr>
          <w:p w:rsidR="00031083" w:rsidRPr="00CD4F05" w:rsidRDefault="00031083"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val="restart"/>
          </w:tcPr>
          <w:p w:rsidR="00031083" w:rsidRPr="00CD4F05" w:rsidRDefault="00031083" w:rsidP="00B222AB">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Ministerul Transporturilor şi Infrastructurii Drumurilor</w:t>
            </w:r>
          </w:p>
        </w:tc>
        <w:tc>
          <w:tcPr>
            <w:tcW w:w="1276" w:type="dxa"/>
            <w:vMerge w:val="restart"/>
          </w:tcPr>
          <w:p w:rsidR="00031083" w:rsidRPr="00CD4F05" w:rsidRDefault="00031083"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Nr. 07-03/770 din 27.10.2014</w:t>
            </w:r>
          </w:p>
        </w:tc>
        <w:tc>
          <w:tcPr>
            <w:tcW w:w="7196" w:type="dxa"/>
          </w:tcPr>
          <w:p w:rsidR="00031083" w:rsidRPr="00CD4F05" w:rsidRDefault="00031083" w:rsidP="00704D3D">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În clauza de emitere a proiectului, autorii fac trimitere la poziţia 6 din Anexa nr. 3 la Legea nr. 235 din 01.12.2011 privind activităţile de acreditare şi de evaluare a conformităţii, care se referă la maşini industriale supuse reglementării, în acest context, trimiterea la poziţia 6 raportat la prevederile din Anexa nr. 8, 9, 12, considerăm că este inoportună, deoarece nu cuprinde toate raporturile juridice a căror reglementare s-a urmărit. În speţă, Anexa nr. 8, 9, 12 stabileşte criterii şi cerinţe specifice mijloacelor de măsurare. Recomandăm să fie substituită sintagma „şi poziţiei 6 din Anexa nr. 3" cu textul „art. 10 alin. (6) al Legii nr. 64 </w:t>
            </w:r>
          </w:p>
          <w:p w:rsidR="00031083" w:rsidRPr="00CD4F05" w:rsidRDefault="00031083" w:rsidP="001B064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din 31.05.1990 cu privire la Guvern". Potrivit art. 52 alin. (1) al Legii nr. 317 din 18.07.2003, clauza de emitere stabileşte temeiul legal de emitere a actului</w:t>
            </w:r>
            <w:r w:rsidR="001B0644" w:rsidRPr="00CD4F05">
              <w:rPr>
                <w:rFonts w:ascii="Times New Roman" w:hAnsi="Times New Roman" w:cs="Times New Roman"/>
                <w:sz w:val="24"/>
                <w:szCs w:val="24"/>
                <w:lang w:val="ro-RO"/>
              </w:rPr>
              <w:t xml:space="preserve"> </w:t>
            </w:r>
            <w:r w:rsidRPr="00CD4F05">
              <w:rPr>
                <w:rFonts w:ascii="Times New Roman" w:hAnsi="Times New Roman" w:cs="Times New Roman"/>
                <w:sz w:val="24"/>
                <w:szCs w:val="24"/>
                <w:lang w:val="ro-RO"/>
              </w:rPr>
              <w:t>normativ.</w:t>
            </w:r>
          </w:p>
        </w:tc>
        <w:tc>
          <w:tcPr>
            <w:tcW w:w="5246" w:type="dxa"/>
          </w:tcPr>
          <w:p w:rsidR="00031083" w:rsidRPr="00CD4F05" w:rsidRDefault="00031083"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031083" w:rsidRPr="000240B9" w:rsidTr="00CD4F05">
        <w:tc>
          <w:tcPr>
            <w:tcW w:w="425" w:type="dxa"/>
            <w:vMerge/>
          </w:tcPr>
          <w:p w:rsidR="00031083" w:rsidRPr="00CD4F05" w:rsidRDefault="00031083" w:rsidP="003B2B90">
            <w:pPr>
              <w:pStyle w:val="a4"/>
              <w:numPr>
                <w:ilvl w:val="0"/>
                <w:numId w:val="2"/>
              </w:numPr>
              <w:ind w:left="34" w:right="34" w:firstLine="0"/>
              <w:rPr>
                <w:rFonts w:ascii="Times New Roman" w:hAnsi="Times New Roman" w:cs="Times New Roman"/>
                <w:sz w:val="24"/>
                <w:szCs w:val="24"/>
                <w:lang w:val="en-US"/>
              </w:rPr>
            </w:pPr>
          </w:p>
        </w:tc>
        <w:tc>
          <w:tcPr>
            <w:tcW w:w="1592" w:type="dxa"/>
            <w:vMerge/>
          </w:tcPr>
          <w:p w:rsidR="00031083" w:rsidRPr="00CD4F05" w:rsidRDefault="00031083" w:rsidP="00B222AB">
            <w:pPr>
              <w:jc w:val="center"/>
              <w:rPr>
                <w:rFonts w:ascii="Times New Roman" w:hAnsi="Times New Roman" w:cs="Times New Roman"/>
                <w:sz w:val="24"/>
                <w:szCs w:val="24"/>
                <w:lang w:val="ro-RO"/>
              </w:rPr>
            </w:pPr>
          </w:p>
        </w:tc>
        <w:tc>
          <w:tcPr>
            <w:tcW w:w="1276" w:type="dxa"/>
            <w:vMerge/>
          </w:tcPr>
          <w:p w:rsidR="00031083" w:rsidRPr="00CD4F05" w:rsidRDefault="00031083" w:rsidP="00C02294">
            <w:pPr>
              <w:jc w:val="center"/>
              <w:rPr>
                <w:rFonts w:ascii="Times New Roman" w:hAnsi="Times New Roman" w:cs="Times New Roman"/>
                <w:sz w:val="24"/>
                <w:szCs w:val="24"/>
                <w:lang w:val="ro-RO"/>
              </w:rPr>
            </w:pPr>
          </w:p>
        </w:tc>
        <w:tc>
          <w:tcPr>
            <w:tcW w:w="7196" w:type="dxa"/>
          </w:tcPr>
          <w:p w:rsidR="00031083" w:rsidRPr="00CD4F05" w:rsidRDefault="00031083" w:rsidP="00704D3D">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Conform art. 12 alin. (1) al Legii nr. 647 din 17.11.1995 cu privire la metrologie, se supun controlului metrologic legal mijloacele de măsurare destinate să realizeze măsurări în domeniile de interes public specificate la art. ll alin.(l) şi incluse pe Lista oficială a mijloacelor de măsurare supuse controlului metrologic legal, atît înaintea plasării lor pe piaţă, cît şi pe parcursul utilizării lor.</w:t>
            </w:r>
          </w:p>
          <w:p w:rsidR="00031083" w:rsidRPr="00CD4F05" w:rsidRDefault="00031083" w:rsidP="00704D3D">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Potrivit Legii nr. 235 din 01.12.2011 cu privire la activităţile de acreditare şi de evaluare a conformităţii, noţiunea de evaluare a conformităţii semnifică un proces prin care se evaluează demonstrarea îndeplinirii cerinţelor specificate pentru un produs, proces, serviciu, sistem, pentru o persoană sau un organism. Referitor la art. 18 alin. (1) din acelaşi act legislativ, evaluarea conformităţii cu titlu obligatoriu se realizează pentru produsele din domeniile prevăzute la anexa nr. 3, care este parte integrantă din prezenta lege, precum şi pentru produsele </w:t>
            </w:r>
            <w:r w:rsidRPr="00CD4F05">
              <w:rPr>
                <w:rFonts w:ascii="Times New Roman" w:hAnsi="Times New Roman" w:cs="Times New Roman"/>
                <w:sz w:val="24"/>
                <w:szCs w:val="24"/>
                <w:lang w:val="ro-RO"/>
              </w:rPr>
              <w:lastRenderedPageBreak/>
              <w:t>neincluse în domeniile din această anexă, pentru care există cerinţe esenţiale prevăzute în reglementările tehnice respective, în conformitate cu art. 4 alin. (6) din Legea nr. 420-XVI din 22 decembrie 2006 privind activitatea de reglementare tehnică.</w:t>
            </w:r>
          </w:p>
          <w:p w:rsidR="00031083" w:rsidRPr="00CD4F05" w:rsidRDefault="00031083" w:rsidP="00CE762D">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Prin prisma celor invocate, propunerea de la Anexa nr. 12 din proiect - Analizatoare pentru gazele de eşapament, considerăm că dublează prevederile Legii cu privire la metrologie nr. 647 din 17.11.1995.</w:t>
            </w:r>
            <w:r w:rsidR="00CE762D" w:rsidRPr="00CD4F05">
              <w:rPr>
                <w:rFonts w:ascii="Times New Roman" w:hAnsi="Times New Roman" w:cs="Times New Roman"/>
                <w:sz w:val="24"/>
                <w:szCs w:val="24"/>
                <w:lang w:val="ro-RO"/>
              </w:rPr>
              <w:t xml:space="preserve"> </w:t>
            </w:r>
            <w:r w:rsidRPr="00CD4F05">
              <w:rPr>
                <w:rFonts w:ascii="Times New Roman" w:hAnsi="Times New Roman" w:cs="Times New Roman"/>
                <w:sz w:val="24"/>
                <w:szCs w:val="24"/>
                <w:lang w:val="ro-RO"/>
              </w:rPr>
              <w:t>În acest context, recomandăm revizuirea prevederilor din Anexa nr. 12 al proiectului.</w:t>
            </w:r>
          </w:p>
        </w:tc>
        <w:tc>
          <w:tcPr>
            <w:tcW w:w="5246" w:type="dxa"/>
          </w:tcPr>
          <w:p w:rsidR="00031083" w:rsidRPr="00CD4F05" w:rsidRDefault="00031083"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lastRenderedPageBreak/>
              <w:t>Nu se acceptă</w:t>
            </w:r>
            <w:r w:rsidR="00261326" w:rsidRPr="00CD4F05">
              <w:rPr>
                <w:rFonts w:ascii="Times New Roman" w:hAnsi="Times New Roman" w:cs="Times New Roman"/>
                <w:b/>
                <w:sz w:val="24"/>
                <w:szCs w:val="24"/>
                <w:lang w:val="ro-RO"/>
              </w:rPr>
              <w:t>,</w:t>
            </w:r>
          </w:p>
          <w:p w:rsidR="00261326" w:rsidRPr="00CD4F05" w:rsidRDefault="00261326" w:rsidP="005E6E4A">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luînd în consideraţie faptul că mijloacele de măsurare (taximetrele), conform prezentei reglementări tehnice înainte de introducerea pe piaţă sau punerea la dispoziţie pe piaţă,  se supun procedurilor de evaluare a conformităţii corespunzătoare</w:t>
            </w:r>
            <w:r w:rsidR="0078663D">
              <w:rPr>
                <w:rFonts w:ascii="Times New Roman" w:hAnsi="Times New Roman" w:cs="Times New Roman"/>
                <w:sz w:val="24"/>
                <w:szCs w:val="24"/>
                <w:lang w:val="ro-RO"/>
              </w:rPr>
              <w:t xml:space="preserve">, </w:t>
            </w:r>
            <w:r w:rsidRPr="00CD4F05">
              <w:rPr>
                <w:rFonts w:ascii="Times New Roman" w:hAnsi="Times New Roman" w:cs="Times New Roman"/>
                <w:sz w:val="24"/>
                <w:szCs w:val="24"/>
                <w:lang w:val="ro-RO"/>
              </w:rPr>
              <w:t xml:space="preserve"> care includ şi proceduri de verificare iniţială. Astfel, în scopul evitării dublării procedurii de verificare iniţială, este inoportun efectuarea acesteia. Ulterior, indiferent de termenul expus în „Lista Oficială a mijloacelor de măsurare supuse controlului metrologic legal”, peste un an, aceste </w:t>
            </w:r>
            <w:r w:rsidRPr="005E6E4A">
              <w:rPr>
                <w:rFonts w:ascii="Times New Roman" w:hAnsi="Times New Roman" w:cs="Times New Roman"/>
                <w:sz w:val="24"/>
                <w:szCs w:val="24"/>
                <w:lang w:val="ro-RO"/>
              </w:rPr>
              <w:t xml:space="preserve">mijloace de măsurare fac subiectul Legii metrologiei nr. 647-XII din 17 noiembrie 1995 şi </w:t>
            </w:r>
            <w:r w:rsidRPr="005E6E4A">
              <w:rPr>
                <w:rFonts w:ascii="Times New Roman" w:hAnsi="Times New Roman" w:cs="Times New Roman"/>
                <w:sz w:val="24"/>
                <w:szCs w:val="24"/>
                <w:lang w:val="ro-RO"/>
              </w:rPr>
              <w:lastRenderedPageBreak/>
              <w:t>vor fi supuse</w:t>
            </w:r>
            <w:r w:rsidR="0078663D" w:rsidRPr="005E6E4A">
              <w:rPr>
                <w:rFonts w:ascii="Times New Roman" w:hAnsi="Times New Roman" w:cs="Times New Roman"/>
                <w:sz w:val="24"/>
                <w:szCs w:val="24"/>
                <w:lang w:val="ro-RO"/>
              </w:rPr>
              <w:t xml:space="preserve"> în exploatare</w:t>
            </w:r>
            <w:r w:rsidRPr="005E6E4A">
              <w:rPr>
                <w:rFonts w:ascii="Times New Roman" w:hAnsi="Times New Roman" w:cs="Times New Roman"/>
                <w:sz w:val="24"/>
                <w:szCs w:val="24"/>
                <w:lang w:val="ro-RO"/>
              </w:rPr>
              <w:t xml:space="preserve"> </w:t>
            </w:r>
            <w:r w:rsidR="0078663D" w:rsidRPr="005E6E4A">
              <w:rPr>
                <w:rFonts w:ascii="Times New Roman" w:hAnsi="Times New Roman" w:cs="Times New Roman"/>
                <w:sz w:val="24"/>
                <w:szCs w:val="24"/>
                <w:lang w:val="ro-RO"/>
              </w:rPr>
              <w:t xml:space="preserve">obligatoriu </w:t>
            </w:r>
            <w:r w:rsidRPr="005E6E4A">
              <w:rPr>
                <w:rFonts w:ascii="Times New Roman" w:hAnsi="Times New Roman" w:cs="Times New Roman"/>
                <w:sz w:val="24"/>
                <w:szCs w:val="24"/>
                <w:lang w:val="ro-RO"/>
              </w:rPr>
              <w:t>verificăr</w:t>
            </w:r>
            <w:r w:rsidR="0078663D" w:rsidRPr="005E6E4A">
              <w:rPr>
                <w:rFonts w:ascii="Times New Roman" w:hAnsi="Times New Roman" w:cs="Times New Roman"/>
                <w:sz w:val="24"/>
                <w:szCs w:val="24"/>
                <w:lang w:val="ro-RO"/>
              </w:rPr>
              <w:t>ilor</w:t>
            </w:r>
            <w:r w:rsidRPr="005E6E4A">
              <w:rPr>
                <w:rFonts w:ascii="Times New Roman" w:hAnsi="Times New Roman" w:cs="Times New Roman"/>
                <w:sz w:val="24"/>
                <w:szCs w:val="24"/>
                <w:lang w:val="ro-RO"/>
              </w:rPr>
              <w:t xml:space="preserve"> metrologice</w:t>
            </w:r>
            <w:r w:rsidR="0078663D" w:rsidRPr="005E6E4A">
              <w:rPr>
                <w:rFonts w:ascii="Times New Roman" w:hAnsi="Times New Roman" w:cs="Times New Roman"/>
                <w:sz w:val="24"/>
                <w:szCs w:val="24"/>
                <w:lang w:val="ro-RO"/>
              </w:rPr>
              <w:t>.</w:t>
            </w:r>
            <w:r w:rsidR="0078663D">
              <w:rPr>
                <w:rFonts w:ascii="Times New Roman" w:hAnsi="Times New Roman" w:cs="Times New Roman"/>
                <w:sz w:val="24"/>
                <w:szCs w:val="24"/>
                <w:lang w:val="ro-RO"/>
              </w:rPr>
              <w:t xml:space="preserve"> </w:t>
            </w:r>
            <w:r w:rsidRPr="00CD4F05">
              <w:rPr>
                <w:rFonts w:ascii="Times New Roman" w:hAnsi="Times New Roman" w:cs="Times New Roman"/>
                <w:sz w:val="24"/>
                <w:szCs w:val="24"/>
                <w:lang w:val="ro-RO"/>
              </w:rPr>
              <w:t xml:space="preserve"> </w:t>
            </w:r>
          </w:p>
        </w:tc>
      </w:tr>
      <w:tr w:rsidR="00031083" w:rsidRPr="00CD4F05" w:rsidTr="00CD4F05">
        <w:tc>
          <w:tcPr>
            <w:tcW w:w="425" w:type="dxa"/>
            <w:vMerge/>
          </w:tcPr>
          <w:p w:rsidR="00031083" w:rsidRPr="00CD4F05" w:rsidRDefault="00031083" w:rsidP="00704D3D">
            <w:pPr>
              <w:ind w:left="34" w:right="34"/>
              <w:rPr>
                <w:rFonts w:ascii="Times New Roman" w:hAnsi="Times New Roman" w:cs="Times New Roman"/>
                <w:sz w:val="24"/>
                <w:szCs w:val="24"/>
                <w:lang w:val="en-US"/>
              </w:rPr>
            </w:pPr>
          </w:p>
        </w:tc>
        <w:tc>
          <w:tcPr>
            <w:tcW w:w="1592" w:type="dxa"/>
            <w:vMerge/>
          </w:tcPr>
          <w:p w:rsidR="00031083" w:rsidRPr="00CD4F05" w:rsidRDefault="00031083" w:rsidP="00B222AB">
            <w:pPr>
              <w:jc w:val="center"/>
              <w:rPr>
                <w:rFonts w:ascii="Times New Roman" w:hAnsi="Times New Roman" w:cs="Times New Roman"/>
                <w:sz w:val="24"/>
                <w:szCs w:val="24"/>
                <w:lang w:val="ro-RO"/>
              </w:rPr>
            </w:pPr>
          </w:p>
        </w:tc>
        <w:tc>
          <w:tcPr>
            <w:tcW w:w="1276" w:type="dxa"/>
            <w:vMerge/>
          </w:tcPr>
          <w:p w:rsidR="00031083" w:rsidRPr="00CD4F05" w:rsidRDefault="00031083" w:rsidP="00C02294">
            <w:pPr>
              <w:jc w:val="center"/>
              <w:rPr>
                <w:rFonts w:ascii="Times New Roman" w:hAnsi="Times New Roman" w:cs="Times New Roman"/>
                <w:sz w:val="24"/>
                <w:szCs w:val="24"/>
                <w:lang w:val="ro-RO"/>
              </w:rPr>
            </w:pPr>
          </w:p>
        </w:tc>
        <w:tc>
          <w:tcPr>
            <w:tcW w:w="7196" w:type="dxa"/>
          </w:tcPr>
          <w:p w:rsidR="00031083" w:rsidRPr="00CD4F05" w:rsidRDefault="00031083" w:rsidP="00031083">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Recomandăm ajustarea proiectului la prevederile art. 46 alin. (2) al Legii nr. 317 din 18.07.2003. Potrivit alineatului respectiv, conţinutul proiectului se expune în limbă simplă, clară şi concisă, pentru a se exclude orice echivoc, cu respectarea strictă a regulilor gramaticale şi de ortografie. Nu se admite folosirea arhaismelor şi regionalismelor. Textul punctelor trebuie să aibă un caracter dispozitiv, să prezinte norma instituita fără explicaţii sau justificări.</w:t>
            </w:r>
          </w:p>
        </w:tc>
        <w:tc>
          <w:tcPr>
            <w:tcW w:w="5246" w:type="dxa"/>
          </w:tcPr>
          <w:p w:rsidR="00031083" w:rsidRPr="00CD4F05" w:rsidRDefault="00031083"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1E2EB4" w:rsidRPr="00CD4F05" w:rsidTr="00CD4F05">
        <w:tc>
          <w:tcPr>
            <w:tcW w:w="425" w:type="dxa"/>
            <w:vMerge w:val="restart"/>
          </w:tcPr>
          <w:p w:rsidR="001E2EB4" w:rsidRPr="00CD4F05" w:rsidRDefault="001E2EB4" w:rsidP="003B2B90">
            <w:pPr>
              <w:ind w:left="34" w:right="34"/>
              <w:rPr>
                <w:rFonts w:ascii="Times New Roman" w:hAnsi="Times New Roman" w:cs="Times New Roman"/>
                <w:sz w:val="24"/>
                <w:szCs w:val="24"/>
                <w:lang w:val="ro-RO"/>
              </w:rPr>
            </w:pPr>
          </w:p>
          <w:p w:rsidR="001E2EB4" w:rsidRPr="00CD4F05" w:rsidRDefault="001E2EB4"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val="restart"/>
          </w:tcPr>
          <w:p w:rsidR="001E2EB4" w:rsidRPr="00CD4F05" w:rsidRDefault="001E2EB4"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Ministerul Tehnologie Informaţiei şi Comunicaţiilor</w:t>
            </w:r>
          </w:p>
        </w:tc>
        <w:tc>
          <w:tcPr>
            <w:tcW w:w="1276" w:type="dxa"/>
            <w:vMerge w:val="restart"/>
          </w:tcPr>
          <w:p w:rsidR="001E2EB4" w:rsidRPr="00CD4F05" w:rsidRDefault="001E2EB4"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Nr. 01/1533 din 07.10.2014</w:t>
            </w:r>
          </w:p>
        </w:tc>
        <w:tc>
          <w:tcPr>
            <w:tcW w:w="7196" w:type="dxa"/>
          </w:tcPr>
          <w:p w:rsidR="001E2EB4" w:rsidRPr="00CD4F05" w:rsidRDefault="001E2EB4" w:rsidP="00C022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1.</w:t>
            </w:r>
            <w:r w:rsidRPr="00CD4F05">
              <w:rPr>
                <w:rFonts w:ascii="Times New Roman" w:hAnsi="Times New Roman" w:cs="Times New Roman"/>
                <w:sz w:val="24"/>
                <w:szCs w:val="24"/>
                <w:lang w:val="ro-RO"/>
              </w:rPr>
              <w:tab/>
              <w:t xml:space="preserve">La proiectul hotărîrii Guvernului </w:t>
            </w:r>
          </w:p>
          <w:p w:rsidR="001E2EB4" w:rsidRPr="00CD4F05" w:rsidRDefault="001E2EB4" w:rsidP="00C022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1.1 În clauza de emitere de substituit sintagma ,,pozi</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ia 6” cu sintagma ,,pozi</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ia 28”, deoarece anume  pct. 28 din Anexa nr.3 Lista domeniilor reglementate prevede reglementarea mijloacelor de măsurare.</w:t>
            </w:r>
          </w:p>
        </w:tc>
        <w:tc>
          <w:tcPr>
            <w:tcW w:w="5246" w:type="dxa"/>
          </w:tcPr>
          <w:p w:rsidR="001E2EB4" w:rsidRPr="00CD4F05" w:rsidRDefault="001E2EB4"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1E2EB4" w:rsidRPr="000240B9" w:rsidTr="00CD4F05">
        <w:tc>
          <w:tcPr>
            <w:tcW w:w="425" w:type="dxa"/>
            <w:vMerge/>
          </w:tcPr>
          <w:p w:rsidR="001E2EB4" w:rsidRPr="00CD4F05" w:rsidRDefault="001E2EB4"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1E2EB4" w:rsidRPr="00CD4F05" w:rsidRDefault="001E2EB4" w:rsidP="00C02294">
            <w:pPr>
              <w:jc w:val="center"/>
              <w:rPr>
                <w:rFonts w:ascii="Times New Roman" w:hAnsi="Times New Roman" w:cs="Times New Roman"/>
                <w:sz w:val="24"/>
                <w:szCs w:val="24"/>
                <w:lang w:val="ro-RO"/>
              </w:rPr>
            </w:pPr>
          </w:p>
        </w:tc>
        <w:tc>
          <w:tcPr>
            <w:tcW w:w="1276" w:type="dxa"/>
            <w:vMerge/>
          </w:tcPr>
          <w:p w:rsidR="001E2EB4" w:rsidRPr="00CD4F05" w:rsidRDefault="001E2EB4" w:rsidP="00C02294">
            <w:pPr>
              <w:jc w:val="center"/>
              <w:rPr>
                <w:rFonts w:ascii="Times New Roman" w:hAnsi="Times New Roman" w:cs="Times New Roman"/>
                <w:sz w:val="24"/>
                <w:szCs w:val="24"/>
                <w:lang w:val="ro-RO"/>
              </w:rPr>
            </w:pPr>
          </w:p>
        </w:tc>
        <w:tc>
          <w:tcPr>
            <w:tcW w:w="7196" w:type="dxa"/>
          </w:tcPr>
          <w:p w:rsidR="001E2EB4" w:rsidRPr="00CD4F05" w:rsidRDefault="001E2EB4" w:rsidP="00C022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1.2 În conformitate cu art.23 din Legea nr.235 din 01.12.2011 privind activităţile de acreditare şi de evaluare a conformităţii, produsele supuse evaluării conformităţii în domeniul reglementat trebuie să fie marcate de către producător cu marca de conformitate SM, iar potrivit art.24 alin.(1) alte mărci de conformitate se utilizează în domeniul nereglementat. </w:t>
            </w:r>
          </w:p>
          <w:p w:rsidR="001E2EB4" w:rsidRPr="00CD4F05" w:rsidRDefault="001E2EB4" w:rsidP="00C022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Deoarece, în proiectul hotărîrii Guvernui şi în proiectul Reglementării tehnice se face referinţă la marcajul de conformitate CE, care nu este prevăzut de Legea nr.235 din 01.12.2011, propunem ca marcarea mijloacelor de măsurare să fie efectuată conform prevederilor acestei Legi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anume marca de conformitate SM.</w:t>
            </w:r>
          </w:p>
        </w:tc>
        <w:tc>
          <w:tcPr>
            <w:tcW w:w="5246" w:type="dxa"/>
          </w:tcPr>
          <w:p w:rsidR="00A65C71" w:rsidRPr="00CD4F05" w:rsidRDefault="00A65C71"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w:t>
            </w:r>
            <w:r w:rsidR="001E2EB4" w:rsidRPr="00CD4F05">
              <w:rPr>
                <w:rFonts w:ascii="Times New Roman" w:hAnsi="Times New Roman" w:cs="Times New Roman"/>
                <w:b/>
                <w:sz w:val="24"/>
                <w:szCs w:val="24"/>
                <w:lang w:val="ro-RO"/>
              </w:rPr>
              <w:t>e acceptă</w:t>
            </w:r>
            <w:r w:rsidRPr="00CD4F05">
              <w:rPr>
                <w:rFonts w:ascii="Times New Roman" w:hAnsi="Times New Roman" w:cs="Times New Roman"/>
                <w:b/>
                <w:sz w:val="24"/>
                <w:szCs w:val="24"/>
                <w:lang w:val="ro-RO"/>
              </w:rPr>
              <w:t xml:space="preserve"> parţial, </w:t>
            </w:r>
          </w:p>
          <w:p w:rsidR="001E2EB4" w:rsidRPr="00CD4F05" w:rsidRDefault="00A65C71"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sunt stabilite prevederi în partea decisivă a proiectului</w:t>
            </w:r>
          </w:p>
        </w:tc>
      </w:tr>
      <w:tr w:rsidR="001E2EB4" w:rsidRPr="00CD4F05" w:rsidTr="00CD4F05">
        <w:tc>
          <w:tcPr>
            <w:tcW w:w="425" w:type="dxa"/>
            <w:vMerge/>
          </w:tcPr>
          <w:p w:rsidR="001E2EB4" w:rsidRPr="00CD4F05" w:rsidRDefault="001E2EB4"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1E2EB4" w:rsidRPr="00CD4F05" w:rsidRDefault="001E2EB4" w:rsidP="00C02294">
            <w:pPr>
              <w:jc w:val="center"/>
              <w:rPr>
                <w:rFonts w:ascii="Times New Roman" w:hAnsi="Times New Roman" w:cs="Times New Roman"/>
                <w:sz w:val="24"/>
                <w:szCs w:val="24"/>
                <w:lang w:val="ro-RO"/>
              </w:rPr>
            </w:pPr>
          </w:p>
        </w:tc>
        <w:tc>
          <w:tcPr>
            <w:tcW w:w="1276" w:type="dxa"/>
            <w:vMerge/>
          </w:tcPr>
          <w:p w:rsidR="001E2EB4" w:rsidRPr="00CD4F05" w:rsidRDefault="001E2EB4" w:rsidP="00C02294">
            <w:pPr>
              <w:jc w:val="center"/>
              <w:rPr>
                <w:rFonts w:ascii="Times New Roman" w:hAnsi="Times New Roman" w:cs="Times New Roman"/>
                <w:sz w:val="24"/>
                <w:szCs w:val="24"/>
                <w:lang w:val="ro-RO"/>
              </w:rPr>
            </w:pPr>
          </w:p>
        </w:tc>
        <w:tc>
          <w:tcPr>
            <w:tcW w:w="7196" w:type="dxa"/>
          </w:tcPr>
          <w:p w:rsidR="001E2EB4" w:rsidRPr="00CD4F05" w:rsidRDefault="001E2EB4" w:rsidP="00C022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1.3 Pct. 5:  a) urmează a fi structurate conform art.56 alin. (6) al Legii nr.317-XV din 18.07.2003 privind actele normative ale Guvernului şi ale altor autorităţi ale administraţiei publice centrale şi locale. </w:t>
            </w:r>
          </w:p>
          <w:p w:rsidR="001E2EB4" w:rsidRPr="00CD4F05" w:rsidRDefault="003F7DC7" w:rsidP="003F7DC7">
            <w:pPr>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b) </w:t>
            </w:r>
            <w:r w:rsidR="001E2EB4" w:rsidRPr="00CD4F05">
              <w:rPr>
                <w:rFonts w:ascii="Times New Roman" w:hAnsi="Times New Roman" w:cs="Times New Roman"/>
                <w:sz w:val="24"/>
                <w:szCs w:val="24"/>
                <w:lang w:val="ro-RO"/>
              </w:rPr>
              <w:t xml:space="preserve"> la  lit. a) referinţa către Legea nr. 235 urmează a fi completată cu </w:t>
            </w:r>
            <w:r w:rsidR="001E2EB4" w:rsidRPr="00CD4F05">
              <w:rPr>
                <w:rFonts w:ascii="Times New Roman" w:hAnsi="Times New Roman" w:cs="Times New Roman"/>
                <w:sz w:val="24"/>
                <w:szCs w:val="24"/>
                <w:lang w:val="ro-RO"/>
              </w:rPr>
              <w:lastRenderedPageBreak/>
              <w:t>dată, conform prevederilor art. 48 din Legea nr.317-XV din 18.07.2003.</w:t>
            </w:r>
          </w:p>
        </w:tc>
        <w:tc>
          <w:tcPr>
            <w:tcW w:w="5246" w:type="dxa"/>
          </w:tcPr>
          <w:p w:rsidR="001E2EB4" w:rsidRPr="00CD4F05" w:rsidRDefault="001E2EB4"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lastRenderedPageBreak/>
              <w:t>Se acceptă</w:t>
            </w:r>
          </w:p>
        </w:tc>
      </w:tr>
      <w:tr w:rsidR="001E2EB4" w:rsidRPr="000240B9" w:rsidTr="00CD4F05">
        <w:tc>
          <w:tcPr>
            <w:tcW w:w="425" w:type="dxa"/>
            <w:vMerge/>
          </w:tcPr>
          <w:p w:rsidR="001E2EB4" w:rsidRPr="00CD4F05" w:rsidRDefault="001E2EB4"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1E2EB4" w:rsidRPr="00CD4F05" w:rsidRDefault="001E2EB4" w:rsidP="00C02294">
            <w:pPr>
              <w:jc w:val="center"/>
              <w:rPr>
                <w:rFonts w:ascii="Times New Roman" w:hAnsi="Times New Roman" w:cs="Times New Roman"/>
                <w:sz w:val="24"/>
                <w:szCs w:val="24"/>
                <w:lang w:val="ro-RO"/>
              </w:rPr>
            </w:pPr>
          </w:p>
        </w:tc>
        <w:tc>
          <w:tcPr>
            <w:tcW w:w="1276" w:type="dxa"/>
            <w:vMerge/>
          </w:tcPr>
          <w:p w:rsidR="001E2EB4" w:rsidRPr="00CD4F05" w:rsidRDefault="001E2EB4" w:rsidP="00C02294">
            <w:pPr>
              <w:jc w:val="center"/>
              <w:rPr>
                <w:rFonts w:ascii="Times New Roman" w:hAnsi="Times New Roman" w:cs="Times New Roman"/>
                <w:sz w:val="24"/>
                <w:szCs w:val="24"/>
                <w:lang w:val="ro-RO"/>
              </w:rPr>
            </w:pPr>
          </w:p>
        </w:tc>
        <w:tc>
          <w:tcPr>
            <w:tcW w:w="7196" w:type="dxa"/>
          </w:tcPr>
          <w:p w:rsidR="001E2EB4" w:rsidRPr="00CD4F05" w:rsidRDefault="001E2EB4" w:rsidP="000C36A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1.4 Ar fi oportun pct. 7 de exclus, deoarece pct. 8 prevede că controlul asupra executării hotărîrii este pus în sarcina Ministerului Economiei, iar elaborarea planului de implementare constituie un atribut al acestui control.</w:t>
            </w:r>
          </w:p>
        </w:tc>
        <w:tc>
          <w:tcPr>
            <w:tcW w:w="5246" w:type="dxa"/>
          </w:tcPr>
          <w:p w:rsidR="00006B74" w:rsidRPr="00CD4F05" w:rsidRDefault="00006B74" w:rsidP="00006B7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Nu s</w:t>
            </w:r>
            <w:r w:rsidR="001E2EB4" w:rsidRPr="00CD4F05">
              <w:rPr>
                <w:rFonts w:ascii="Times New Roman" w:hAnsi="Times New Roman" w:cs="Times New Roman"/>
                <w:b/>
                <w:sz w:val="24"/>
                <w:szCs w:val="24"/>
                <w:lang w:val="ro-RO"/>
              </w:rPr>
              <w:t>e acceptă</w:t>
            </w:r>
            <w:r w:rsidRPr="00CD4F05">
              <w:rPr>
                <w:rFonts w:ascii="Times New Roman" w:hAnsi="Times New Roman" w:cs="Times New Roman"/>
                <w:b/>
                <w:sz w:val="24"/>
                <w:szCs w:val="24"/>
                <w:lang w:val="ro-RO"/>
              </w:rPr>
              <w:t xml:space="preserve">, </w:t>
            </w:r>
          </w:p>
          <w:p w:rsidR="001E2EB4" w:rsidRPr="00CD4F05" w:rsidRDefault="004B2F5B" w:rsidP="005E6E4A">
            <w:pPr>
              <w:jc w:val="both"/>
              <w:rPr>
                <w:rFonts w:ascii="Times New Roman" w:hAnsi="Times New Roman" w:cs="Times New Roman"/>
                <w:sz w:val="24"/>
                <w:szCs w:val="24"/>
                <w:lang w:val="ro-RO"/>
              </w:rPr>
            </w:pPr>
            <w:r w:rsidRPr="005E6E4A">
              <w:rPr>
                <w:rFonts w:ascii="Times New Roman" w:hAnsi="Times New Roman" w:cs="Times New Roman"/>
                <w:sz w:val="24"/>
                <w:szCs w:val="24"/>
                <w:lang w:val="ro-RO"/>
              </w:rPr>
              <w:t>a</w:t>
            </w:r>
            <w:r w:rsidR="00006B74" w:rsidRPr="005E6E4A">
              <w:rPr>
                <w:rFonts w:ascii="Times New Roman" w:hAnsi="Times New Roman" w:cs="Times New Roman"/>
                <w:sz w:val="24"/>
                <w:szCs w:val="24"/>
                <w:lang w:val="ro-RO"/>
              </w:rPr>
              <w:t>cţiuni</w:t>
            </w:r>
            <w:r w:rsidRPr="005E6E4A">
              <w:rPr>
                <w:rFonts w:ascii="Times New Roman" w:hAnsi="Times New Roman" w:cs="Times New Roman"/>
                <w:sz w:val="24"/>
                <w:szCs w:val="24"/>
                <w:lang w:val="ro-RO"/>
              </w:rPr>
              <w:t xml:space="preserve">le </w:t>
            </w:r>
            <w:r w:rsidR="00006B74" w:rsidRPr="005E6E4A">
              <w:rPr>
                <w:rFonts w:ascii="Times New Roman" w:hAnsi="Times New Roman" w:cs="Times New Roman"/>
                <w:sz w:val="24"/>
                <w:szCs w:val="24"/>
                <w:lang w:val="ro-RO"/>
              </w:rPr>
              <w:t>c</w:t>
            </w:r>
            <w:r w:rsidR="00006B74" w:rsidRPr="00CD4F05">
              <w:rPr>
                <w:rFonts w:ascii="Times New Roman" w:hAnsi="Times New Roman" w:cs="Times New Roman"/>
                <w:sz w:val="24"/>
                <w:szCs w:val="24"/>
                <w:lang w:val="ro-RO"/>
              </w:rPr>
              <w:t>e urmează a fi întreprinse pentru punerea în aplicare a prevederilor din reglementarea tehnică, nu prezintă acţiuni ce vor fi executate în cadrul controlului executării hotărîri de Guvern</w:t>
            </w:r>
          </w:p>
        </w:tc>
      </w:tr>
      <w:tr w:rsidR="001E2EB4" w:rsidRPr="00CD4F05" w:rsidTr="00CD4F05">
        <w:tc>
          <w:tcPr>
            <w:tcW w:w="425" w:type="dxa"/>
            <w:vMerge/>
          </w:tcPr>
          <w:p w:rsidR="001E2EB4" w:rsidRPr="00CD4F05" w:rsidRDefault="001E2EB4"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1E2EB4" w:rsidRPr="00CD4F05" w:rsidRDefault="001E2EB4" w:rsidP="00C02294">
            <w:pPr>
              <w:jc w:val="center"/>
              <w:rPr>
                <w:rFonts w:ascii="Times New Roman" w:hAnsi="Times New Roman" w:cs="Times New Roman"/>
                <w:sz w:val="24"/>
                <w:szCs w:val="24"/>
                <w:lang w:val="ro-RO"/>
              </w:rPr>
            </w:pPr>
          </w:p>
        </w:tc>
        <w:tc>
          <w:tcPr>
            <w:tcW w:w="1276" w:type="dxa"/>
            <w:vMerge/>
          </w:tcPr>
          <w:p w:rsidR="001E2EB4" w:rsidRPr="00CD4F05" w:rsidRDefault="001E2EB4" w:rsidP="00C02294">
            <w:pPr>
              <w:jc w:val="center"/>
              <w:rPr>
                <w:rFonts w:ascii="Times New Roman" w:hAnsi="Times New Roman" w:cs="Times New Roman"/>
                <w:sz w:val="24"/>
                <w:szCs w:val="24"/>
                <w:lang w:val="ro-RO"/>
              </w:rPr>
            </w:pPr>
          </w:p>
        </w:tc>
        <w:tc>
          <w:tcPr>
            <w:tcW w:w="7196" w:type="dxa"/>
          </w:tcPr>
          <w:p w:rsidR="001E2EB4" w:rsidRPr="00CD4F05" w:rsidRDefault="001E2EB4" w:rsidP="00C022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2. În alin.2 la Nota informativă se propune substituirea sintagmei ,,Acordului DCFTA” prin sintagma ,,Acordului de Liber Schimb Aprofundat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Cuprinzător RM–UE (DCFTA)”.</w:t>
            </w:r>
          </w:p>
        </w:tc>
        <w:tc>
          <w:tcPr>
            <w:tcW w:w="5246" w:type="dxa"/>
          </w:tcPr>
          <w:p w:rsidR="001E2EB4" w:rsidRPr="00CD4F05" w:rsidRDefault="001E2EB4"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1E2EB4" w:rsidRPr="000240B9" w:rsidTr="00CD4F05">
        <w:tc>
          <w:tcPr>
            <w:tcW w:w="425" w:type="dxa"/>
            <w:vMerge/>
          </w:tcPr>
          <w:p w:rsidR="001E2EB4" w:rsidRPr="00CD4F05" w:rsidRDefault="001E2EB4"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1E2EB4" w:rsidRPr="00CD4F05" w:rsidRDefault="001E2EB4" w:rsidP="00C02294">
            <w:pPr>
              <w:jc w:val="center"/>
              <w:rPr>
                <w:rFonts w:ascii="Times New Roman" w:hAnsi="Times New Roman" w:cs="Times New Roman"/>
                <w:sz w:val="24"/>
                <w:szCs w:val="24"/>
                <w:lang w:val="ro-RO"/>
              </w:rPr>
            </w:pPr>
          </w:p>
        </w:tc>
        <w:tc>
          <w:tcPr>
            <w:tcW w:w="1276" w:type="dxa"/>
            <w:vMerge/>
          </w:tcPr>
          <w:p w:rsidR="001E2EB4" w:rsidRPr="00CD4F05" w:rsidRDefault="001E2EB4" w:rsidP="00C02294">
            <w:pPr>
              <w:jc w:val="center"/>
              <w:rPr>
                <w:rFonts w:ascii="Times New Roman" w:hAnsi="Times New Roman" w:cs="Times New Roman"/>
                <w:sz w:val="24"/>
                <w:szCs w:val="24"/>
                <w:lang w:val="ro-RO"/>
              </w:rPr>
            </w:pPr>
          </w:p>
        </w:tc>
        <w:tc>
          <w:tcPr>
            <w:tcW w:w="7196" w:type="dxa"/>
          </w:tcPr>
          <w:p w:rsidR="001E2EB4" w:rsidRPr="00CD4F05" w:rsidRDefault="001E2EB4" w:rsidP="00C022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3. La proiectul Reglementării tehnice. </w:t>
            </w:r>
          </w:p>
          <w:p w:rsidR="001E2EB4" w:rsidRPr="00CD4F05" w:rsidRDefault="001E2EB4" w:rsidP="000C36A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3.1 Prevederile expuse în Cap.</w:t>
            </w:r>
            <w:r w:rsidR="00333D25" w:rsidRPr="00CD4F05">
              <w:rPr>
                <w:rFonts w:ascii="Times New Roman" w:hAnsi="Times New Roman" w:cs="Times New Roman"/>
                <w:sz w:val="24"/>
                <w:szCs w:val="24"/>
                <w:lang w:val="ro-RO"/>
              </w:rPr>
              <w:t xml:space="preserve"> </w:t>
            </w:r>
            <w:r w:rsidRPr="00CD4F05">
              <w:rPr>
                <w:rFonts w:ascii="Times New Roman" w:hAnsi="Times New Roman" w:cs="Times New Roman"/>
                <w:sz w:val="24"/>
                <w:szCs w:val="24"/>
                <w:lang w:val="ro-RO"/>
              </w:rPr>
              <w:t xml:space="preserve">VIII stabilesc că mijloacele de măsurare sunt însoţite de declaraţia de conformitate semnată de producător, ceea ce nu corespunde prevederilor art.28 alin.(2) din Legea nr. 235 din 01.12.2011. Această prevedere a legii asigură responsabilitatea importatorului pentru conformitatea produselor importate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w:t>
            </w:r>
            <w:r w:rsidR="005D7D1E" w:rsidRPr="00CD4F05">
              <w:rPr>
                <w:rFonts w:ascii="Times New Roman" w:hAnsi="Times New Roman" w:cs="Times New Roman"/>
                <w:sz w:val="24"/>
                <w:szCs w:val="24"/>
                <w:lang w:val="ro-RO"/>
              </w:rPr>
              <w:t>,</w:t>
            </w:r>
            <w:r w:rsidRPr="00CD4F05">
              <w:rPr>
                <w:rFonts w:ascii="Times New Roman" w:hAnsi="Times New Roman" w:cs="Times New Roman"/>
                <w:sz w:val="24"/>
                <w:szCs w:val="24"/>
                <w:lang w:val="ro-RO"/>
              </w:rPr>
              <w:t xml:space="preserve"> ca urmare</w:t>
            </w:r>
            <w:r w:rsidR="005D7D1E" w:rsidRPr="00CD4F05">
              <w:rPr>
                <w:rFonts w:ascii="Times New Roman" w:hAnsi="Times New Roman" w:cs="Times New Roman"/>
                <w:sz w:val="24"/>
                <w:szCs w:val="24"/>
                <w:lang w:val="ro-RO"/>
              </w:rPr>
              <w:t>,</w:t>
            </w:r>
            <w:r w:rsidRPr="00CD4F05">
              <w:rPr>
                <w:rFonts w:ascii="Times New Roman" w:hAnsi="Times New Roman" w:cs="Times New Roman"/>
                <w:sz w:val="24"/>
                <w:szCs w:val="24"/>
                <w:lang w:val="ro-RO"/>
              </w:rPr>
              <w:t xml:space="preserve"> propunem ca la import declaraţia de conformitate să fie emisă şi semnată de către importator.</w:t>
            </w:r>
          </w:p>
        </w:tc>
        <w:tc>
          <w:tcPr>
            <w:tcW w:w="5246" w:type="dxa"/>
          </w:tcPr>
          <w:p w:rsidR="001E2EB4" w:rsidRPr="00CD4F05" w:rsidRDefault="001E2EB4"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Nu se acceptă</w:t>
            </w:r>
            <w:r w:rsidR="00245F85" w:rsidRPr="00CD4F05">
              <w:rPr>
                <w:rFonts w:ascii="Times New Roman" w:hAnsi="Times New Roman" w:cs="Times New Roman"/>
                <w:b/>
                <w:sz w:val="24"/>
                <w:szCs w:val="24"/>
                <w:lang w:val="ro-RO"/>
              </w:rPr>
              <w:t xml:space="preserve">, </w:t>
            </w:r>
          </w:p>
          <w:p w:rsidR="00245F85" w:rsidRPr="00CD4F05" w:rsidRDefault="00304A8D" w:rsidP="005E6E4A">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conform Noului Cadru Legislativ European, </w:t>
            </w:r>
            <w:r w:rsidR="00C82F8F" w:rsidRPr="00CD4F05">
              <w:rPr>
                <w:rFonts w:ascii="Times New Roman" w:hAnsi="Times New Roman" w:cs="Times New Roman"/>
                <w:sz w:val="24"/>
                <w:szCs w:val="24"/>
                <w:lang w:val="ro-RO"/>
              </w:rPr>
              <w:t>care include</w:t>
            </w:r>
            <w:r w:rsidRPr="00CD4F05">
              <w:rPr>
                <w:rFonts w:ascii="Times New Roman" w:hAnsi="Times New Roman" w:cs="Times New Roman"/>
                <w:sz w:val="24"/>
                <w:szCs w:val="24"/>
                <w:lang w:val="ro-RO"/>
              </w:rPr>
              <w:t xml:space="preserve"> Regulamentul UE 765/2008, </w:t>
            </w:r>
            <w:r w:rsidR="005A3215" w:rsidRPr="00CD4F05">
              <w:rPr>
                <w:rFonts w:ascii="Times New Roman" w:hAnsi="Times New Roman" w:cs="Times New Roman"/>
                <w:sz w:val="24"/>
                <w:szCs w:val="24"/>
                <w:lang w:val="ro-RO"/>
              </w:rPr>
              <w:t>î</w:t>
            </w:r>
            <w:r w:rsidR="00245F85" w:rsidRPr="00CD4F05">
              <w:rPr>
                <w:rFonts w:ascii="Times New Roman" w:hAnsi="Times New Roman" w:cs="Times New Roman"/>
                <w:sz w:val="24"/>
                <w:szCs w:val="24"/>
                <w:lang w:val="ro-RO"/>
              </w:rPr>
              <w:t xml:space="preserve">ntocmirea documentaţiei tehnice, precum şi </w:t>
            </w:r>
            <w:r w:rsidR="005A3215" w:rsidRPr="00CD4F05">
              <w:rPr>
                <w:rFonts w:ascii="Times New Roman" w:hAnsi="Times New Roman" w:cs="Times New Roman"/>
                <w:sz w:val="24"/>
                <w:szCs w:val="24"/>
                <w:lang w:val="ro-RO"/>
              </w:rPr>
              <w:t xml:space="preserve">emiterea </w:t>
            </w:r>
            <w:r w:rsidR="00245F85" w:rsidRPr="00CD4F05">
              <w:rPr>
                <w:rFonts w:ascii="Times New Roman" w:hAnsi="Times New Roman" w:cs="Times New Roman"/>
                <w:sz w:val="24"/>
                <w:szCs w:val="24"/>
                <w:lang w:val="ro-RO"/>
              </w:rPr>
              <w:t>declaraţie</w:t>
            </w:r>
            <w:r w:rsidR="005A3215" w:rsidRPr="00CD4F05">
              <w:rPr>
                <w:rFonts w:ascii="Times New Roman" w:hAnsi="Times New Roman" w:cs="Times New Roman"/>
                <w:sz w:val="24"/>
                <w:szCs w:val="24"/>
                <w:lang w:val="ro-RO"/>
              </w:rPr>
              <w:t xml:space="preserve">i </w:t>
            </w:r>
            <w:r w:rsidR="00245F85" w:rsidRPr="00CD4F05">
              <w:rPr>
                <w:rFonts w:ascii="Times New Roman" w:hAnsi="Times New Roman" w:cs="Times New Roman"/>
                <w:sz w:val="24"/>
                <w:szCs w:val="24"/>
                <w:lang w:val="ro-RO"/>
              </w:rPr>
              <w:t xml:space="preserve">de conformitate este </w:t>
            </w:r>
            <w:r w:rsidR="005A3215" w:rsidRPr="00CD4F05">
              <w:rPr>
                <w:rFonts w:ascii="Times New Roman" w:hAnsi="Times New Roman" w:cs="Times New Roman"/>
                <w:sz w:val="24"/>
                <w:szCs w:val="24"/>
                <w:lang w:val="ro-RO"/>
              </w:rPr>
              <w:t xml:space="preserve">atribuţia </w:t>
            </w:r>
            <w:r w:rsidR="003962E2" w:rsidRPr="00CD4F05">
              <w:rPr>
                <w:rFonts w:ascii="Times New Roman" w:hAnsi="Times New Roman" w:cs="Times New Roman"/>
                <w:sz w:val="24"/>
                <w:szCs w:val="24"/>
                <w:lang w:val="ro-RO"/>
              </w:rPr>
              <w:t>exclusivă</w:t>
            </w:r>
            <w:r w:rsidR="005A3215" w:rsidRPr="00CD4F05">
              <w:rPr>
                <w:rFonts w:ascii="Times New Roman" w:hAnsi="Times New Roman" w:cs="Times New Roman"/>
                <w:sz w:val="24"/>
                <w:szCs w:val="24"/>
                <w:lang w:val="ro-RO"/>
              </w:rPr>
              <w:t xml:space="preserve"> a producătorului, care nu se transmite reprezentantului autorizat prin mandatul său. Astfel, </w:t>
            </w:r>
            <w:r w:rsidR="003962E2" w:rsidRPr="00CD4F05">
              <w:rPr>
                <w:rFonts w:ascii="Times New Roman" w:hAnsi="Times New Roman" w:cs="Times New Roman"/>
                <w:sz w:val="24"/>
                <w:szCs w:val="24"/>
                <w:lang w:val="ro-RO"/>
              </w:rPr>
              <w:t xml:space="preserve">de către Ministerul Economiei </w:t>
            </w:r>
            <w:r w:rsidR="005A3215" w:rsidRPr="00CD4F05">
              <w:rPr>
                <w:rFonts w:ascii="Times New Roman" w:hAnsi="Times New Roman" w:cs="Times New Roman"/>
                <w:sz w:val="24"/>
                <w:szCs w:val="24"/>
                <w:lang w:val="ro-RO"/>
              </w:rPr>
              <w:t xml:space="preserve">este </w:t>
            </w:r>
            <w:r w:rsidR="003962E2" w:rsidRPr="00CD4F05">
              <w:rPr>
                <w:rFonts w:ascii="Times New Roman" w:hAnsi="Times New Roman" w:cs="Times New Roman"/>
                <w:sz w:val="24"/>
                <w:szCs w:val="24"/>
                <w:lang w:val="ro-RO"/>
              </w:rPr>
              <w:t>elaborat</w:t>
            </w:r>
            <w:r w:rsidR="005A3215" w:rsidRPr="00CD4F05">
              <w:rPr>
                <w:rFonts w:ascii="Times New Roman" w:hAnsi="Times New Roman" w:cs="Times New Roman"/>
                <w:sz w:val="24"/>
                <w:szCs w:val="24"/>
                <w:lang w:val="ro-RO"/>
              </w:rPr>
              <w:t xml:space="preserve"> proiectul de modificare a Legii nr. 235 din 11.12.2011 care prevede excluderea prevederilor ce ţin de emiterea declaraţiei de conformitate de către importator şi înregistrarea aceste</w:t>
            </w:r>
            <w:r w:rsidR="005A3215" w:rsidRPr="005E6E4A">
              <w:rPr>
                <w:rFonts w:ascii="Times New Roman" w:hAnsi="Times New Roman" w:cs="Times New Roman"/>
                <w:sz w:val="24"/>
                <w:szCs w:val="24"/>
                <w:lang w:val="ro-RO"/>
              </w:rPr>
              <w:t>i</w:t>
            </w:r>
            <w:r w:rsidR="004B2F5B" w:rsidRPr="005E6E4A">
              <w:rPr>
                <w:rFonts w:ascii="Times New Roman" w:hAnsi="Times New Roman" w:cs="Times New Roman"/>
                <w:sz w:val="24"/>
                <w:szCs w:val="24"/>
                <w:lang w:val="ro-RO"/>
              </w:rPr>
              <w:t>a</w:t>
            </w:r>
            <w:r w:rsidR="005A3215" w:rsidRPr="00CD4F05">
              <w:rPr>
                <w:rFonts w:ascii="Times New Roman" w:hAnsi="Times New Roman" w:cs="Times New Roman"/>
                <w:sz w:val="24"/>
                <w:szCs w:val="24"/>
                <w:lang w:val="ro-RO"/>
              </w:rPr>
              <w:t xml:space="preserve"> la organismele de evaluare a conformităţii.</w:t>
            </w:r>
            <w:r w:rsidR="000D7CF0" w:rsidRPr="00CD4F05">
              <w:rPr>
                <w:rFonts w:ascii="Times New Roman" w:hAnsi="Times New Roman" w:cs="Times New Roman"/>
                <w:sz w:val="24"/>
                <w:szCs w:val="24"/>
                <w:lang w:val="en-US"/>
              </w:rPr>
              <w:t xml:space="preserve"> </w:t>
            </w:r>
            <w:r w:rsidR="000D7CF0" w:rsidRPr="00CD4F05">
              <w:rPr>
                <w:rFonts w:ascii="Times New Roman" w:hAnsi="Times New Roman" w:cs="Times New Roman"/>
                <w:sz w:val="24"/>
                <w:szCs w:val="24"/>
                <w:lang w:val="ro-RO"/>
              </w:rPr>
              <w:t>Importatorul, înainte de introducere a produselor pe piaţă trebuie să se asigure şi să  garantează că producătorul a întocmit documentaţia tehnică, că a aplicat pe  mijlocul de măsurare marcajul CE şi marcajul metrologic suplimentar şi că mijlocul de măsurare este însoţit de o copie a declaraţiei UE de conformitate şi de documentele necesare, precum şi că producătorul a identificat tipul mijlocului de măsurare şi a afişat denumirea sa.</w:t>
            </w:r>
          </w:p>
        </w:tc>
      </w:tr>
      <w:tr w:rsidR="001E2EB4" w:rsidRPr="000240B9" w:rsidTr="00CD4F05">
        <w:tc>
          <w:tcPr>
            <w:tcW w:w="425" w:type="dxa"/>
            <w:vMerge/>
          </w:tcPr>
          <w:p w:rsidR="001E2EB4" w:rsidRPr="00CD4F05" w:rsidRDefault="001E2EB4"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1E2EB4" w:rsidRPr="00CD4F05" w:rsidRDefault="001E2EB4" w:rsidP="00C02294">
            <w:pPr>
              <w:jc w:val="center"/>
              <w:rPr>
                <w:rFonts w:ascii="Times New Roman" w:hAnsi="Times New Roman" w:cs="Times New Roman"/>
                <w:sz w:val="24"/>
                <w:szCs w:val="24"/>
                <w:lang w:val="ro-RO"/>
              </w:rPr>
            </w:pPr>
          </w:p>
        </w:tc>
        <w:tc>
          <w:tcPr>
            <w:tcW w:w="1276" w:type="dxa"/>
            <w:vMerge/>
          </w:tcPr>
          <w:p w:rsidR="001E2EB4" w:rsidRPr="00CD4F05" w:rsidRDefault="001E2EB4" w:rsidP="00C02294">
            <w:pPr>
              <w:jc w:val="center"/>
              <w:rPr>
                <w:rFonts w:ascii="Times New Roman" w:hAnsi="Times New Roman" w:cs="Times New Roman"/>
                <w:sz w:val="24"/>
                <w:szCs w:val="24"/>
                <w:lang w:val="ro-RO"/>
              </w:rPr>
            </w:pPr>
          </w:p>
        </w:tc>
        <w:tc>
          <w:tcPr>
            <w:tcW w:w="7196" w:type="dxa"/>
          </w:tcPr>
          <w:p w:rsidR="001E2EB4" w:rsidRPr="00CD4F05" w:rsidRDefault="001E2EB4" w:rsidP="00C022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3.2 Art.19 din Legea nr. 235 din 01.12.2011 prevede înregistrarea declaraţiei de conformitate la organismele de certificare acreditate. Propunem de introdus această prevedere şi în proiectul Reglementării tehnice.</w:t>
            </w:r>
          </w:p>
        </w:tc>
        <w:tc>
          <w:tcPr>
            <w:tcW w:w="5246" w:type="dxa"/>
          </w:tcPr>
          <w:p w:rsidR="001E2EB4" w:rsidRPr="00CD4F05" w:rsidRDefault="001E2EB4"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Nu se acceptă</w:t>
            </w:r>
            <w:r w:rsidR="005A3215" w:rsidRPr="00CD4F05">
              <w:rPr>
                <w:rFonts w:ascii="Times New Roman" w:hAnsi="Times New Roman" w:cs="Times New Roman"/>
                <w:b/>
                <w:sz w:val="24"/>
                <w:szCs w:val="24"/>
                <w:lang w:val="ro-RO"/>
              </w:rPr>
              <w:t xml:space="preserve">, </w:t>
            </w:r>
          </w:p>
          <w:p w:rsidR="005A3215" w:rsidRPr="00CD4F05" w:rsidRDefault="003962E2" w:rsidP="003962E2">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de către Ministerul Economiei este elaborat proiectul de modificare a </w:t>
            </w:r>
            <w:r w:rsidR="005A3215" w:rsidRPr="00CD4F05">
              <w:rPr>
                <w:rFonts w:ascii="Times New Roman" w:hAnsi="Times New Roman" w:cs="Times New Roman"/>
                <w:sz w:val="24"/>
                <w:szCs w:val="24"/>
                <w:lang w:val="ro-RO"/>
              </w:rPr>
              <w:t xml:space="preserve">Legii nr. 235 din 11.12.2011 care prevede excluderea prevederilor ce </w:t>
            </w:r>
            <w:r w:rsidR="005A3215" w:rsidRPr="00CD4F05">
              <w:rPr>
                <w:rFonts w:ascii="Times New Roman" w:hAnsi="Times New Roman" w:cs="Times New Roman"/>
                <w:sz w:val="24"/>
                <w:szCs w:val="24"/>
                <w:lang w:val="ro-RO"/>
              </w:rPr>
              <w:lastRenderedPageBreak/>
              <w:t xml:space="preserve">ţin de emiterea declaraţiei de conformitate de către importator şi înregistrarea </w:t>
            </w:r>
            <w:r w:rsidR="005A3215" w:rsidRPr="005E6E4A">
              <w:rPr>
                <w:rFonts w:ascii="Times New Roman" w:hAnsi="Times New Roman" w:cs="Times New Roman"/>
                <w:sz w:val="24"/>
                <w:szCs w:val="24"/>
                <w:lang w:val="ro-RO"/>
              </w:rPr>
              <w:t>acestei</w:t>
            </w:r>
            <w:r w:rsidR="004B2F5B" w:rsidRPr="005E6E4A">
              <w:rPr>
                <w:rFonts w:ascii="Times New Roman" w:hAnsi="Times New Roman" w:cs="Times New Roman"/>
                <w:sz w:val="24"/>
                <w:szCs w:val="24"/>
                <w:lang w:val="ro-RO"/>
              </w:rPr>
              <w:t>a</w:t>
            </w:r>
            <w:r w:rsidR="005A3215" w:rsidRPr="005E6E4A">
              <w:rPr>
                <w:rFonts w:ascii="Times New Roman" w:hAnsi="Times New Roman" w:cs="Times New Roman"/>
                <w:sz w:val="24"/>
                <w:szCs w:val="24"/>
                <w:lang w:val="ro-RO"/>
              </w:rPr>
              <w:t xml:space="preserve"> l</w:t>
            </w:r>
            <w:r w:rsidR="005A3215" w:rsidRPr="00CD4F05">
              <w:rPr>
                <w:rFonts w:ascii="Times New Roman" w:hAnsi="Times New Roman" w:cs="Times New Roman"/>
                <w:sz w:val="24"/>
                <w:szCs w:val="24"/>
                <w:lang w:val="ro-RO"/>
              </w:rPr>
              <w:t>a organismele de evaluare a conformităţii.</w:t>
            </w:r>
          </w:p>
        </w:tc>
      </w:tr>
      <w:tr w:rsidR="001E2EB4" w:rsidRPr="000240B9" w:rsidTr="00CD4F05">
        <w:tc>
          <w:tcPr>
            <w:tcW w:w="425" w:type="dxa"/>
            <w:vMerge/>
          </w:tcPr>
          <w:p w:rsidR="001E2EB4" w:rsidRPr="00CD4F05" w:rsidRDefault="001E2EB4"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1E2EB4" w:rsidRPr="00CD4F05" w:rsidRDefault="001E2EB4" w:rsidP="00C02294">
            <w:pPr>
              <w:jc w:val="center"/>
              <w:rPr>
                <w:rFonts w:ascii="Times New Roman" w:hAnsi="Times New Roman" w:cs="Times New Roman"/>
                <w:sz w:val="24"/>
                <w:szCs w:val="24"/>
                <w:lang w:val="ro-RO"/>
              </w:rPr>
            </w:pPr>
          </w:p>
        </w:tc>
        <w:tc>
          <w:tcPr>
            <w:tcW w:w="1276" w:type="dxa"/>
            <w:vMerge/>
          </w:tcPr>
          <w:p w:rsidR="001E2EB4" w:rsidRPr="00CD4F05" w:rsidRDefault="001E2EB4" w:rsidP="00C02294">
            <w:pPr>
              <w:jc w:val="center"/>
              <w:rPr>
                <w:rFonts w:ascii="Times New Roman" w:hAnsi="Times New Roman" w:cs="Times New Roman"/>
                <w:sz w:val="24"/>
                <w:szCs w:val="24"/>
                <w:lang w:val="ro-RO"/>
              </w:rPr>
            </w:pPr>
          </w:p>
        </w:tc>
        <w:tc>
          <w:tcPr>
            <w:tcW w:w="7196" w:type="dxa"/>
          </w:tcPr>
          <w:p w:rsidR="001E2EB4" w:rsidRPr="00CD4F05" w:rsidRDefault="001E2EB4" w:rsidP="000C36A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3.3 În textul documentului este prematur de a face referinţă la legea privind supravegherea pieţei, deoarece la moment proiectul legii se examinează în comisiile Parlamentului.</w:t>
            </w:r>
          </w:p>
        </w:tc>
        <w:tc>
          <w:tcPr>
            <w:tcW w:w="5246" w:type="dxa"/>
          </w:tcPr>
          <w:p w:rsidR="00006B74" w:rsidRPr="00CD4F05" w:rsidRDefault="001E2EB4"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Nu se acceptă</w:t>
            </w:r>
            <w:r w:rsidR="00006B74" w:rsidRPr="00CD4F05">
              <w:rPr>
                <w:rFonts w:ascii="Times New Roman" w:hAnsi="Times New Roman" w:cs="Times New Roman"/>
                <w:b/>
                <w:sz w:val="24"/>
                <w:szCs w:val="24"/>
                <w:lang w:val="ro-RO"/>
              </w:rPr>
              <w:t xml:space="preserve">, </w:t>
            </w:r>
          </w:p>
          <w:p w:rsidR="001E2EB4" w:rsidRPr="00CD4F05" w:rsidRDefault="003962E2" w:rsidP="005E6E4A">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e</w:t>
            </w:r>
            <w:r w:rsidR="00006B74" w:rsidRPr="00CD4F05">
              <w:rPr>
                <w:rFonts w:ascii="Times New Roman" w:hAnsi="Times New Roman" w:cs="Times New Roman"/>
                <w:sz w:val="24"/>
                <w:szCs w:val="24"/>
                <w:lang w:val="ro-RO"/>
              </w:rPr>
              <w:t xml:space="preserve">xista practica referinţei la lege fără a menţiona număr şi data emiterii acesteia. Proiectul Legii </w:t>
            </w:r>
            <w:r w:rsidRPr="00CD4F05">
              <w:rPr>
                <w:rFonts w:ascii="Times New Roman" w:hAnsi="Times New Roman" w:cs="Times New Roman"/>
                <w:sz w:val="24"/>
                <w:szCs w:val="24"/>
                <w:lang w:val="ro-RO"/>
              </w:rPr>
              <w:t xml:space="preserve">privind </w:t>
            </w:r>
            <w:r w:rsidR="00006B74" w:rsidRPr="00CD4F05">
              <w:rPr>
                <w:rFonts w:ascii="Times New Roman" w:hAnsi="Times New Roman" w:cs="Times New Roman"/>
                <w:sz w:val="24"/>
                <w:szCs w:val="24"/>
                <w:lang w:val="ro-RO"/>
              </w:rPr>
              <w:t>supravegheri</w:t>
            </w:r>
            <w:r w:rsidRPr="00CD4F05">
              <w:rPr>
                <w:rFonts w:ascii="Times New Roman" w:hAnsi="Times New Roman" w:cs="Times New Roman"/>
                <w:sz w:val="24"/>
                <w:szCs w:val="24"/>
                <w:lang w:val="ro-RO"/>
              </w:rPr>
              <w:t>i pieţei</w:t>
            </w:r>
            <w:r w:rsidR="00006B74" w:rsidRPr="00CD4F05">
              <w:rPr>
                <w:rFonts w:ascii="Times New Roman" w:hAnsi="Times New Roman" w:cs="Times New Roman"/>
                <w:sz w:val="24"/>
                <w:szCs w:val="24"/>
                <w:lang w:val="ro-RO"/>
              </w:rPr>
              <w:t xml:space="preserve"> </w:t>
            </w:r>
            <w:r w:rsidR="00006B74" w:rsidRPr="005E6E4A">
              <w:rPr>
                <w:rFonts w:ascii="Times New Roman" w:hAnsi="Times New Roman" w:cs="Times New Roman"/>
                <w:sz w:val="24"/>
                <w:szCs w:val="24"/>
                <w:lang w:val="ro-RO"/>
              </w:rPr>
              <w:t xml:space="preserve">este </w:t>
            </w:r>
            <w:r w:rsidR="004B2F5B" w:rsidRPr="005E6E4A">
              <w:rPr>
                <w:rFonts w:ascii="Times New Roman" w:hAnsi="Times New Roman" w:cs="Times New Roman"/>
                <w:sz w:val="24"/>
                <w:szCs w:val="24"/>
                <w:lang w:val="ro-RO"/>
              </w:rPr>
              <w:t>supus dezbaterilor</w:t>
            </w:r>
            <w:r w:rsidR="004B2F5B" w:rsidRPr="004B2F5B">
              <w:rPr>
                <w:rFonts w:ascii="Times New Roman" w:hAnsi="Times New Roman" w:cs="Times New Roman"/>
                <w:sz w:val="24"/>
                <w:szCs w:val="24"/>
                <w:lang w:val="ro-RO"/>
              </w:rPr>
              <w:t xml:space="preserve"> </w:t>
            </w:r>
            <w:r w:rsidR="00006B74" w:rsidRPr="00CD4F05">
              <w:rPr>
                <w:rFonts w:ascii="Times New Roman" w:hAnsi="Times New Roman" w:cs="Times New Roman"/>
                <w:sz w:val="24"/>
                <w:szCs w:val="24"/>
                <w:lang w:val="ro-RO"/>
              </w:rPr>
              <w:t xml:space="preserve"> în toate comisiile parlamentare şi urmează a fi adoptat în următoarea sesiune</w:t>
            </w:r>
          </w:p>
        </w:tc>
      </w:tr>
      <w:tr w:rsidR="001E2EB4" w:rsidRPr="00CD4F05" w:rsidTr="00CD4F05">
        <w:tc>
          <w:tcPr>
            <w:tcW w:w="425" w:type="dxa"/>
            <w:vMerge/>
          </w:tcPr>
          <w:p w:rsidR="001E2EB4" w:rsidRPr="00CD4F05" w:rsidRDefault="001E2EB4"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1E2EB4" w:rsidRPr="00CD4F05" w:rsidRDefault="001E2EB4" w:rsidP="00C02294">
            <w:pPr>
              <w:jc w:val="center"/>
              <w:rPr>
                <w:rFonts w:ascii="Times New Roman" w:hAnsi="Times New Roman" w:cs="Times New Roman"/>
                <w:sz w:val="24"/>
                <w:szCs w:val="24"/>
                <w:lang w:val="ro-RO"/>
              </w:rPr>
            </w:pPr>
          </w:p>
        </w:tc>
        <w:tc>
          <w:tcPr>
            <w:tcW w:w="1276" w:type="dxa"/>
            <w:vMerge/>
          </w:tcPr>
          <w:p w:rsidR="001E2EB4" w:rsidRPr="00CD4F05" w:rsidRDefault="001E2EB4" w:rsidP="00C02294">
            <w:pPr>
              <w:jc w:val="center"/>
              <w:rPr>
                <w:rFonts w:ascii="Times New Roman" w:hAnsi="Times New Roman" w:cs="Times New Roman"/>
                <w:sz w:val="24"/>
                <w:szCs w:val="24"/>
                <w:lang w:val="ro-RO"/>
              </w:rPr>
            </w:pPr>
          </w:p>
        </w:tc>
        <w:tc>
          <w:tcPr>
            <w:tcW w:w="7196" w:type="dxa"/>
          </w:tcPr>
          <w:p w:rsidR="001E2EB4" w:rsidRPr="00CD4F05" w:rsidRDefault="001E2EB4" w:rsidP="00C022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3.4  În tot textul documentului de substituit sintagma ,,RM” cu sintagma ,,Republica Moldova”.</w:t>
            </w:r>
          </w:p>
        </w:tc>
        <w:tc>
          <w:tcPr>
            <w:tcW w:w="5246" w:type="dxa"/>
          </w:tcPr>
          <w:p w:rsidR="001E2EB4" w:rsidRPr="00CD4F05" w:rsidRDefault="001E2EB4"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CE057D" w:rsidRPr="000240B9" w:rsidTr="00CD4F05">
        <w:tc>
          <w:tcPr>
            <w:tcW w:w="425" w:type="dxa"/>
            <w:vMerge w:val="restart"/>
          </w:tcPr>
          <w:p w:rsidR="00CE057D" w:rsidRPr="00CD4F05" w:rsidRDefault="00CE057D"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val="restart"/>
          </w:tcPr>
          <w:p w:rsidR="00CE057D" w:rsidRPr="00CD4F05" w:rsidRDefault="00CE057D"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Ministerul Afacerilor Interne</w:t>
            </w:r>
          </w:p>
        </w:tc>
        <w:tc>
          <w:tcPr>
            <w:tcW w:w="1276" w:type="dxa"/>
            <w:vMerge w:val="restart"/>
          </w:tcPr>
          <w:p w:rsidR="00CE057D" w:rsidRPr="00CD4F05" w:rsidRDefault="00062D30"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Nr. </w:t>
            </w:r>
            <w:r w:rsidR="00CE057D" w:rsidRPr="00CD4F05">
              <w:rPr>
                <w:rFonts w:ascii="Times New Roman" w:hAnsi="Times New Roman" w:cs="Times New Roman"/>
                <w:sz w:val="24"/>
                <w:szCs w:val="24"/>
                <w:lang w:val="ro-RO"/>
              </w:rPr>
              <w:t>22/2203 din 20.10.2014</w:t>
            </w:r>
          </w:p>
        </w:tc>
        <w:tc>
          <w:tcPr>
            <w:tcW w:w="7196" w:type="dxa"/>
          </w:tcPr>
          <w:p w:rsidR="00CE057D" w:rsidRPr="00CD4F05" w:rsidRDefault="00CE057D" w:rsidP="002F55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La proiectul hotărîrii Guvernului:</w:t>
            </w:r>
          </w:p>
          <w:p w:rsidR="00CE057D" w:rsidRPr="00CD4F05" w:rsidRDefault="00CE057D" w:rsidP="002F55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Se va revedea clauza de emitere a proiectului hotărîrii Guvernului, avînd în vedere că art. 18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pozi</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ia 6 din anexa nr. 3 la Legea nr. 235 din 1 decembrie 2011 privind activită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 xml:space="preserve">ile de acreditare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de evaluare a conformită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stabile</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te evaluarea conformită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cu titlu obligatoriu pentru ma</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inile industriale. Or, reglementarea tehnică aplicabilă ma</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inilor industriale este aprobată prin Hotărîrea Guvernului nr. 130 din 21 februarie 2014 ”Cu privire la aprobarea Reglementării tehnice ”Ma</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ini industri</w:t>
            </w:r>
            <w:r w:rsidR="000D7CF0" w:rsidRPr="00CD4F05">
              <w:rPr>
                <w:rFonts w:ascii="Times New Roman" w:hAnsi="Times New Roman" w:cs="Times New Roman"/>
                <w:sz w:val="24"/>
                <w:szCs w:val="24"/>
                <w:lang w:val="ro-RO"/>
              </w:rPr>
              <w:t>a</w:t>
            </w:r>
            <w:r w:rsidRPr="00CD4F05">
              <w:rPr>
                <w:rFonts w:ascii="Times New Roman" w:hAnsi="Times New Roman" w:cs="Times New Roman"/>
                <w:sz w:val="24"/>
                <w:szCs w:val="24"/>
                <w:lang w:val="ro-RO"/>
              </w:rPr>
              <w:t>le”, în timp ce titlul proiectului hotărîrii Guvernului se referă la aprobarea Reglementării tehnice privind punerea la dispozi</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ie pe pia</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ă a mijloacelor de măsurare. Prin urmare, clauza de emitere a actului normativ va conţine trimiterea propriu-zisă din lege care acordă Guvernului competen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a de a aproba Reglementarea tehnică respectivă.</w:t>
            </w:r>
          </w:p>
          <w:p w:rsidR="00CE057D" w:rsidRPr="00CD4F05" w:rsidRDefault="00CE057D" w:rsidP="002F55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Astfel, în clauza de emitere a actului normativ se va face trimitere la art. 8 alin. (2) sau (21) din Legea nr. 420-XVI din 22 decembrie 2006 privind activitatea de reglementare tehnică, potrivit căruia reglementările tehnice care conţin proceduri de evaluare a conformităţii se adoptă de Guvern. Obligativitatea evaluării conformităţii produselor, precum şi cerinţele care trebuie verificate în procesul evaluării conformităţii produselor din domeniul reglementat se stabilesc în reglementări tehnice aprobate prin legi sau hotărîri de Guvern.</w:t>
            </w:r>
          </w:p>
          <w:p w:rsidR="00CE057D" w:rsidRPr="00CD4F05" w:rsidRDefault="00CE057D" w:rsidP="00333D25">
            <w:pPr>
              <w:jc w:val="both"/>
              <w:rPr>
                <w:rFonts w:ascii="Times New Roman" w:hAnsi="Times New Roman" w:cs="Times New Roman"/>
                <w:sz w:val="24"/>
                <w:szCs w:val="24"/>
                <w:lang w:val="ro-RO"/>
              </w:rPr>
            </w:pPr>
          </w:p>
        </w:tc>
        <w:tc>
          <w:tcPr>
            <w:tcW w:w="5246" w:type="dxa"/>
          </w:tcPr>
          <w:p w:rsidR="00004328" w:rsidRPr="00CD4F05" w:rsidRDefault="00333D2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 parţial</w:t>
            </w:r>
            <w:r w:rsidR="003962E2" w:rsidRPr="00CD4F05">
              <w:rPr>
                <w:rFonts w:ascii="Times New Roman" w:hAnsi="Times New Roman" w:cs="Times New Roman"/>
                <w:b/>
                <w:sz w:val="24"/>
                <w:szCs w:val="24"/>
                <w:lang w:val="ro-RO"/>
              </w:rPr>
              <w:t>,</w:t>
            </w:r>
          </w:p>
          <w:p w:rsidR="00333D25" w:rsidRPr="00CD4F05" w:rsidRDefault="00333D25" w:rsidP="005E6E4A">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Legea nr. 420-XVI din 22 decembrie 2006 privind activitatea de </w:t>
            </w:r>
            <w:r w:rsidRPr="005E6E4A">
              <w:rPr>
                <w:rFonts w:ascii="Times New Roman" w:hAnsi="Times New Roman" w:cs="Times New Roman"/>
                <w:sz w:val="24"/>
                <w:szCs w:val="24"/>
                <w:lang w:val="ro-RO"/>
              </w:rPr>
              <w:t xml:space="preserve">reglementare tehnică reprezintă cadrul general, </w:t>
            </w:r>
            <w:r w:rsidR="004B2F5B" w:rsidRPr="005E6E4A">
              <w:rPr>
                <w:rFonts w:ascii="Times New Roman" w:hAnsi="Times New Roman" w:cs="Times New Roman"/>
                <w:sz w:val="24"/>
                <w:szCs w:val="24"/>
                <w:lang w:val="ro-RO"/>
              </w:rPr>
              <w:t xml:space="preserve">iar </w:t>
            </w:r>
            <w:r w:rsidRPr="005E6E4A">
              <w:rPr>
                <w:rFonts w:ascii="Times New Roman" w:hAnsi="Times New Roman" w:cs="Times New Roman"/>
                <w:sz w:val="24"/>
                <w:szCs w:val="24"/>
                <w:lang w:val="ro-RO"/>
              </w:rPr>
              <w:t>prevederi</w:t>
            </w:r>
            <w:r w:rsidR="004B2F5B" w:rsidRPr="005E6E4A">
              <w:rPr>
                <w:rFonts w:ascii="Times New Roman" w:hAnsi="Times New Roman" w:cs="Times New Roman"/>
                <w:sz w:val="24"/>
                <w:szCs w:val="24"/>
                <w:lang w:val="ro-RO"/>
              </w:rPr>
              <w:t>le</w:t>
            </w:r>
            <w:r w:rsidRPr="005E6E4A">
              <w:rPr>
                <w:rFonts w:ascii="Times New Roman" w:hAnsi="Times New Roman" w:cs="Times New Roman"/>
                <w:sz w:val="24"/>
                <w:szCs w:val="24"/>
                <w:lang w:val="ro-RO"/>
              </w:rPr>
              <w:t xml:space="preserve"> privind faptul că mijloace de măsurare prezintă domeniul reglementat </w:t>
            </w:r>
            <w:proofErr w:type="spellStart"/>
            <w:r w:rsidR="004B2F5B" w:rsidRPr="005E6E4A">
              <w:rPr>
                <w:rFonts w:ascii="Times New Roman" w:hAnsi="Times New Roman" w:cs="Times New Roman"/>
                <w:sz w:val="24"/>
                <w:szCs w:val="24"/>
                <w:lang w:val="ro-RO"/>
              </w:rPr>
              <w:t>sînt</w:t>
            </w:r>
            <w:proofErr w:type="spellEnd"/>
            <w:r w:rsidR="004B2F5B" w:rsidRPr="005E6E4A">
              <w:rPr>
                <w:rFonts w:ascii="Times New Roman" w:hAnsi="Times New Roman" w:cs="Times New Roman"/>
                <w:sz w:val="24"/>
                <w:szCs w:val="24"/>
                <w:lang w:val="ro-RO"/>
              </w:rPr>
              <w:t xml:space="preserve"> </w:t>
            </w:r>
            <w:r w:rsidRPr="005E6E4A">
              <w:rPr>
                <w:rFonts w:ascii="Times New Roman" w:hAnsi="Times New Roman" w:cs="Times New Roman"/>
                <w:sz w:val="24"/>
                <w:szCs w:val="24"/>
                <w:lang w:val="ro-RO"/>
              </w:rPr>
              <w:t>stabilit</w:t>
            </w:r>
            <w:r w:rsidR="004B2F5B" w:rsidRPr="005E6E4A">
              <w:rPr>
                <w:rFonts w:ascii="Times New Roman" w:hAnsi="Times New Roman" w:cs="Times New Roman"/>
                <w:sz w:val="24"/>
                <w:szCs w:val="24"/>
                <w:lang w:val="ro-RO"/>
              </w:rPr>
              <w:t>e</w:t>
            </w:r>
            <w:r w:rsidRPr="005E6E4A">
              <w:rPr>
                <w:rFonts w:ascii="Times New Roman" w:hAnsi="Times New Roman" w:cs="Times New Roman"/>
                <w:sz w:val="24"/>
                <w:szCs w:val="24"/>
                <w:lang w:val="ro-RO"/>
              </w:rPr>
              <w:t xml:space="preserve"> în Legea nr. 235 din 01.12.2014</w:t>
            </w:r>
          </w:p>
        </w:tc>
      </w:tr>
      <w:tr w:rsidR="00004328" w:rsidRPr="00CD4F05" w:rsidTr="00CD4F05">
        <w:tc>
          <w:tcPr>
            <w:tcW w:w="425" w:type="dxa"/>
            <w:vMerge/>
          </w:tcPr>
          <w:p w:rsidR="00004328" w:rsidRPr="00CD4F05" w:rsidRDefault="00004328"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004328" w:rsidRPr="00CD4F05" w:rsidRDefault="00004328" w:rsidP="00C02294">
            <w:pPr>
              <w:jc w:val="center"/>
              <w:rPr>
                <w:rFonts w:ascii="Times New Roman" w:hAnsi="Times New Roman" w:cs="Times New Roman"/>
                <w:sz w:val="24"/>
                <w:szCs w:val="24"/>
                <w:lang w:val="ro-RO"/>
              </w:rPr>
            </w:pPr>
          </w:p>
        </w:tc>
        <w:tc>
          <w:tcPr>
            <w:tcW w:w="1276" w:type="dxa"/>
            <w:vMerge/>
          </w:tcPr>
          <w:p w:rsidR="00004328" w:rsidRPr="00CD4F05" w:rsidRDefault="00004328" w:rsidP="00C02294">
            <w:pPr>
              <w:jc w:val="center"/>
              <w:rPr>
                <w:rFonts w:ascii="Times New Roman" w:hAnsi="Times New Roman" w:cs="Times New Roman"/>
                <w:sz w:val="24"/>
                <w:szCs w:val="24"/>
                <w:lang w:val="ro-RO"/>
              </w:rPr>
            </w:pPr>
          </w:p>
        </w:tc>
        <w:tc>
          <w:tcPr>
            <w:tcW w:w="7196" w:type="dxa"/>
          </w:tcPr>
          <w:p w:rsidR="00333D25" w:rsidRPr="00CD4F05" w:rsidRDefault="00333D25" w:rsidP="00333D2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Structura pct. 5 se va revedea în conformitate cu prevederile art. 56 alin. (6) din Legea nr. 317-XV din 18 iulie 2003 privind actele normative ale </w:t>
            </w:r>
            <w:r w:rsidRPr="00CD4F05">
              <w:rPr>
                <w:rFonts w:ascii="Times New Roman" w:hAnsi="Times New Roman" w:cs="Times New Roman"/>
                <w:sz w:val="24"/>
                <w:szCs w:val="24"/>
                <w:lang w:val="ro-RO"/>
              </w:rPr>
              <w:lastRenderedPageBreak/>
              <w:t xml:space="preserve">Guvernului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ale altor autorită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 ale administra</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 xml:space="preserve">iei publice centrale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 xml:space="preserve">i locale, potrivit cărora punctele se divid în subpuncte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 xml:space="preserve">i alineate. Subpunctele se numerotează cu cifre arabe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 xml:space="preserve">i o </w:t>
            </w:r>
          </w:p>
          <w:p w:rsidR="00004328" w:rsidRPr="00CD4F05" w:rsidRDefault="00333D25" w:rsidP="00333D2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paranteză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 xml:space="preserve">i pot avea diviziuni numerotate cu litere latine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o paranteză.</w:t>
            </w:r>
          </w:p>
        </w:tc>
        <w:tc>
          <w:tcPr>
            <w:tcW w:w="5246" w:type="dxa"/>
          </w:tcPr>
          <w:p w:rsidR="00004328" w:rsidRPr="00CD4F05" w:rsidRDefault="00333D2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lastRenderedPageBreak/>
              <w:t>Se acceptă</w:t>
            </w:r>
          </w:p>
        </w:tc>
      </w:tr>
      <w:tr w:rsidR="00004328" w:rsidRPr="00CD4F05" w:rsidTr="00CD4F05">
        <w:tc>
          <w:tcPr>
            <w:tcW w:w="425" w:type="dxa"/>
            <w:vMerge/>
          </w:tcPr>
          <w:p w:rsidR="00004328" w:rsidRPr="00CD4F05" w:rsidRDefault="00004328"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004328" w:rsidRPr="00CD4F05" w:rsidRDefault="00004328" w:rsidP="00C02294">
            <w:pPr>
              <w:jc w:val="center"/>
              <w:rPr>
                <w:rFonts w:ascii="Times New Roman" w:hAnsi="Times New Roman" w:cs="Times New Roman"/>
                <w:sz w:val="24"/>
                <w:szCs w:val="24"/>
                <w:lang w:val="ro-RO"/>
              </w:rPr>
            </w:pPr>
          </w:p>
        </w:tc>
        <w:tc>
          <w:tcPr>
            <w:tcW w:w="1276" w:type="dxa"/>
            <w:vMerge/>
          </w:tcPr>
          <w:p w:rsidR="00004328" w:rsidRPr="00CD4F05" w:rsidRDefault="00004328" w:rsidP="00C02294">
            <w:pPr>
              <w:jc w:val="center"/>
              <w:rPr>
                <w:rFonts w:ascii="Times New Roman" w:hAnsi="Times New Roman" w:cs="Times New Roman"/>
                <w:sz w:val="24"/>
                <w:szCs w:val="24"/>
                <w:lang w:val="ro-RO"/>
              </w:rPr>
            </w:pPr>
          </w:p>
        </w:tc>
        <w:tc>
          <w:tcPr>
            <w:tcW w:w="7196" w:type="dxa"/>
          </w:tcPr>
          <w:p w:rsidR="00004328" w:rsidRPr="00CD4F05" w:rsidRDefault="00004328" w:rsidP="00004328">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La proiectul Reglementării tehnice privind punerea la dispozi</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ie pe pia</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ă a mijloacelor de măsurare:</w:t>
            </w:r>
          </w:p>
          <w:p w:rsidR="00004328" w:rsidRPr="00CD4F05" w:rsidRDefault="00004328" w:rsidP="00004328">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La pct. 1, se va revedea sintagma ”un producător stabilit pe teritoriul RM”, prin prisma prevederilor art. 60 alin. (1), 63 alin. (1)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 xml:space="preserve">i art. 67 alin. (1) din Codul civil, potrivit cărora capacitatea de folosinţă a persoanei juridice se dobîndeşte la data înregistrării de stat şi încetează la data radierii ei din registrul de stat. Persoana juridică se consideră constituită în momentul înregistrării ei de stat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are un sediu, indicat în actele de constituire. Respectiv, se va utiliza sintagma ”un producător înregistrat pe teritoriul Republicii Moldova”.</w:t>
            </w:r>
          </w:p>
        </w:tc>
        <w:tc>
          <w:tcPr>
            <w:tcW w:w="5246" w:type="dxa"/>
          </w:tcPr>
          <w:p w:rsidR="00004328" w:rsidRPr="00CD4F05" w:rsidRDefault="00781820"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004328" w:rsidRPr="00CD4F05" w:rsidTr="00CD4F05">
        <w:tc>
          <w:tcPr>
            <w:tcW w:w="425" w:type="dxa"/>
            <w:vMerge/>
          </w:tcPr>
          <w:p w:rsidR="00004328" w:rsidRPr="00CD4F05" w:rsidRDefault="00004328"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004328" w:rsidRPr="00CD4F05" w:rsidRDefault="00004328" w:rsidP="00C02294">
            <w:pPr>
              <w:jc w:val="center"/>
              <w:rPr>
                <w:rFonts w:ascii="Times New Roman" w:hAnsi="Times New Roman" w:cs="Times New Roman"/>
                <w:sz w:val="24"/>
                <w:szCs w:val="24"/>
                <w:lang w:val="ro-RO"/>
              </w:rPr>
            </w:pPr>
          </w:p>
        </w:tc>
        <w:tc>
          <w:tcPr>
            <w:tcW w:w="1276" w:type="dxa"/>
            <w:vMerge/>
          </w:tcPr>
          <w:p w:rsidR="00004328" w:rsidRPr="00CD4F05" w:rsidRDefault="00004328" w:rsidP="00C02294">
            <w:pPr>
              <w:jc w:val="center"/>
              <w:rPr>
                <w:rFonts w:ascii="Times New Roman" w:hAnsi="Times New Roman" w:cs="Times New Roman"/>
                <w:sz w:val="24"/>
                <w:szCs w:val="24"/>
                <w:lang w:val="ro-RO"/>
              </w:rPr>
            </w:pPr>
          </w:p>
        </w:tc>
        <w:tc>
          <w:tcPr>
            <w:tcW w:w="7196" w:type="dxa"/>
          </w:tcPr>
          <w:p w:rsidR="00004328" w:rsidRPr="00CD4F05" w:rsidRDefault="00004328" w:rsidP="002F55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La pct. 5, se va indica actul normativ prin care a fost aprobată ”Reglementarea tehnică ”Echipamente electronice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radioelectronice. Compatibilitatea electromagnetică. Cerin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e esen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iale””. Or, avînd în vedere prevederile art. 3 alin. (1) al Legii privind activitatea de reglementare tehnică nr. 420 din 22 decembrie 2006, în Republica Moldova, reglementări tehnice se consideră actele legislative şi hotărîrile Guvernului care conţin cerinţe faţă de produse şi servicii;  actele normative ale autorităţilor de reglementare de a căror competenţă  ţine stabilirea cerinţelor obligatorii faţă de produse şi servicii; reglementările sau prevederile administrative care fac referire la specificaţii tehnice, la alte cerinţe sau la coduri de bună practică care, la rîndul lor, fac referire la specificaţii tehnice sau la alte cerinţe a căror respectare conferă prezumţia de conformitate cu reglementările sau prevederile administrative; acordurile voluntare în care o autoritate publică este o parte contractantă şi care prevăd, în interes public, conformitatea cu specificaţiile tehnice şi cu alte cerinţe, cu excepţia specificaţiilor pentru licitaţii în cazul achiziţiilor publice.</w:t>
            </w:r>
          </w:p>
        </w:tc>
        <w:tc>
          <w:tcPr>
            <w:tcW w:w="5246" w:type="dxa"/>
          </w:tcPr>
          <w:p w:rsidR="00004328" w:rsidRPr="00CD4F05" w:rsidRDefault="00781820"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004328" w:rsidRPr="000240B9" w:rsidTr="00CD4F05">
        <w:tc>
          <w:tcPr>
            <w:tcW w:w="425" w:type="dxa"/>
            <w:vMerge/>
          </w:tcPr>
          <w:p w:rsidR="00004328" w:rsidRPr="00CD4F05" w:rsidRDefault="00004328"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004328" w:rsidRPr="00CD4F05" w:rsidRDefault="00004328" w:rsidP="00C02294">
            <w:pPr>
              <w:jc w:val="center"/>
              <w:rPr>
                <w:rFonts w:ascii="Times New Roman" w:hAnsi="Times New Roman" w:cs="Times New Roman"/>
                <w:sz w:val="24"/>
                <w:szCs w:val="24"/>
                <w:lang w:val="ro-RO"/>
              </w:rPr>
            </w:pPr>
          </w:p>
        </w:tc>
        <w:tc>
          <w:tcPr>
            <w:tcW w:w="1276" w:type="dxa"/>
            <w:vMerge/>
          </w:tcPr>
          <w:p w:rsidR="00004328" w:rsidRPr="00CD4F05" w:rsidRDefault="00004328" w:rsidP="00C02294">
            <w:pPr>
              <w:jc w:val="center"/>
              <w:rPr>
                <w:rFonts w:ascii="Times New Roman" w:hAnsi="Times New Roman" w:cs="Times New Roman"/>
                <w:sz w:val="24"/>
                <w:szCs w:val="24"/>
                <w:lang w:val="ro-RO"/>
              </w:rPr>
            </w:pPr>
          </w:p>
        </w:tc>
        <w:tc>
          <w:tcPr>
            <w:tcW w:w="7196" w:type="dxa"/>
          </w:tcPr>
          <w:p w:rsidR="00004328" w:rsidRPr="00CD4F05" w:rsidRDefault="00004328" w:rsidP="002F55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La pct. 7, în vederea asigurării cerin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ei de claritate prevederii legale care se inten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ionează a se expune, se consideră judicios ca sintagma ”de supraveghere a pie</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 xml:space="preserve">ei” să fie completată cu sintagma ”privind conformitatea cu cerinţele prescrise şi/sau declarate a produselor </w:t>
            </w:r>
            <w:r w:rsidRPr="00CD4F05">
              <w:rPr>
                <w:rFonts w:ascii="Times New Roman" w:hAnsi="Times New Roman" w:cs="Times New Roman"/>
                <w:sz w:val="24"/>
                <w:szCs w:val="24"/>
                <w:lang w:val="ro-RO"/>
              </w:rPr>
              <w:lastRenderedPageBreak/>
              <w:t>fabricate şi plasate pe piaţă şi a serviciilor prestate”, corespunzător prevederilor art. 16 alin. (1) al Legii nr. 420 din 22 decembrie 2006, potrivit cărora supravegherea pieţei privind conformitatea cu cerinţele prescrise şi/sau declarate a produselor fabricate şi plasate pe piaţă şi a serviciilor prestate se efectuează, în numele statului, de către Ministerul Economiei, prin intermediul Agenţiei pentru Protecţia Consumatorilor, şi alte organe centrale de specialitate ale administraţiei publice, în condiţiile legii.</w:t>
            </w:r>
          </w:p>
        </w:tc>
        <w:tc>
          <w:tcPr>
            <w:tcW w:w="5246" w:type="dxa"/>
          </w:tcPr>
          <w:p w:rsidR="00AC5818" w:rsidRPr="00CD4F05" w:rsidRDefault="00AC5818" w:rsidP="00AC5818">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lastRenderedPageBreak/>
              <w:t>Nu se acceptă</w:t>
            </w:r>
            <w:r w:rsidR="00B44C70" w:rsidRPr="00CD4F05">
              <w:rPr>
                <w:rFonts w:ascii="Times New Roman" w:hAnsi="Times New Roman" w:cs="Times New Roman"/>
                <w:b/>
                <w:sz w:val="24"/>
                <w:szCs w:val="24"/>
                <w:lang w:val="ro-RO"/>
              </w:rPr>
              <w:t>,</w:t>
            </w:r>
          </w:p>
          <w:p w:rsidR="00004328" w:rsidRPr="00CD4F05" w:rsidRDefault="00B44C70" w:rsidP="005E6E4A">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w:t>
            </w:r>
            <w:r w:rsidR="00AC5818" w:rsidRPr="00CD4F05">
              <w:rPr>
                <w:rFonts w:ascii="Times New Roman" w:hAnsi="Times New Roman" w:cs="Times New Roman"/>
                <w:sz w:val="24"/>
                <w:szCs w:val="24"/>
                <w:lang w:val="ro-RO"/>
              </w:rPr>
              <w:t xml:space="preserve">rin sintagma propusă Agenţia pentru Protecţia Consumatorilor este autoritatea desemnată de Guvern pentru supravegherea pieţei. Prin </w:t>
            </w:r>
            <w:r w:rsidR="00AC5818" w:rsidRPr="00CD4F05">
              <w:rPr>
                <w:rFonts w:ascii="Times New Roman" w:hAnsi="Times New Roman" w:cs="Times New Roman"/>
                <w:sz w:val="24"/>
                <w:szCs w:val="24"/>
                <w:lang w:val="ro-RO"/>
              </w:rPr>
              <w:lastRenderedPageBreak/>
              <w:t>promovarea proiectului de Lege privind supravegherea pieţei (actualmente este examinat de Parlament) şi respectiv modificarea unor acte legislative care merg în pachet cu proiectul nominalizat, Capitolul V, inclusiv art. 16</w:t>
            </w:r>
            <w:r w:rsidR="002C247A" w:rsidRPr="00CD4F05">
              <w:rPr>
                <w:rFonts w:ascii="Times New Roman" w:hAnsi="Times New Roman" w:cs="Times New Roman"/>
                <w:sz w:val="24"/>
                <w:szCs w:val="24"/>
                <w:lang w:val="ro-RO"/>
              </w:rPr>
              <w:t>,</w:t>
            </w:r>
            <w:r w:rsidR="00AC5818" w:rsidRPr="00CD4F05">
              <w:rPr>
                <w:rFonts w:ascii="Times New Roman" w:hAnsi="Times New Roman" w:cs="Times New Roman"/>
                <w:sz w:val="24"/>
                <w:szCs w:val="24"/>
                <w:lang w:val="ro-RO"/>
              </w:rPr>
              <w:t xml:space="preserve"> din Legea nr. 420-XVI din 22 decembrie 2007 se abrogă. </w:t>
            </w:r>
          </w:p>
        </w:tc>
      </w:tr>
      <w:tr w:rsidR="00004328" w:rsidRPr="000240B9" w:rsidTr="00CD4F05">
        <w:tc>
          <w:tcPr>
            <w:tcW w:w="425" w:type="dxa"/>
            <w:vMerge/>
          </w:tcPr>
          <w:p w:rsidR="00004328" w:rsidRPr="00CD4F05" w:rsidRDefault="00004328"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004328" w:rsidRPr="00CD4F05" w:rsidRDefault="00004328" w:rsidP="00C02294">
            <w:pPr>
              <w:jc w:val="center"/>
              <w:rPr>
                <w:rFonts w:ascii="Times New Roman" w:hAnsi="Times New Roman" w:cs="Times New Roman"/>
                <w:sz w:val="24"/>
                <w:szCs w:val="24"/>
                <w:lang w:val="ro-RO"/>
              </w:rPr>
            </w:pPr>
          </w:p>
        </w:tc>
        <w:tc>
          <w:tcPr>
            <w:tcW w:w="1276" w:type="dxa"/>
            <w:vMerge/>
          </w:tcPr>
          <w:p w:rsidR="00004328" w:rsidRPr="00CD4F05" w:rsidRDefault="00004328" w:rsidP="00C02294">
            <w:pPr>
              <w:jc w:val="center"/>
              <w:rPr>
                <w:rFonts w:ascii="Times New Roman" w:hAnsi="Times New Roman" w:cs="Times New Roman"/>
                <w:sz w:val="24"/>
                <w:szCs w:val="24"/>
                <w:lang w:val="ro-RO"/>
              </w:rPr>
            </w:pPr>
          </w:p>
        </w:tc>
        <w:tc>
          <w:tcPr>
            <w:tcW w:w="7196" w:type="dxa"/>
          </w:tcPr>
          <w:p w:rsidR="00004328" w:rsidRPr="00CD4F05" w:rsidRDefault="00004328" w:rsidP="002F55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La pct. 31, se va face trimitere la actul normativ prin care a fost aprobată Reglementarea tehnică privind compatibilitatea electromagnetică a echipamentelor,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anume Hotărîrea Guvernului nr. 95 din 4 februarie 2008 ”Cu privire la aprobarea Reglementării tehnice ”Compatibilitatea electromagnetică a echipamentelor””.</w:t>
            </w:r>
          </w:p>
        </w:tc>
        <w:tc>
          <w:tcPr>
            <w:tcW w:w="5246" w:type="dxa"/>
          </w:tcPr>
          <w:p w:rsidR="002C247A" w:rsidRPr="00CD4F05" w:rsidRDefault="002C247A"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 xml:space="preserve">Se acceptă, </w:t>
            </w:r>
          </w:p>
          <w:p w:rsidR="00004328" w:rsidRPr="00CD4F05" w:rsidRDefault="002C247A"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dar este transferat în pct. 5</w:t>
            </w:r>
          </w:p>
        </w:tc>
      </w:tr>
      <w:tr w:rsidR="00004328" w:rsidRPr="00CD4F05" w:rsidTr="00CD4F05">
        <w:tc>
          <w:tcPr>
            <w:tcW w:w="425" w:type="dxa"/>
            <w:vMerge/>
          </w:tcPr>
          <w:p w:rsidR="00004328" w:rsidRPr="00CD4F05" w:rsidRDefault="00004328"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004328" w:rsidRPr="00CD4F05" w:rsidRDefault="00004328" w:rsidP="00C02294">
            <w:pPr>
              <w:jc w:val="center"/>
              <w:rPr>
                <w:rFonts w:ascii="Times New Roman" w:hAnsi="Times New Roman" w:cs="Times New Roman"/>
                <w:sz w:val="24"/>
                <w:szCs w:val="24"/>
                <w:lang w:val="ro-RO"/>
              </w:rPr>
            </w:pPr>
          </w:p>
        </w:tc>
        <w:tc>
          <w:tcPr>
            <w:tcW w:w="1276" w:type="dxa"/>
            <w:vMerge/>
          </w:tcPr>
          <w:p w:rsidR="00004328" w:rsidRPr="00CD4F05" w:rsidRDefault="00004328" w:rsidP="00C02294">
            <w:pPr>
              <w:jc w:val="center"/>
              <w:rPr>
                <w:rFonts w:ascii="Times New Roman" w:hAnsi="Times New Roman" w:cs="Times New Roman"/>
                <w:sz w:val="24"/>
                <w:szCs w:val="24"/>
                <w:lang w:val="ro-RO"/>
              </w:rPr>
            </w:pPr>
          </w:p>
        </w:tc>
        <w:tc>
          <w:tcPr>
            <w:tcW w:w="7196" w:type="dxa"/>
          </w:tcPr>
          <w:p w:rsidR="00004328" w:rsidRPr="00CD4F05" w:rsidRDefault="00004328" w:rsidP="002F55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La pct. 32, expunerea noţiunii de „specifica</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ie tehnică” în conţinutul prezentei Reglementări tehnice, va constitui o dublare a aceleia</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noţiuni cuprinsă în Hotărîrea Guvernului nr. 49 din 15 ianuarie 2013 ”Cu privire la aprobarea Regulamentului privind procedurile de evaluare a conformită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produselor industriale din domeniul reglementat (module)”, care este expusă într-o redacţie similară. Or, potrivit redac</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 xml:space="preserve">iei prezentului punct, în sensul prezentei reglementări tehnice se utilizează terminologia definită în actele normative enumerate, inclusiv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 xml:space="preserve">i în Hotărîrea Guvernului nr. 49 din 15 ianuarie 2013, precum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 xml:space="preserve">i termenii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expresiile expuse nemijlocit în Reglementarea respectivă.</w:t>
            </w:r>
          </w:p>
        </w:tc>
        <w:tc>
          <w:tcPr>
            <w:tcW w:w="5246" w:type="dxa"/>
          </w:tcPr>
          <w:p w:rsidR="00004328" w:rsidRPr="00CD4F05" w:rsidRDefault="002C247A"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004328" w:rsidRPr="000240B9" w:rsidTr="00CD4F05">
        <w:tc>
          <w:tcPr>
            <w:tcW w:w="425" w:type="dxa"/>
            <w:vMerge/>
          </w:tcPr>
          <w:p w:rsidR="00004328" w:rsidRPr="00CD4F05" w:rsidRDefault="00004328"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004328" w:rsidRPr="00CD4F05" w:rsidRDefault="00004328" w:rsidP="00C02294">
            <w:pPr>
              <w:jc w:val="center"/>
              <w:rPr>
                <w:rFonts w:ascii="Times New Roman" w:hAnsi="Times New Roman" w:cs="Times New Roman"/>
                <w:sz w:val="24"/>
                <w:szCs w:val="24"/>
                <w:lang w:val="ro-RO"/>
              </w:rPr>
            </w:pPr>
          </w:p>
        </w:tc>
        <w:tc>
          <w:tcPr>
            <w:tcW w:w="1276" w:type="dxa"/>
            <w:vMerge/>
          </w:tcPr>
          <w:p w:rsidR="00004328" w:rsidRPr="00CD4F05" w:rsidRDefault="00004328" w:rsidP="00C02294">
            <w:pPr>
              <w:jc w:val="center"/>
              <w:rPr>
                <w:rFonts w:ascii="Times New Roman" w:hAnsi="Times New Roman" w:cs="Times New Roman"/>
                <w:sz w:val="24"/>
                <w:szCs w:val="24"/>
                <w:lang w:val="ro-RO"/>
              </w:rPr>
            </w:pPr>
          </w:p>
        </w:tc>
        <w:tc>
          <w:tcPr>
            <w:tcW w:w="7196" w:type="dxa"/>
          </w:tcPr>
          <w:p w:rsidR="00004328" w:rsidRPr="00CD4F05" w:rsidRDefault="00006B74" w:rsidP="002F559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Î</w:t>
            </w:r>
            <w:r w:rsidR="009449DD" w:rsidRPr="00CD4F05">
              <w:rPr>
                <w:rFonts w:ascii="Times New Roman" w:hAnsi="Times New Roman" w:cs="Times New Roman"/>
                <w:sz w:val="24"/>
                <w:szCs w:val="24"/>
                <w:lang w:val="ro-RO"/>
              </w:rPr>
              <w:t>n ceea ce prive</w:t>
            </w:r>
            <w:r w:rsidR="009449DD" w:rsidRPr="00CD4F05">
              <w:rPr>
                <w:rFonts w:ascii="Cambria Math" w:hAnsi="Cambria Math" w:cs="Cambria Math"/>
                <w:sz w:val="24"/>
                <w:szCs w:val="24"/>
                <w:lang w:val="ro-RO"/>
              </w:rPr>
              <w:t>ș</w:t>
            </w:r>
            <w:r w:rsidR="009449DD" w:rsidRPr="00CD4F05">
              <w:rPr>
                <w:rFonts w:ascii="Times New Roman" w:hAnsi="Times New Roman" w:cs="Times New Roman"/>
                <w:sz w:val="24"/>
                <w:szCs w:val="24"/>
                <w:lang w:val="ro-RO"/>
              </w:rPr>
              <w:t>te prevederile pct. 54, potrivit cărora importatorii introduc pe pia</w:t>
            </w:r>
            <w:r w:rsidR="009449DD" w:rsidRPr="00CD4F05">
              <w:rPr>
                <w:rFonts w:ascii="Cambria Math" w:hAnsi="Cambria Math" w:cs="Cambria Math"/>
                <w:sz w:val="24"/>
                <w:szCs w:val="24"/>
                <w:lang w:val="ro-RO"/>
              </w:rPr>
              <w:t>ț</w:t>
            </w:r>
            <w:r w:rsidR="009449DD" w:rsidRPr="00CD4F05">
              <w:rPr>
                <w:rFonts w:ascii="Times New Roman" w:hAnsi="Times New Roman" w:cs="Times New Roman"/>
                <w:sz w:val="24"/>
                <w:szCs w:val="24"/>
                <w:lang w:val="ro-RO"/>
              </w:rPr>
              <w:t>ă numai mijloace de măsurare conforme, men</w:t>
            </w:r>
            <w:r w:rsidR="009449DD" w:rsidRPr="00CD4F05">
              <w:rPr>
                <w:rFonts w:ascii="Cambria Math" w:hAnsi="Cambria Math" w:cs="Cambria Math"/>
                <w:sz w:val="24"/>
                <w:szCs w:val="24"/>
                <w:lang w:val="ro-RO"/>
              </w:rPr>
              <w:t>ț</w:t>
            </w:r>
            <w:r w:rsidR="009449DD" w:rsidRPr="00CD4F05">
              <w:rPr>
                <w:rFonts w:ascii="Times New Roman" w:hAnsi="Times New Roman" w:cs="Times New Roman"/>
                <w:sz w:val="24"/>
                <w:szCs w:val="24"/>
                <w:lang w:val="ro-RO"/>
              </w:rPr>
              <w:t>ionăm că art. 28 alin. (2) al Legii nr. 235 din 1 decembrie 2011, stabile</w:t>
            </w:r>
            <w:r w:rsidR="009449DD" w:rsidRPr="00CD4F05">
              <w:rPr>
                <w:rFonts w:ascii="Cambria Math" w:hAnsi="Cambria Math" w:cs="Cambria Math"/>
                <w:sz w:val="24"/>
                <w:szCs w:val="24"/>
                <w:lang w:val="ro-RO"/>
              </w:rPr>
              <w:t>ș</w:t>
            </w:r>
            <w:r w:rsidR="009449DD" w:rsidRPr="00CD4F05">
              <w:rPr>
                <w:rFonts w:ascii="Times New Roman" w:hAnsi="Times New Roman" w:cs="Times New Roman"/>
                <w:sz w:val="24"/>
                <w:szCs w:val="24"/>
                <w:lang w:val="ro-RO"/>
              </w:rPr>
              <w:t>te drept condi</w:t>
            </w:r>
            <w:r w:rsidR="009449DD" w:rsidRPr="00CD4F05">
              <w:rPr>
                <w:rFonts w:ascii="Cambria Math" w:hAnsi="Cambria Math" w:cs="Cambria Math"/>
                <w:sz w:val="24"/>
                <w:szCs w:val="24"/>
                <w:lang w:val="ro-RO"/>
              </w:rPr>
              <w:t>ț</w:t>
            </w:r>
            <w:r w:rsidR="009449DD" w:rsidRPr="00CD4F05">
              <w:rPr>
                <w:rFonts w:ascii="Times New Roman" w:hAnsi="Times New Roman" w:cs="Times New Roman"/>
                <w:sz w:val="24"/>
                <w:szCs w:val="24"/>
                <w:lang w:val="ro-RO"/>
              </w:rPr>
              <w:t>ie unui importator, introducerea pe pia</w:t>
            </w:r>
            <w:r w:rsidR="009449DD" w:rsidRPr="00CD4F05">
              <w:rPr>
                <w:rFonts w:ascii="Cambria Math" w:hAnsi="Cambria Math" w:cs="Cambria Math"/>
                <w:sz w:val="24"/>
                <w:szCs w:val="24"/>
                <w:lang w:val="ro-RO"/>
              </w:rPr>
              <w:t>ț</w:t>
            </w:r>
            <w:r w:rsidR="009449DD" w:rsidRPr="00CD4F05">
              <w:rPr>
                <w:rFonts w:ascii="Times New Roman" w:hAnsi="Times New Roman" w:cs="Times New Roman"/>
                <w:sz w:val="24"/>
                <w:szCs w:val="24"/>
                <w:lang w:val="ro-RO"/>
              </w:rPr>
              <w:t>ă numai a produselor conforme cerin</w:t>
            </w:r>
            <w:r w:rsidR="009449DD" w:rsidRPr="00CD4F05">
              <w:rPr>
                <w:rFonts w:ascii="Cambria Math" w:hAnsi="Cambria Math" w:cs="Cambria Math"/>
                <w:sz w:val="24"/>
                <w:szCs w:val="24"/>
                <w:lang w:val="ro-RO"/>
              </w:rPr>
              <w:t>ț</w:t>
            </w:r>
            <w:r w:rsidR="009449DD" w:rsidRPr="00CD4F05">
              <w:rPr>
                <w:rFonts w:ascii="Times New Roman" w:hAnsi="Times New Roman" w:cs="Times New Roman"/>
                <w:sz w:val="24"/>
                <w:szCs w:val="24"/>
                <w:lang w:val="ro-RO"/>
              </w:rPr>
              <w:t>elor esen</w:t>
            </w:r>
            <w:r w:rsidR="009449DD" w:rsidRPr="00CD4F05">
              <w:rPr>
                <w:rFonts w:ascii="Cambria Math" w:hAnsi="Cambria Math" w:cs="Cambria Math"/>
                <w:sz w:val="24"/>
                <w:szCs w:val="24"/>
                <w:lang w:val="ro-RO"/>
              </w:rPr>
              <w:t>ț</w:t>
            </w:r>
            <w:r w:rsidR="009449DD" w:rsidRPr="00CD4F05">
              <w:rPr>
                <w:rFonts w:ascii="Times New Roman" w:hAnsi="Times New Roman" w:cs="Times New Roman"/>
                <w:sz w:val="24"/>
                <w:szCs w:val="24"/>
                <w:lang w:val="ro-RO"/>
              </w:rPr>
              <w:t>iale pe baza unei declara</w:t>
            </w:r>
            <w:r w:rsidR="009449DD" w:rsidRPr="00CD4F05">
              <w:rPr>
                <w:rFonts w:ascii="Cambria Math" w:hAnsi="Cambria Math" w:cs="Cambria Math"/>
                <w:sz w:val="24"/>
                <w:szCs w:val="24"/>
                <w:lang w:val="ro-RO"/>
              </w:rPr>
              <w:t>ț</w:t>
            </w:r>
            <w:r w:rsidR="009449DD" w:rsidRPr="00CD4F05">
              <w:rPr>
                <w:rFonts w:ascii="Times New Roman" w:hAnsi="Times New Roman" w:cs="Times New Roman"/>
                <w:sz w:val="24"/>
                <w:szCs w:val="24"/>
                <w:lang w:val="ro-RO"/>
              </w:rPr>
              <w:t>ii de conformitate, emisă pe propria responsabilitate în temeiul documenta</w:t>
            </w:r>
            <w:r w:rsidR="009449DD" w:rsidRPr="00CD4F05">
              <w:rPr>
                <w:rFonts w:ascii="Cambria Math" w:hAnsi="Cambria Math" w:cs="Cambria Math"/>
                <w:sz w:val="24"/>
                <w:szCs w:val="24"/>
                <w:lang w:val="ro-RO"/>
              </w:rPr>
              <w:t>ț</w:t>
            </w:r>
            <w:r w:rsidR="009449DD" w:rsidRPr="00CD4F05">
              <w:rPr>
                <w:rFonts w:ascii="Times New Roman" w:hAnsi="Times New Roman" w:cs="Times New Roman"/>
                <w:sz w:val="24"/>
                <w:szCs w:val="24"/>
                <w:lang w:val="ro-RO"/>
              </w:rPr>
              <w:t xml:space="preserve">iei tehnice a producătorului, tradusă în limba de stat </w:t>
            </w:r>
            <w:r w:rsidR="009449DD" w:rsidRPr="00CD4F05">
              <w:rPr>
                <w:rFonts w:ascii="Cambria Math" w:hAnsi="Cambria Math" w:cs="Cambria Math"/>
                <w:sz w:val="24"/>
                <w:szCs w:val="24"/>
                <w:lang w:val="ro-RO"/>
              </w:rPr>
              <w:t>ș</w:t>
            </w:r>
            <w:r w:rsidR="009449DD" w:rsidRPr="00CD4F05">
              <w:rPr>
                <w:rFonts w:ascii="Times New Roman" w:hAnsi="Times New Roman" w:cs="Times New Roman"/>
                <w:sz w:val="24"/>
                <w:szCs w:val="24"/>
                <w:lang w:val="ro-RO"/>
              </w:rPr>
              <w:t>i legalizată. Astfel, punctul 54 se va completa cu condi</w:t>
            </w:r>
            <w:r w:rsidR="009449DD" w:rsidRPr="00CD4F05">
              <w:rPr>
                <w:rFonts w:ascii="Cambria Math" w:hAnsi="Cambria Math" w:cs="Cambria Math"/>
                <w:sz w:val="24"/>
                <w:szCs w:val="24"/>
                <w:lang w:val="ro-RO"/>
              </w:rPr>
              <w:t>ț</w:t>
            </w:r>
            <w:r w:rsidR="009449DD" w:rsidRPr="00CD4F05">
              <w:rPr>
                <w:rFonts w:ascii="Times New Roman" w:hAnsi="Times New Roman" w:cs="Times New Roman"/>
                <w:sz w:val="24"/>
                <w:szCs w:val="24"/>
                <w:lang w:val="ro-RO"/>
              </w:rPr>
              <w:t>ia respectivă.</w:t>
            </w:r>
          </w:p>
        </w:tc>
        <w:tc>
          <w:tcPr>
            <w:tcW w:w="5246" w:type="dxa"/>
          </w:tcPr>
          <w:p w:rsidR="005A3215" w:rsidRPr="00CD4F05" w:rsidRDefault="00006B74" w:rsidP="005A3215">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Nu se acceptă</w:t>
            </w:r>
            <w:r w:rsidR="005A3215" w:rsidRPr="00CD4F05">
              <w:rPr>
                <w:rFonts w:ascii="Times New Roman" w:hAnsi="Times New Roman" w:cs="Times New Roman"/>
                <w:b/>
                <w:sz w:val="24"/>
                <w:szCs w:val="24"/>
                <w:lang w:val="ro-RO"/>
              </w:rPr>
              <w:t>,</w:t>
            </w:r>
          </w:p>
          <w:p w:rsidR="00004328" w:rsidRPr="00CD4F05" w:rsidRDefault="005A3215" w:rsidP="005E6E4A">
            <w:pPr>
              <w:jc w:val="both"/>
              <w:rPr>
                <w:rFonts w:ascii="Times New Roman" w:hAnsi="Times New Roman" w:cs="Times New Roman"/>
                <w:sz w:val="24"/>
                <w:szCs w:val="24"/>
                <w:lang w:val="ro-RO"/>
              </w:rPr>
            </w:pPr>
            <w:r w:rsidRPr="00CD4F05">
              <w:rPr>
                <w:rFonts w:ascii="Times New Roman" w:hAnsi="Times New Roman" w:cs="Times New Roman"/>
                <w:sz w:val="24"/>
                <w:szCs w:val="24"/>
                <w:lang w:val="en-US"/>
              </w:rPr>
              <w:t xml:space="preserve"> </w:t>
            </w:r>
            <w:r w:rsidR="00304A8D" w:rsidRPr="00CD4F05">
              <w:rPr>
                <w:rFonts w:ascii="Times New Roman" w:hAnsi="Times New Roman" w:cs="Times New Roman"/>
                <w:sz w:val="24"/>
                <w:szCs w:val="24"/>
                <w:lang w:val="ro-RO"/>
              </w:rPr>
              <w:t xml:space="preserve">conform Noului Cadru Legislativ European, </w:t>
            </w:r>
            <w:r w:rsidR="00C82F8F" w:rsidRPr="00CD4F05">
              <w:rPr>
                <w:rFonts w:ascii="Times New Roman" w:hAnsi="Times New Roman" w:cs="Times New Roman"/>
                <w:sz w:val="24"/>
                <w:szCs w:val="24"/>
                <w:lang w:val="ro-RO"/>
              </w:rPr>
              <w:t xml:space="preserve">care include </w:t>
            </w:r>
            <w:r w:rsidR="00304A8D" w:rsidRPr="00CD4F05">
              <w:rPr>
                <w:rFonts w:ascii="Times New Roman" w:hAnsi="Times New Roman" w:cs="Times New Roman"/>
                <w:sz w:val="24"/>
                <w:szCs w:val="24"/>
                <w:lang w:val="ro-RO"/>
              </w:rPr>
              <w:t xml:space="preserve">Regulamentul UE 765/2008, </w:t>
            </w:r>
            <w:r w:rsidRPr="00CD4F05">
              <w:rPr>
                <w:rFonts w:ascii="Times New Roman" w:hAnsi="Times New Roman" w:cs="Times New Roman"/>
                <w:sz w:val="24"/>
                <w:szCs w:val="24"/>
                <w:lang w:val="ro-RO"/>
              </w:rPr>
              <w:t xml:space="preserve">întocmirea documentaţiei tehnice, precum şi emiterea declaraţiei de conformitate este </w:t>
            </w:r>
            <w:r w:rsidR="00B44C70" w:rsidRPr="00CD4F05">
              <w:rPr>
                <w:rFonts w:ascii="Times New Roman" w:hAnsi="Times New Roman" w:cs="Times New Roman"/>
                <w:sz w:val="24"/>
                <w:szCs w:val="24"/>
                <w:lang w:val="ro-RO"/>
              </w:rPr>
              <w:t xml:space="preserve">atribuţia </w:t>
            </w:r>
            <w:r w:rsidR="003962E2" w:rsidRPr="00CD4F05">
              <w:rPr>
                <w:rFonts w:ascii="Times New Roman" w:hAnsi="Times New Roman" w:cs="Times New Roman"/>
                <w:sz w:val="24"/>
                <w:szCs w:val="24"/>
                <w:lang w:val="ro-RO"/>
              </w:rPr>
              <w:t>e</w:t>
            </w:r>
            <w:r w:rsidR="00B44C70" w:rsidRPr="00CD4F05">
              <w:rPr>
                <w:rFonts w:ascii="Times New Roman" w:hAnsi="Times New Roman" w:cs="Times New Roman"/>
                <w:sz w:val="24"/>
                <w:szCs w:val="24"/>
                <w:lang w:val="ro-RO"/>
              </w:rPr>
              <w:t>x</w:t>
            </w:r>
            <w:r w:rsidR="003962E2" w:rsidRPr="00CD4F05">
              <w:rPr>
                <w:rFonts w:ascii="Times New Roman" w:hAnsi="Times New Roman" w:cs="Times New Roman"/>
                <w:sz w:val="24"/>
                <w:szCs w:val="24"/>
                <w:lang w:val="ro-RO"/>
              </w:rPr>
              <w:t>clusivă</w:t>
            </w:r>
            <w:r w:rsidRPr="00CD4F05">
              <w:rPr>
                <w:rFonts w:ascii="Times New Roman" w:hAnsi="Times New Roman" w:cs="Times New Roman"/>
                <w:sz w:val="24"/>
                <w:szCs w:val="24"/>
                <w:lang w:val="ro-RO"/>
              </w:rPr>
              <w:t xml:space="preserve"> a producătorului, care nu se transmite </w:t>
            </w:r>
            <w:r w:rsidRPr="004B2F5B">
              <w:rPr>
                <w:rFonts w:ascii="Times New Roman" w:hAnsi="Times New Roman" w:cs="Times New Roman"/>
                <w:strike/>
                <w:sz w:val="24"/>
                <w:szCs w:val="24"/>
                <w:lang w:val="ro-RO"/>
              </w:rPr>
              <w:t xml:space="preserve"> </w:t>
            </w:r>
            <w:r w:rsidRPr="00CD4F05">
              <w:rPr>
                <w:rFonts w:ascii="Times New Roman" w:hAnsi="Times New Roman" w:cs="Times New Roman"/>
                <w:sz w:val="24"/>
                <w:szCs w:val="24"/>
                <w:lang w:val="ro-RO"/>
              </w:rPr>
              <w:t xml:space="preserve">reprezentantului autorizat prin mandatul său. Astfel, </w:t>
            </w:r>
            <w:r w:rsidR="003962E2" w:rsidRPr="00CD4F05">
              <w:rPr>
                <w:rFonts w:ascii="Times New Roman" w:hAnsi="Times New Roman" w:cs="Times New Roman"/>
                <w:sz w:val="24"/>
                <w:szCs w:val="24"/>
                <w:lang w:val="ro-RO"/>
              </w:rPr>
              <w:t>de către Ministerul Economiei</w:t>
            </w:r>
            <w:r w:rsidRPr="00CD4F05">
              <w:rPr>
                <w:rFonts w:ascii="Times New Roman" w:hAnsi="Times New Roman" w:cs="Times New Roman"/>
                <w:sz w:val="24"/>
                <w:szCs w:val="24"/>
                <w:lang w:val="ro-RO"/>
              </w:rPr>
              <w:t xml:space="preserve"> </w:t>
            </w:r>
            <w:r w:rsidR="00B44C70" w:rsidRPr="00CD4F05">
              <w:rPr>
                <w:rFonts w:ascii="Times New Roman" w:hAnsi="Times New Roman" w:cs="Times New Roman"/>
                <w:sz w:val="24"/>
                <w:szCs w:val="24"/>
                <w:lang w:val="ro-RO"/>
              </w:rPr>
              <w:t xml:space="preserve">este elaborat </w:t>
            </w:r>
            <w:r w:rsidRPr="00CD4F05">
              <w:rPr>
                <w:rFonts w:ascii="Times New Roman" w:hAnsi="Times New Roman" w:cs="Times New Roman"/>
                <w:sz w:val="24"/>
                <w:szCs w:val="24"/>
                <w:lang w:val="ro-RO"/>
              </w:rPr>
              <w:t xml:space="preserve">proiectul de modificare a Legii nr. 235 din 11.12.2011 care prevede </w:t>
            </w:r>
            <w:r w:rsidRPr="005E6E4A">
              <w:rPr>
                <w:rFonts w:ascii="Times New Roman" w:hAnsi="Times New Roman" w:cs="Times New Roman"/>
                <w:sz w:val="24"/>
                <w:szCs w:val="24"/>
                <w:lang w:val="ro-RO"/>
              </w:rPr>
              <w:t xml:space="preserve">excluderea prevederilor ce ţin de emiterea declaraţiei de conformitate de către </w:t>
            </w:r>
            <w:r w:rsidRPr="005E6E4A">
              <w:rPr>
                <w:rFonts w:ascii="Times New Roman" w:hAnsi="Times New Roman" w:cs="Times New Roman"/>
                <w:sz w:val="24"/>
                <w:szCs w:val="24"/>
                <w:lang w:val="ro-RO"/>
              </w:rPr>
              <w:lastRenderedPageBreak/>
              <w:t>importator şi înregistrarea acestei</w:t>
            </w:r>
            <w:r w:rsidR="004B2F5B" w:rsidRPr="005E6E4A">
              <w:rPr>
                <w:rFonts w:ascii="Times New Roman" w:hAnsi="Times New Roman" w:cs="Times New Roman"/>
                <w:sz w:val="24"/>
                <w:szCs w:val="24"/>
                <w:lang w:val="ro-RO"/>
              </w:rPr>
              <w:t>a</w:t>
            </w:r>
            <w:r w:rsidRPr="005E6E4A">
              <w:rPr>
                <w:rFonts w:ascii="Times New Roman" w:hAnsi="Times New Roman" w:cs="Times New Roman"/>
                <w:sz w:val="24"/>
                <w:szCs w:val="24"/>
                <w:lang w:val="ro-RO"/>
              </w:rPr>
              <w:t xml:space="preserve"> la organismele de evaluare a conformităţii. </w:t>
            </w:r>
            <w:r w:rsidR="000D7CF0" w:rsidRPr="005E6E4A">
              <w:rPr>
                <w:rFonts w:ascii="Times New Roman" w:hAnsi="Times New Roman" w:cs="Times New Roman"/>
                <w:sz w:val="24"/>
                <w:szCs w:val="24"/>
                <w:lang w:val="ro-RO"/>
              </w:rPr>
              <w:t>Importatorul, înainte de introducere a produselor pe piaţă trebuie să se asigure şi să  garante</w:t>
            </w:r>
            <w:r w:rsidR="004B2F5B" w:rsidRPr="005E6E4A">
              <w:rPr>
                <w:rFonts w:ascii="Times New Roman" w:hAnsi="Times New Roman" w:cs="Times New Roman"/>
                <w:sz w:val="24"/>
                <w:szCs w:val="24"/>
                <w:lang w:val="ro-RO"/>
              </w:rPr>
              <w:t>ze</w:t>
            </w:r>
            <w:r w:rsidR="000D7CF0" w:rsidRPr="005E6E4A">
              <w:rPr>
                <w:rFonts w:ascii="Times New Roman" w:hAnsi="Times New Roman" w:cs="Times New Roman"/>
                <w:sz w:val="24"/>
                <w:szCs w:val="24"/>
                <w:lang w:val="ro-RO"/>
              </w:rPr>
              <w:t xml:space="preserve"> că producătorul a întocmit documentaţia tehnică, că a aplicat</w:t>
            </w:r>
            <w:r w:rsidR="000D7CF0" w:rsidRPr="00CD4F05">
              <w:rPr>
                <w:rFonts w:ascii="Times New Roman" w:hAnsi="Times New Roman" w:cs="Times New Roman"/>
                <w:sz w:val="24"/>
                <w:szCs w:val="24"/>
                <w:lang w:val="ro-RO"/>
              </w:rPr>
              <w:t xml:space="preserve"> pe  mijlocul de măsurare marcajul CE şi marcajul metrologic suplimentar şi că mijlocul de măsurare este însoţit de o copie a declaraţiei UE de conformitate şi de documentele necesare, precum şi că producătorul a identificat tipul mijlocului de măsurare şi a afişat denumirea sa.</w:t>
            </w:r>
          </w:p>
        </w:tc>
      </w:tr>
      <w:tr w:rsidR="001B0644" w:rsidRPr="00CD4F05" w:rsidTr="00CD4F05">
        <w:trPr>
          <w:trHeight w:val="1125"/>
        </w:trPr>
        <w:tc>
          <w:tcPr>
            <w:tcW w:w="425" w:type="dxa"/>
            <w:vMerge/>
          </w:tcPr>
          <w:p w:rsidR="001B0644" w:rsidRPr="00CD4F05" w:rsidRDefault="001B0644"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1B0644" w:rsidRPr="00CD4F05" w:rsidRDefault="001B0644" w:rsidP="00C02294">
            <w:pPr>
              <w:jc w:val="center"/>
              <w:rPr>
                <w:rFonts w:ascii="Times New Roman" w:hAnsi="Times New Roman" w:cs="Times New Roman"/>
                <w:sz w:val="24"/>
                <w:szCs w:val="24"/>
                <w:lang w:val="ro-RO"/>
              </w:rPr>
            </w:pPr>
          </w:p>
        </w:tc>
        <w:tc>
          <w:tcPr>
            <w:tcW w:w="1276" w:type="dxa"/>
            <w:vMerge/>
          </w:tcPr>
          <w:p w:rsidR="001B0644" w:rsidRPr="00CD4F05" w:rsidRDefault="001B0644" w:rsidP="00C02294">
            <w:pPr>
              <w:jc w:val="center"/>
              <w:rPr>
                <w:rFonts w:ascii="Times New Roman" w:hAnsi="Times New Roman" w:cs="Times New Roman"/>
                <w:sz w:val="24"/>
                <w:szCs w:val="24"/>
                <w:lang w:val="ro-RO"/>
              </w:rPr>
            </w:pPr>
          </w:p>
        </w:tc>
        <w:tc>
          <w:tcPr>
            <w:tcW w:w="7196" w:type="dxa"/>
          </w:tcPr>
          <w:p w:rsidR="001B0644" w:rsidRPr="00CD4F05" w:rsidRDefault="001B0644" w:rsidP="009449DD">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La pct. 88, se vor specifica principiile generale la care este supus marcajul CE, întrucît Legea nr. 235 din 1 decembrie 2011 la care se face referire, nu con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 xml:space="preserve">ine careva prevederi în raport cu marcajul respectiv. </w:t>
            </w:r>
          </w:p>
          <w:p w:rsidR="001B0644" w:rsidRPr="00CD4F05" w:rsidRDefault="001B0644" w:rsidP="009449DD">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Mai mult, la pct. 89 se face trimitere la înăl</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imea marcajului CE, stabilit prin Legea nr. 235 din 1 decembrie 2011, însă în Legea prenotată nu se regăsesc astfel de prevederi. Or, Legea nr. 235 din 1 decembrie 2011 privind activită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 xml:space="preserve">ile de acreditare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de evaluare a conformită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stabile</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te în anexa nr. 2, descrierea Mărcii Na</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ionale de Acreditare ”MOLDAC”.</w:t>
            </w:r>
          </w:p>
        </w:tc>
        <w:tc>
          <w:tcPr>
            <w:tcW w:w="5246" w:type="dxa"/>
          </w:tcPr>
          <w:p w:rsidR="001B0644" w:rsidRPr="00CD4F05" w:rsidRDefault="001B0644" w:rsidP="00826018">
            <w:pPr>
              <w:jc w:val="center"/>
              <w:rPr>
                <w:rFonts w:ascii="Times New Roman" w:hAnsi="Times New Roman" w:cs="Times New Roman"/>
                <w:sz w:val="24"/>
                <w:szCs w:val="24"/>
                <w:lang w:val="ro-RO"/>
              </w:rPr>
            </w:pPr>
            <w:r w:rsidRPr="00CD4F05">
              <w:rPr>
                <w:rFonts w:ascii="Times New Roman" w:hAnsi="Times New Roman" w:cs="Times New Roman"/>
                <w:b/>
                <w:sz w:val="24"/>
                <w:szCs w:val="24"/>
                <w:lang w:val="ro-RO"/>
              </w:rPr>
              <w:t xml:space="preserve">Se acceptă </w:t>
            </w:r>
          </w:p>
          <w:p w:rsidR="001B0644" w:rsidRPr="00CD4F05" w:rsidRDefault="001B0644" w:rsidP="00C02294">
            <w:pPr>
              <w:jc w:val="center"/>
              <w:rPr>
                <w:rFonts w:ascii="Times New Roman" w:hAnsi="Times New Roman" w:cs="Times New Roman"/>
                <w:sz w:val="24"/>
                <w:szCs w:val="24"/>
                <w:lang w:val="ro-RO"/>
              </w:rPr>
            </w:pPr>
          </w:p>
        </w:tc>
      </w:tr>
      <w:tr w:rsidR="00CE057D" w:rsidRPr="00CD4F05" w:rsidTr="00CD4F05">
        <w:tc>
          <w:tcPr>
            <w:tcW w:w="425" w:type="dxa"/>
            <w:vMerge/>
          </w:tcPr>
          <w:p w:rsidR="00CE057D" w:rsidRPr="00CD4F05" w:rsidRDefault="00CE057D" w:rsidP="003B2B90">
            <w:pPr>
              <w:pStyle w:val="a4"/>
              <w:numPr>
                <w:ilvl w:val="0"/>
                <w:numId w:val="2"/>
              </w:numPr>
              <w:ind w:left="34" w:right="34" w:firstLine="0"/>
              <w:rPr>
                <w:rFonts w:ascii="Times New Roman" w:hAnsi="Times New Roman" w:cs="Times New Roman"/>
                <w:sz w:val="24"/>
                <w:szCs w:val="24"/>
                <w:lang w:val="ro-RO"/>
              </w:rPr>
            </w:pPr>
          </w:p>
        </w:tc>
        <w:tc>
          <w:tcPr>
            <w:tcW w:w="1592" w:type="dxa"/>
            <w:vMerge/>
          </w:tcPr>
          <w:p w:rsidR="00CE057D" w:rsidRPr="00CD4F05" w:rsidRDefault="00CE057D" w:rsidP="00C02294">
            <w:pPr>
              <w:jc w:val="center"/>
              <w:rPr>
                <w:rFonts w:ascii="Times New Roman" w:hAnsi="Times New Roman" w:cs="Times New Roman"/>
                <w:sz w:val="24"/>
                <w:szCs w:val="24"/>
                <w:lang w:val="ro-RO"/>
              </w:rPr>
            </w:pPr>
          </w:p>
        </w:tc>
        <w:tc>
          <w:tcPr>
            <w:tcW w:w="1276" w:type="dxa"/>
            <w:vMerge/>
          </w:tcPr>
          <w:p w:rsidR="00CE057D" w:rsidRPr="00CD4F05" w:rsidRDefault="00CE057D" w:rsidP="00C02294">
            <w:pPr>
              <w:jc w:val="center"/>
              <w:rPr>
                <w:rFonts w:ascii="Times New Roman" w:hAnsi="Times New Roman" w:cs="Times New Roman"/>
                <w:sz w:val="24"/>
                <w:szCs w:val="24"/>
                <w:lang w:val="ro-RO"/>
              </w:rPr>
            </w:pPr>
          </w:p>
        </w:tc>
        <w:tc>
          <w:tcPr>
            <w:tcW w:w="7196" w:type="dxa"/>
          </w:tcPr>
          <w:p w:rsidR="00CE057D" w:rsidRPr="00CD4F05" w:rsidRDefault="00CE057D" w:rsidP="00CE057D">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Potrivit prevederilor pct. 123, căile de atac împotriva deciziilor organismelor de evaluare a conformită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sunt stabilite în art. 348 din Codul Contraven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ional. În acest sens, se va revedea această prevedere, deoarece art. 348 din Codul contraven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ional identifică faptele care constituie contraven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în cazul încălcării regulilor de evaluare a conformită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implicit sanc</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iunile contraven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ionale aplicabile. Respectiv, în eventualitatea în care se are în vedere faptele care constituie contraven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pentru încălcarea regulilor de evaluare a conformită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pct. 123 se va expune după cum urmează: ”faptele care constituie contraven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pentru încălcarea regulilor de evaluare a conformită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sunt stabilite în art. 348 din Codul Contraven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ional.”. Or, în cazul în care se are în vedere modalitatea de contestare a deciziilor organismelor de evaluare a conformită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ii, este incorectă trimiterea la art. 348 din Codul Contraven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ional, respectiv fiind necesară reformularea pct. 123, în vederea asigurării cerin</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ei de claritate prevederii legale care se dore</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te a fi expusă.</w:t>
            </w:r>
          </w:p>
        </w:tc>
        <w:tc>
          <w:tcPr>
            <w:tcW w:w="5246" w:type="dxa"/>
          </w:tcPr>
          <w:p w:rsidR="00CE057D" w:rsidRPr="00CD4F05" w:rsidRDefault="00062D30"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9449DD" w:rsidRPr="000240B9" w:rsidTr="00CD4F05">
        <w:tc>
          <w:tcPr>
            <w:tcW w:w="425" w:type="dxa"/>
          </w:tcPr>
          <w:p w:rsidR="009449DD" w:rsidRPr="00CD4F05" w:rsidRDefault="00294FF4" w:rsidP="003751E8">
            <w:pPr>
              <w:pStyle w:val="a4"/>
              <w:tabs>
                <w:tab w:val="left" w:pos="34"/>
              </w:tabs>
              <w:ind w:left="34" w:right="-108"/>
              <w:rPr>
                <w:rFonts w:ascii="Times New Roman" w:hAnsi="Times New Roman" w:cs="Times New Roman"/>
                <w:sz w:val="24"/>
                <w:szCs w:val="24"/>
                <w:lang w:val="ro-RO"/>
              </w:rPr>
            </w:pPr>
            <w:r w:rsidRPr="00CD4F05">
              <w:rPr>
                <w:rFonts w:ascii="Times New Roman" w:hAnsi="Times New Roman" w:cs="Times New Roman"/>
                <w:sz w:val="24"/>
                <w:szCs w:val="24"/>
                <w:lang w:val="ro-RO"/>
              </w:rPr>
              <w:lastRenderedPageBreak/>
              <w:t>8</w:t>
            </w:r>
            <w:r w:rsidR="00031083" w:rsidRPr="00CD4F05">
              <w:rPr>
                <w:rFonts w:ascii="Times New Roman" w:hAnsi="Times New Roman" w:cs="Times New Roman"/>
                <w:sz w:val="24"/>
                <w:szCs w:val="24"/>
                <w:lang w:val="ro-RO"/>
              </w:rPr>
              <w:t>.</w:t>
            </w:r>
          </w:p>
        </w:tc>
        <w:tc>
          <w:tcPr>
            <w:tcW w:w="1592" w:type="dxa"/>
          </w:tcPr>
          <w:p w:rsidR="009449DD" w:rsidRPr="00CD4F05" w:rsidRDefault="00031083" w:rsidP="00031083">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Asociaţia Patronală Profesională în domeniul Metrologiei şi Calităţii Produselor</w:t>
            </w:r>
          </w:p>
        </w:tc>
        <w:tc>
          <w:tcPr>
            <w:tcW w:w="1276" w:type="dxa"/>
          </w:tcPr>
          <w:p w:rsidR="009449DD" w:rsidRPr="00CD4F05" w:rsidRDefault="00031083"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Nr. 09/14 din 27.10.2014</w:t>
            </w:r>
          </w:p>
        </w:tc>
        <w:tc>
          <w:tcPr>
            <w:tcW w:w="7196" w:type="dxa"/>
          </w:tcPr>
          <w:p w:rsidR="00031083" w:rsidRPr="00CD4F05" w:rsidRDefault="00031083" w:rsidP="00031083">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Mijloacele de măsurare legale (taximetrele electronice cu memorie fiscală) necesită efectuarea verificării metrologice iniţiale, periodice, după reparaţie în ansamblul cu autovehiculul TAXI, unde în urma efectuării verificărilor metrologice în partea verso a buletinului de verificare metrologică/buletinului de inutilizabilitate este necesar să fie indicate următoarele informaţii referitor la mijlocul de măsurare supus; verificării metrologice ca: nr. de înmatriculare a autovehiculul TAXI, caracteristicile roţilor motoare ale autovehiculului TAXI, constanta K a taximetrului (pentru fiecare autovehicul TAXI în parte în dependenţă de modelul autovehiculului, caracteristicile roţilor motoare, anul fabricării, cutia de viteză, etc.), sigiliul tip Super-Scut.</w:t>
            </w:r>
          </w:p>
          <w:p w:rsidR="009449DD" w:rsidRPr="00CD4F05" w:rsidRDefault="00031083" w:rsidP="00031083">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Astfel din cele menţionate mai sus, proiectul Hotărîrii Guvernului cu privire la aprobarea Reglementării tehnice privind punerea la dispoziţie pe piaţă a mijloacelor de măsurare parţial nu se poate răspîndi pentru taximetrele electronice cu memorie fiscală.</w:t>
            </w:r>
          </w:p>
        </w:tc>
        <w:tc>
          <w:tcPr>
            <w:tcW w:w="5246" w:type="dxa"/>
          </w:tcPr>
          <w:p w:rsidR="00261326" w:rsidRPr="005E6E4A" w:rsidRDefault="00B17806" w:rsidP="00C02294">
            <w:pPr>
              <w:jc w:val="center"/>
              <w:rPr>
                <w:rFonts w:ascii="Times New Roman" w:hAnsi="Times New Roman" w:cs="Times New Roman"/>
                <w:sz w:val="24"/>
                <w:szCs w:val="24"/>
                <w:lang w:val="en-US"/>
              </w:rPr>
            </w:pPr>
            <w:r w:rsidRPr="005E6E4A">
              <w:rPr>
                <w:rFonts w:ascii="Times New Roman" w:hAnsi="Times New Roman" w:cs="Times New Roman"/>
                <w:b/>
                <w:sz w:val="24"/>
                <w:szCs w:val="24"/>
                <w:lang w:val="ro-RO"/>
              </w:rPr>
              <w:t>Nu se acceptă</w:t>
            </w:r>
            <w:r w:rsidR="00261326" w:rsidRPr="005E6E4A">
              <w:rPr>
                <w:rFonts w:ascii="Times New Roman" w:hAnsi="Times New Roman" w:cs="Times New Roman"/>
                <w:b/>
                <w:sz w:val="24"/>
                <w:szCs w:val="24"/>
                <w:lang w:val="ro-RO"/>
              </w:rPr>
              <w:t>,</w:t>
            </w:r>
            <w:r w:rsidR="00261326" w:rsidRPr="005E6E4A">
              <w:rPr>
                <w:rFonts w:ascii="Times New Roman" w:hAnsi="Times New Roman" w:cs="Times New Roman"/>
                <w:sz w:val="24"/>
                <w:szCs w:val="24"/>
                <w:lang w:val="en-US"/>
              </w:rPr>
              <w:t xml:space="preserve"> </w:t>
            </w:r>
          </w:p>
          <w:p w:rsidR="001C5524" w:rsidRPr="005E6E4A" w:rsidRDefault="00261326" w:rsidP="005E6E4A">
            <w:pPr>
              <w:jc w:val="both"/>
              <w:rPr>
                <w:rFonts w:ascii="Times New Roman" w:hAnsi="Times New Roman" w:cs="Times New Roman"/>
                <w:b/>
                <w:sz w:val="24"/>
                <w:szCs w:val="24"/>
                <w:lang w:val="ro-RO"/>
              </w:rPr>
            </w:pPr>
            <w:proofErr w:type="spellStart"/>
            <w:r w:rsidRPr="005E6E4A">
              <w:rPr>
                <w:rFonts w:ascii="Times New Roman" w:hAnsi="Times New Roman" w:cs="Times New Roman"/>
                <w:sz w:val="24"/>
                <w:szCs w:val="24"/>
                <w:lang w:val="ro-RO"/>
              </w:rPr>
              <w:t>luînd</w:t>
            </w:r>
            <w:proofErr w:type="spellEnd"/>
            <w:r w:rsidRPr="005E6E4A">
              <w:rPr>
                <w:rFonts w:ascii="Times New Roman" w:hAnsi="Times New Roman" w:cs="Times New Roman"/>
                <w:sz w:val="24"/>
                <w:szCs w:val="24"/>
                <w:lang w:val="ro-RO"/>
              </w:rPr>
              <w:t xml:space="preserve"> în </w:t>
            </w:r>
            <w:r w:rsidR="00545EE7" w:rsidRPr="005E6E4A">
              <w:rPr>
                <w:rFonts w:ascii="Times New Roman" w:hAnsi="Times New Roman" w:cs="Times New Roman"/>
                <w:sz w:val="24"/>
                <w:szCs w:val="24"/>
                <w:lang w:val="ro-RO"/>
              </w:rPr>
              <w:t>considerare</w:t>
            </w:r>
            <w:r w:rsidRPr="005E6E4A">
              <w:rPr>
                <w:rFonts w:ascii="Times New Roman" w:hAnsi="Times New Roman" w:cs="Times New Roman"/>
                <w:sz w:val="24"/>
                <w:szCs w:val="24"/>
                <w:lang w:val="ro-RO"/>
              </w:rPr>
              <w:t xml:space="preserve"> faptul că mijloacele de măsurare (taximetrele), conform prezentei reglementări tehnice înainte de introducerea sau punerea la dispoziţie pe piaţă,  se supun procedurilor de evaluare a conformităţii corespunzătoare</w:t>
            </w:r>
            <w:r w:rsidR="00D433A5" w:rsidRPr="005E6E4A">
              <w:rPr>
                <w:rFonts w:ascii="Times New Roman" w:hAnsi="Times New Roman" w:cs="Times New Roman"/>
                <w:sz w:val="24"/>
                <w:szCs w:val="24"/>
                <w:lang w:val="ro-RO"/>
              </w:rPr>
              <w:t>,</w:t>
            </w:r>
            <w:r w:rsidRPr="005E6E4A">
              <w:rPr>
                <w:rFonts w:ascii="Times New Roman" w:hAnsi="Times New Roman" w:cs="Times New Roman"/>
                <w:sz w:val="24"/>
                <w:szCs w:val="24"/>
                <w:lang w:val="ro-RO"/>
              </w:rPr>
              <w:t xml:space="preserve"> care includ şi proceduri de verificare iniţială. Astfel, în scopul evitării dublării procedurii de verificare iniţială, este inoportun efectuarea acesteia. Ulterior, indiferent de termenul expus în „Lista Oficială a mijloacelor de măsurare supuse controlului metrologic legal”, peste un an, aceste mijloace de măsurare fac subiectul Legii metrologiei nr. 647-XII din 17 noiembrie 1995 şi vor fi obligatoriu supuse </w:t>
            </w:r>
            <w:r w:rsidR="005E6E4A" w:rsidRPr="005E6E4A">
              <w:rPr>
                <w:rFonts w:ascii="Times New Roman" w:hAnsi="Times New Roman" w:cs="Times New Roman"/>
                <w:sz w:val="24"/>
                <w:szCs w:val="24"/>
                <w:lang w:val="ro-RO"/>
              </w:rPr>
              <w:t>verificării metrologice</w:t>
            </w:r>
            <w:r w:rsidRPr="005E6E4A">
              <w:rPr>
                <w:rFonts w:ascii="Times New Roman" w:hAnsi="Times New Roman" w:cs="Times New Roman"/>
                <w:sz w:val="24"/>
                <w:szCs w:val="24"/>
                <w:lang w:val="ro-RO"/>
              </w:rPr>
              <w:t>.</w:t>
            </w:r>
            <w:r w:rsidR="001C5524" w:rsidRPr="005E6E4A">
              <w:rPr>
                <w:rFonts w:ascii="Times New Roman" w:hAnsi="Times New Roman" w:cs="Times New Roman"/>
                <w:sz w:val="24"/>
                <w:szCs w:val="24"/>
                <w:lang w:val="en-US"/>
              </w:rPr>
              <w:t xml:space="preserve"> </w:t>
            </w:r>
            <w:r w:rsidR="001C5524" w:rsidRPr="005E6E4A">
              <w:rPr>
                <w:rFonts w:ascii="Times New Roman" w:hAnsi="Times New Roman" w:cs="Times New Roman"/>
                <w:sz w:val="24"/>
                <w:szCs w:val="24"/>
                <w:lang w:val="ro-RO"/>
              </w:rPr>
              <w:t xml:space="preserve">Ca urmare, problema relatată referitoare la procedura tehnică de verificare </w:t>
            </w:r>
            <w:r w:rsidR="001C5524" w:rsidRPr="005E6E4A">
              <w:rPr>
                <w:rFonts w:ascii="Cambria Math" w:hAnsi="Cambria Math" w:cs="Cambria Math"/>
                <w:sz w:val="24"/>
                <w:szCs w:val="24"/>
                <w:lang w:val="ro-RO"/>
              </w:rPr>
              <w:t>ț</w:t>
            </w:r>
            <w:r w:rsidR="001C5524" w:rsidRPr="005E6E4A">
              <w:rPr>
                <w:rFonts w:ascii="Times New Roman" w:hAnsi="Times New Roman" w:cs="Times New Roman"/>
                <w:sz w:val="24"/>
                <w:szCs w:val="24"/>
                <w:lang w:val="ro-RO"/>
              </w:rPr>
              <w:t>ine de verificarea metrologică</w:t>
            </w:r>
            <w:r w:rsidR="00D433A5" w:rsidRPr="005E6E4A">
              <w:rPr>
                <w:rFonts w:ascii="Times New Roman" w:hAnsi="Times New Roman" w:cs="Times New Roman"/>
                <w:sz w:val="24"/>
                <w:szCs w:val="24"/>
                <w:lang w:val="ro-RO"/>
              </w:rPr>
              <w:t xml:space="preserve"> în exploatare</w:t>
            </w:r>
            <w:r w:rsidR="001C5524" w:rsidRPr="005E6E4A">
              <w:rPr>
                <w:rFonts w:ascii="Times New Roman" w:hAnsi="Times New Roman" w:cs="Times New Roman"/>
                <w:sz w:val="24"/>
                <w:szCs w:val="24"/>
                <w:lang w:val="ro-RO"/>
              </w:rPr>
              <w:t>.</w:t>
            </w:r>
          </w:p>
        </w:tc>
      </w:tr>
      <w:tr w:rsidR="00CD4F05" w:rsidRPr="000240B9" w:rsidTr="00CD4F05">
        <w:tc>
          <w:tcPr>
            <w:tcW w:w="425" w:type="dxa"/>
            <w:vMerge w:val="restart"/>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9. </w:t>
            </w:r>
          </w:p>
        </w:tc>
        <w:tc>
          <w:tcPr>
            <w:tcW w:w="1592" w:type="dxa"/>
            <w:vMerge w:val="restart"/>
          </w:tcPr>
          <w:p w:rsidR="00CD4F05" w:rsidRPr="00CD4F05" w:rsidRDefault="00CD4F05"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Institutul Naţional de Metrologie</w:t>
            </w:r>
          </w:p>
        </w:tc>
        <w:tc>
          <w:tcPr>
            <w:tcW w:w="1276" w:type="dxa"/>
            <w:vMerge w:val="restart"/>
          </w:tcPr>
          <w:p w:rsidR="00CD4F05" w:rsidRPr="00CD4F05" w:rsidRDefault="00CD4F05" w:rsidP="00D724EB">
            <w:pPr>
              <w:ind w:right="-75"/>
              <w:rPr>
                <w:rFonts w:ascii="Times New Roman" w:hAnsi="Times New Roman" w:cs="Times New Roman"/>
                <w:sz w:val="24"/>
                <w:szCs w:val="24"/>
                <w:lang w:val="ro-RO"/>
              </w:rPr>
            </w:pPr>
            <w:r w:rsidRPr="00CD4F05">
              <w:rPr>
                <w:rFonts w:ascii="Times New Roman" w:hAnsi="Times New Roman" w:cs="Times New Roman"/>
                <w:sz w:val="24"/>
                <w:szCs w:val="24"/>
                <w:lang w:val="ro-RO"/>
              </w:rPr>
              <w:t>Nr. 10-2/552 din 2014</w:t>
            </w:r>
          </w:p>
        </w:tc>
        <w:tc>
          <w:tcPr>
            <w:tcW w:w="7196" w:type="dxa"/>
          </w:tcPr>
          <w:p w:rsidR="00CD4F05" w:rsidRPr="00CD4F05" w:rsidRDefault="00CD4F05" w:rsidP="00D724EB">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I.</w:t>
            </w:r>
            <w:r w:rsidRPr="00CD4F05">
              <w:rPr>
                <w:rFonts w:ascii="Times New Roman" w:hAnsi="Times New Roman" w:cs="Times New Roman"/>
                <w:sz w:val="24"/>
                <w:szCs w:val="24"/>
                <w:lang w:val="ro-RO"/>
              </w:rPr>
              <w:tab/>
              <w:t xml:space="preserve">La proiectul Hotărîrii </w:t>
            </w:r>
          </w:p>
          <w:p w:rsidR="00CD4F05" w:rsidRPr="00CD4F05" w:rsidRDefault="00CD4F05" w:rsidP="00D724EB">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Pentru o perioadă limitată de timp (3-4 ani) propunem ca agenţii economici să poată efectua atît evaluarea conformităţii, cît şi aprobări de model a mijloacelor de măsurare la alegere. Aprobările de model vor fi necesare pentru recunoaşterea ulterioară a rezultatelor încercărilor conform acordurilor existente cu ţările CSI. De asemenea pe anumite domenii posibil să nu existe Organisme de evaluare a conformităţii. Din aceste considerente credem necesară, următoarea formulare a Art. 3 al Hotărîrii:</w:t>
            </w:r>
          </w:p>
          <w:p w:rsidR="00CD4F05" w:rsidRPr="00CD4F05" w:rsidRDefault="00CD4F05" w:rsidP="00B17806">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La cererea solicitanţilor, se admite punerea la dispoziţie pe piaţă a mijloacelor de măsurare care îndeplinesc prevederile reglementarilor de metrologie legala aplicabile acestora, şi după intrarea în vigoare a prezentei Hotărîri, pînă ia data aderării Republicii Moldova la UE.</w:t>
            </w:r>
          </w:p>
        </w:tc>
        <w:tc>
          <w:tcPr>
            <w:tcW w:w="524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 xml:space="preserve">Nu se acceptă, </w:t>
            </w:r>
          </w:p>
          <w:p w:rsidR="00CD4F05" w:rsidRPr="00CD4F05" w:rsidRDefault="00CD4F05" w:rsidP="00B44C70">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Conform angajamentelor asumate prin </w:t>
            </w:r>
            <w:r w:rsidRPr="00CD4F05">
              <w:rPr>
                <w:rFonts w:ascii="Times New Roman" w:hAnsi="Times New Roman" w:cs="Times New Roman"/>
                <w:b/>
                <w:sz w:val="24"/>
                <w:szCs w:val="24"/>
                <w:lang w:val="ro-RO"/>
              </w:rPr>
              <w:t>Acordul privind bariere tehnice în calea comerţului</w:t>
            </w:r>
            <w:r w:rsidRPr="00CD4F05">
              <w:rPr>
                <w:rFonts w:ascii="Times New Roman" w:hAnsi="Times New Roman" w:cs="Times New Roman"/>
                <w:sz w:val="24"/>
                <w:szCs w:val="24"/>
                <w:lang w:val="ro-RO"/>
              </w:rPr>
              <w:t xml:space="preserve"> (OMC) la care Republica Moldova este parte „Membrii vor asigura, în ceea ce priveşte reglementările tehnice, ca produselor importate din teritoriul oricărui Membru, să le fie acordate un tratament nu mai puţin favorabil decât acela acordat produselor similare de origine naţională şi produselor similare din oricare altă ţară.” Astfel, mijloacelor de măsurare ce fac subiectul prezentei reglementări tehnice, indiferent din ce ţară provin acestea, trebuie aplicate aceleaşi proceduri de evaluare a conformităţii, dar nu proceduri de aprobare de model.</w:t>
            </w:r>
          </w:p>
        </w:tc>
      </w:tr>
      <w:tr w:rsidR="00CD4F05" w:rsidRPr="00CD4F05" w:rsidTr="00CD4F05">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76" w:type="dxa"/>
            <w:vMerge/>
          </w:tcPr>
          <w:p w:rsidR="00CD4F05" w:rsidRPr="00CD4F05" w:rsidRDefault="00CD4F05" w:rsidP="00D724EB">
            <w:pPr>
              <w:ind w:right="-75"/>
              <w:rPr>
                <w:rFonts w:ascii="Times New Roman" w:hAnsi="Times New Roman" w:cs="Times New Roman"/>
                <w:sz w:val="24"/>
                <w:szCs w:val="24"/>
                <w:lang w:val="ro-RO"/>
              </w:rPr>
            </w:pPr>
          </w:p>
        </w:tc>
        <w:tc>
          <w:tcPr>
            <w:tcW w:w="7196" w:type="dxa"/>
          </w:tcPr>
          <w:p w:rsidR="00CD4F05" w:rsidRPr="00CD4F05" w:rsidRDefault="00CD4F05" w:rsidP="00B17806">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II.</w:t>
            </w:r>
            <w:r w:rsidRPr="00CD4F05">
              <w:rPr>
                <w:rFonts w:ascii="Times New Roman" w:hAnsi="Times New Roman" w:cs="Times New Roman"/>
                <w:sz w:val="24"/>
                <w:szCs w:val="24"/>
                <w:lang w:val="ro-RO"/>
              </w:rPr>
              <w:tab/>
              <w:t>La proiectul Reglementării.</w:t>
            </w:r>
          </w:p>
          <w:p w:rsidR="00CD4F05" w:rsidRPr="00CD4F05" w:rsidRDefault="00CD4F05" w:rsidP="00735E80">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1.</w:t>
            </w:r>
            <w:r w:rsidRPr="00CD4F05">
              <w:rPr>
                <w:rFonts w:ascii="Times New Roman" w:hAnsi="Times New Roman" w:cs="Times New Roman"/>
                <w:sz w:val="24"/>
                <w:szCs w:val="24"/>
                <w:lang w:val="ro-RO"/>
              </w:rPr>
              <w:tab/>
              <w:t xml:space="preserve">La Capit. I, Art. 2: ... importate dintr-o ţară terţă. Nu este clară </w:t>
            </w:r>
            <w:r w:rsidRPr="00CD4F05">
              <w:rPr>
                <w:rFonts w:ascii="Times New Roman" w:hAnsi="Times New Roman" w:cs="Times New Roman"/>
                <w:sz w:val="24"/>
                <w:szCs w:val="24"/>
                <w:lang w:val="ro-RO"/>
              </w:rPr>
              <w:lastRenderedPageBreak/>
              <w:t>noţiunea de "ţară terţii": este o ţară din UE sau din afara UE?.</w:t>
            </w:r>
            <w:r w:rsidRPr="00CD4F05">
              <w:rPr>
                <w:rFonts w:ascii="Times New Roman" w:hAnsi="Times New Roman" w:cs="Times New Roman"/>
                <w:sz w:val="24"/>
                <w:szCs w:val="24"/>
                <w:lang w:val="ro-RO"/>
              </w:rPr>
              <w:tab/>
            </w:r>
          </w:p>
        </w:tc>
        <w:tc>
          <w:tcPr>
            <w:tcW w:w="524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lastRenderedPageBreak/>
              <w:t xml:space="preserve">Se acceptă </w:t>
            </w:r>
          </w:p>
          <w:p w:rsidR="00CD4F05" w:rsidRPr="00CD4F05" w:rsidRDefault="00CD4F05" w:rsidP="00C02294">
            <w:pPr>
              <w:jc w:val="center"/>
              <w:rPr>
                <w:rFonts w:ascii="Times New Roman" w:hAnsi="Times New Roman" w:cs="Times New Roman"/>
                <w:b/>
                <w:sz w:val="24"/>
                <w:szCs w:val="24"/>
                <w:lang w:val="ro-RO"/>
              </w:rPr>
            </w:pPr>
          </w:p>
        </w:tc>
      </w:tr>
      <w:tr w:rsidR="00CD4F05" w:rsidRPr="000240B9" w:rsidTr="00CD4F05">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76" w:type="dxa"/>
            <w:vMerge/>
          </w:tcPr>
          <w:p w:rsidR="00CD4F05" w:rsidRPr="00CD4F05" w:rsidRDefault="00CD4F05" w:rsidP="00D724EB">
            <w:pPr>
              <w:ind w:right="-75"/>
              <w:rPr>
                <w:rFonts w:ascii="Times New Roman" w:hAnsi="Times New Roman" w:cs="Times New Roman"/>
                <w:sz w:val="24"/>
                <w:szCs w:val="24"/>
                <w:lang w:val="ro-RO"/>
              </w:rPr>
            </w:pPr>
          </w:p>
        </w:tc>
        <w:tc>
          <w:tcPr>
            <w:tcW w:w="7196" w:type="dxa"/>
          </w:tcPr>
          <w:p w:rsidR="00CD4F05" w:rsidRPr="00CD4F05" w:rsidRDefault="00CD4F05" w:rsidP="00735E80">
            <w:pPr>
              <w:pStyle w:val="a4"/>
              <w:numPr>
                <w:ilvl w:val="0"/>
                <w:numId w:val="2"/>
              </w:numPr>
              <w:ind w:left="143" w:hanging="142"/>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La Capit. I, Art. 5. Propunem de înlocuit noţiune „compatibilitate" cu „imunitate" (ca şi în Art. 31).</w:t>
            </w:r>
          </w:p>
        </w:tc>
        <w:tc>
          <w:tcPr>
            <w:tcW w:w="524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Nu se acceptă,</w:t>
            </w:r>
          </w:p>
          <w:p w:rsidR="00CD4F05" w:rsidRPr="00CD4F05" w:rsidRDefault="00CD4F05" w:rsidP="00245F85">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în limbajul tehnic se utilizează termenul „compatibilitate” </w:t>
            </w:r>
          </w:p>
        </w:tc>
      </w:tr>
      <w:tr w:rsidR="00CD4F05" w:rsidRPr="00CD4F05" w:rsidTr="00CD4F05">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76" w:type="dxa"/>
            <w:vMerge/>
          </w:tcPr>
          <w:p w:rsidR="00CD4F05" w:rsidRPr="00CD4F05" w:rsidRDefault="00CD4F05" w:rsidP="00D724EB">
            <w:pPr>
              <w:ind w:right="-75"/>
              <w:rPr>
                <w:rFonts w:ascii="Times New Roman" w:hAnsi="Times New Roman" w:cs="Times New Roman"/>
                <w:sz w:val="24"/>
                <w:szCs w:val="24"/>
                <w:lang w:val="ro-RO"/>
              </w:rPr>
            </w:pPr>
          </w:p>
        </w:tc>
        <w:tc>
          <w:tcPr>
            <w:tcW w:w="7196" w:type="dxa"/>
          </w:tcPr>
          <w:p w:rsidR="00CD4F05" w:rsidRPr="00CD4F05" w:rsidRDefault="00CD4F05" w:rsidP="00B17806">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3.</w:t>
            </w:r>
            <w:r w:rsidRPr="00CD4F05">
              <w:rPr>
                <w:rFonts w:ascii="Times New Roman" w:hAnsi="Times New Roman" w:cs="Times New Roman"/>
                <w:sz w:val="24"/>
                <w:szCs w:val="24"/>
                <w:lang w:val="ro-RO"/>
              </w:rPr>
              <w:tab/>
              <w:t>La Capit. II, Art. 32: Din noţiunea „verificare metrologică legală" de exclus cuvîntul "legală".</w:t>
            </w:r>
            <w:r w:rsidRPr="00CD4F05">
              <w:rPr>
                <w:rFonts w:ascii="Times New Roman" w:hAnsi="Times New Roman" w:cs="Times New Roman"/>
                <w:sz w:val="24"/>
                <w:szCs w:val="24"/>
                <w:lang w:val="ro-RO"/>
              </w:rPr>
              <w:tab/>
            </w:r>
          </w:p>
        </w:tc>
        <w:tc>
          <w:tcPr>
            <w:tcW w:w="524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CD4F05" w:rsidRPr="000240B9" w:rsidTr="00CD4F05">
        <w:trPr>
          <w:trHeight w:val="2199"/>
        </w:trPr>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76" w:type="dxa"/>
            <w:vMerge/>
          </w:tcPr>
          <w:p w:rsidR="00CD4F05" w:rsidRPr="00CD4F05" w:rsidRDefault="00CD4F05" w:rsidP="000D7CF0">
            <w:pPr>
              <w:ind w:left="-141" w:right="-75"/>
              <w:rPr>
                <w:rFonts w:ascii="Times New Roman" w:hAnsi="Times New Roman" w:cs="Times New Roman"/>
                <w:sz w:val="24"/>
                <w:szCs w:val="24"/>
                <w:lang w:val="ro-RO"/>
              </w:rPr>
            </w:pPr>
          </w:p>
        </w:tc>
        <w:tc>
          <w:tcPr>
            <w:tcW w:w="7196" w:type="dxa"/>
          </w:tcPr>
          <w:p w:rsidR="00CD4F05" w:rsidRPr="00CD4F05" w:rsidRDefault="00CD4F05" w:rsidP="00B17806">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4. Propunem ca pe parcursul documentului „Ministerul Economiei" să fie înlocuit cu Autoritatea centrală de metrologie".</w:t>
            </w:r>
          </w:p>
        </w:tc>
        <w:tc>
          <w:tcPr>
            <w:tcW w:w="524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Nu se acceptă,</w:t>
            </w:r>
          </w:p>
          <w:p w:rsidR="00CD4F05" w:rsidRPr="00CD4F05" w:rsidRDefault="00CD4F05" w:rsidP="00D433A5">
            <w:pPr>
              <w:jc w:val="both"/>
              <w:rPr>
                <w:rFonts w:ascii="Times New Roman" w:hAnsi="Times New Roman" w:cs="Times New Roman"/>
                <w:sz w:val="24"/>
                <w:szCs w:val="24"/>
                <w:lang w:val="ro-RO"/>
              </w:rPr>
            </w:pPr>
            <w:r w:rsidRPr="00CD4F05">
              <w:rPr>
                <w:rFonts w:ascii="Times New Roman" w:hAnsi="Times New Roman" w:cs="Times New Roman"/>
                <w:b/>
                <w:sz w:val="24"/>
                <w:szCs w:val="24"/>
                <w:lang w:val="ro-RO"/>
              </w:rPr>
              <w:t xml:space="preserve"> </w:t>
            </w:r>
            <w:r w:rsidRPr="00CD4F05">
              <w:rPr>
                <w:rFonts w:ascii="Times New Roman" w:hAnsi="Times New Roman" w:cs="Times New Roman"/>
                <w:sz w:val="24"/>
                <w:szCs w:val="24"/>
                <w:lang w:val="ro-RO"/>
              </w:rPr>
              <w:t>deoarece conform reglementării tehnice Ministerul Economiei execută funcţiile autorităţii de reglementare în conformitate cu prevederile Legii nr. 235 din 01. 12 2011, dar nu a autorităţii centrale de metrologie, prevăzute de Legea metrologiei nr. 647 – XIII din 17.11.1995</w:t>
            </w:r>
            <w:r>
              <w:rPr>
                <w:rFonts w:ascii="Times New Roman" w:hAnsi="Times New Roman" w:cs="Times New Roman"/>
                <w:sz w:val="24"/>
                <w:szCs w:val="24"/>
                <w:lang w:val="ro-RO"/>
              </w:rPr>
              <w:t>.</w:t>
            </w:r>
          </w:p>
        </w:tc>
      </w:tr>
      <w:tr w:rsidR="00CD4F05" w:rsidRPr="00CD4F05" w:rsidTr="00CD4F05">
        <w:tc>
          <w:tcPr>
            <w:tcW w:w="425" w:type="dxa"/>
            <w:vMerge w:val="restart"/>
          </w:tcPr>
          <w:p w:rsidR="00CD4F05" w:rsidRPr="00CD4F05" w:rsidRDefault="00CD4F05" w:rsidP="00294FF4">
            <w:pPr>
              <w:pStyle w:val="a4"/>
              <w:tabs>
                <w:tab w:val="left" w:pos="34"/>
              </w:tabs>
              <w:ind w:left="34" w:right="-108"/>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10. </w:t>
            </w:r>
          </w:p>
        </w:tc>
        <w:tc>
          <w:tcPr>
            <w:tcW w:w="1592" w:type="dxa"/>
            <w:vMerge w:val="restart"/>
          </w:tcPr>
          <w:p w:rsidR="00CD4F05" w:rsidRPr="00CD4F05" w:rsidRDefault="00CD4F05"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Centrul Naţional de Acreditare</w:t>
            </w:r>
          </w:p>
        </w:tc>
        <w:tc>
          <w:tcPr>
            <w:tcW w:w="1276" w:type="dxa"/>
            <w:vMerge w:val="restart"/>
          </w:tcPr>
          <w:p w:rsidR="00CD4F05" w:rsidRPr="00CD4F05" w:rsidRDefault="00CD4F05" w:rsidP="000D7CF0">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Nr. 24/949-DE-2 din 28.10.14</w:t>
            </w:r>
          </w:p>
        </w:tc>
        <w:tc>
          <w:tcPr>
            <w:tcW w:w="7196" w:type="dxa"/>
          </w:tcPr>
          <w:p w:rsidR="00CD4F05" w:rsidRPr="00CD4F05" w:rsidRDefault="00CD4F05" w:rsidP="000D7CF0">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Nu toate articolele din directivă sunt transpuse integral (ex. art. 27, art. 30) ca rezultat se pierde esenţa cerinţei şi logica expunerii. Astfel, nu este un articol separat referitor la OEC interne acreditate şi se confundă cerinţele referitoare la organismele notificate.</w:t>
            </w:r>
          </w:p>
        </w:tc>
        <w:tc>
          <w:tcPr>
            <w:tcW w:w="524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CD4F05" w:rsidRPr="000240B9" w:rsidTr="00CD4F05">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76" w:type="dxa"/>
            <w:vMerge/>
          </w:tcPr>
          <w:p w:rsidR="00CD4F05" w:rsidRPr="00CD4F05" w:rsidRDefault="00CD4F05" w:rsidP="00C02294">
            <w:pPr>
              <w:jc w:val="center"/>
              <w:rPr>
                <w:rFonts w:ascii="Times New Roman" w:hAnsi="Times New Roman" w:cs="Times New Roman"/>
                <w:sz w:val="24"/>
                <w:szCs w:val="24"/>
                <w:lang w:val="ro-RO"/>
              </w:rPr>
            </w:pPr>
          </w:p>
        </w:tc>
        <w:tc>
          <w:tcPr>
            <w:tcW w:w="7196" w:type="dxa"/>
          </w:tcPr>
          <w:p w:rsidR="00CD4F05" w:rsidRPr="00CD4F05" w:rsidRDefault="00CD4F05" w:rsidP="00294FF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Înainte de p.75 de completat cu un punct nou în următoare redacţie: :" Evaluarea conformităţii mijloacelor de măsurare se realizează numai de organismele de evaluare a conformităţii acreditate în condiţiile Legii nr. 235 din 01 decembrie 2011 privind activităţile de acreditare şi evaluare a conformităţii şi recunoscute de Ministerul Economie.</w:t>
            </w:r>
          </w:p>
        </w:tc>
        <w:tc>
          <w:tcPr>
            <w:tcW w:w="524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p w:rsidR="00CD4F05" w:rsidRPr="00CD4F05" w:rsidRDefault="00CD4F05" w:rsidP="00C02294">
            <w:pPr>
              <w:jc w:val="center"/>
              <w:rPr>
                <w:rFonts w:ascii="Times New Roman" w:hAnsi="Times New Roman" w:cs="Times New Roman"/>
                <w:sz w:val="24"/>
                <w:szCs w:val="24"/>
                <w:lang w:val="ro-RO"/>
              </w:rPr>
            </w:pPr>
            <w:r w:rsidRPr="005E6E4A">
              <w:rPr>
                <w:rFonts w:ascii="Times New Roman" w:hAnsi="Times New Roman" w:cs="Times New Roman"/>
                <w:color w:val="FF0000"/>
                <w:sz w:val="24"/>
                <w:szCs w:val="24"/>
                <w:lang w:val="ro-RO"/>
              </w:rPr>
              <w:t>(este la pct. 15 şi pct.77)</w:t>
            </w:r>
          </w:p>
        </w:tc>
      </w:tr>
      <w:tr w:rsidR="00CD4F05" w:rsidRPr="00CD4F05" w:rsidTr="00CD4F05">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76" w:type="dxa"/>
            <w:vMerge/>
          </w:tcPr>
          <w:p w:rsidR="00CD4F05" w:rsidRPr="00CD4F05" w:rsidRDefault="00CD4F05" w:rsidP="00C02294">
            <w:pPr>
              <w:jc w:val="center"/>
              <w:rPr>
                <w:rFonts w:ascii="Times New Roman" w:hAnsi="Times New Roman" w:cs="Times New Roman"/>
                <w:sz w:val="24"/>
                <w:szCs w:val="24"/>
                <w:lang w:val="ro-RO"/>
              </w:rPr>
            </w:pPr>
          </w:p>
        </w:tc>
        <w:tc>
          <w:tcPr>
            <w:tcW w:w="7196" w:type="dxa"/>
          </w:tcPr>
          <w:p w:rsidR="00CD4F05" w:rsidRPr="00CD4F05" w:rsidRDefault="00CD4F05" w:rsidP="00294FF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La p.77, de exclus cuvintele "sau în limba oficială a statului membru al UE în care îşi are sediul organismul notificat ce efectuează procedurile de evaluare a conformităţii”.</w:t>
            </w:r>
          </w:p>
        </w:tc>
        <w:tc>
          <w:tcPr>
            <w:tcW w:w="524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CD4F05" w:rsidRPr="000240B9" w:rsidTr="00CD4F05">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76" w:type="dxa"/>
            <w:vMerge/>
          </w:tcPr>
          <w:p w:rsidR="00CD4F05" w:rsidRPr="00CD4F05" w:rsidRDefault="00CD4F05" w:rsidP="00C02294">
            <w:pPr>
              <w:jc w:val="center"/>
              <w:rPr>
                <w:rFonts w:ascii="Times New Roman" w:hAnsi="Times New Roman" w:cs="Times New Roman"/>
                <w:sz w:val="24"/>
                <w:szCs w:val="24"/>
                <w:lang w:val="ro-RO"/>
              </w:rPr>
            </w:pPr>
          </w:p>
        </w:tc>
        <w:tc>
          <w:tcPr>
            <w:tcW w:w="7196" w:type="dxa"/>
          </w:tcPr>
          <w:p w:rsidR="00CD4F05" w:rsidRPr="00CD4F05" w:rsidRDefault="00CD4F05" w:rsidP="00004328">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Capitolul XV contravine cerinţelor Legii Nr. 235, care nu prevede marcaj metrologic.</w:t>
            </w:r>
          </w:p>
        </w:tc>
        <w:tc>
          <w:tcPr>
            <w:tcW w:w="5246" w:type="dxa"/>
          </w:tcPr>
          <w:p w:rsidR="00CD4F05" w:rsidRPr="00CD4F05" w:rsidRDefault="00CD4F05" w:rsidP="00245F85">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 xml:space="preserve">Nu se acceptă, </w:t>
            </w:r>
          </w:p>
          <w:p w:rsidR="00CD4F05" w:rsidRPr="00CD4F05" w:rsidRDefault="00CD4F05" w:rsidP="005E6E4A">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marcajul metrologic </w:t>
            </w:r>
            <w:r w:rsidRPr="005E6E4A">
              <w:rPr>
                <w:rFonts w:ascii="Times New Roman" w:hAnsi="Times New Roman" w:cs="Times New Roman"/>
                <w:sz w:val="24"/>
                <w:szCs w:val="24"/>
                <w:lang w:val="ro-RO"/>
              </w:rPr>
              <w:t xml:space="preserve">este un simbol care indică </w:t>
            </w:r>
            <w:r w:rsidR="00D433A5" w:rsidRPr="005E6E4A">
              <w:rPr>
                <w:rFonts w:ascii="Times New Roman" w:hAnsi="Times New Roman" w:cs="Times New Roman"/>
                <w:sz w:val="24"/>
                <w:szCs w:val="24"/>
                <w:lang w:val="ro-RO"/>
              </w:rPr>
              <w:t>că mijlocul de măsurare a fost supus uneia din procedurile de evaluare a conformită</w:t>
            </w:r>
            <w:r w:rsidR="00D433A5" w:rsidRPr="005E6E4A">
              <w:rPr>
                <w:rFonts w:ascii="Cambria Math" w:hAnsi="Cambria Math" w:cs="Cambria Math"/>
                <w:sz w:val="24"/>
                <w:szCs w:val="24"/>
                <w:lang w:val="ro-RO"/>
              </w:rPr>
              <w:t>ț</w:t>
            </w:r>
            <w:r w:rsidR="00D433A5" w:rsidRPr="005E6E4A">
              <w:rPr>
                <w:rFonts w:ascii="Times New Roman" w:hAnsi="Times New Roman" w:cs="Times New Roman"/>
                <w:sz w:val="24"/>
                <w:szCs w:val="24"/>
                <w:lang w:val="ro-RO"/>
              </w:rPr>
              <w:t xml:space="preserve">ii în baza modulului ales de producător. </w:t>
            </w:r>
            <w:r w:rsidRPr="005E6E4A">
              <w:rPr>
                <w:rFonts w:ascii="Times New Roman" w:hAnsi="Times New Roman" w:cs="Times New Roman"/>
                <w:sz w:val="24"/>
                <w:szCs w:val="24"/>
                <w:lang w:val="ro-RO"/>
              </w:rPr>
              <w:t>Legea nr. 235 din 01.12.2011 este act juridic orizontal</w:t>
            </w:r>
            <w:r w:rsidRPr="00CD4F05">
              <w:rPr>
                <w:rFonts w:ascii="Times New Roman" w:hAnsi="Times New Roman" w:cs="Times New Roman"/>
                <w:sz w:val="24"/>
                <w:szCs w:val="24"/>
                <w:lang w:val="ro-RO"/>
              </w:rPr>
              <w:t xml:space="preserve"> în domeniul respectiv, care nu stabileşte prevederi specifice pentru produse concrete. Aceste prevederi se stabilesc în reglementări tehnice aplicabile </w:t>
            </w:r>
            <w:r w:rsidRPr="00CD4F05">
              <w:rPr>
                <w:rFonts w:ascii="Times New Roman" w:hAnsi="Times New Roman" w:cs="Times New Roman"/>
                <w:sz w:val="24"/>
                <w:szCs w:val="24"/>
                <w:lang w:val="ro-RO"/>
              </w:rPr>
              <w:lastRenderedPageBreak/>
              <w:t>produselor concrete.</w:t>
            </w:r>
          </w:p>
        </w:tc>
      </w:tr>
      <w:tr w:rsidR="00CD4F05" w:rsidRPr="000240B9" w:rsidTr="00CD4F05">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76" w:type="dxa"/>
            <w:vMerge/>
          </w:tcPr>
          <w:p w:rsidR="00CD4F05" w:rsidRPr="00CD4F05" w:rsidRDefault="00CD4F05" w:rsidP="00C02294">
            <w:pPr>
              <w:jc w:val="center"/>
              <w:rPr>
                <w:rFonts w:ascii="Times New Roman" w:hAnsi="Times New Roman" w:cs="Times New Roman"/>
                <w:sz w:val="24"/>
                <w:szCs w:val="24"/>
                <w:lang w:val="ro-RO"/>
              </w:rPr>
            </w:pPr>
          </w:p>
        </w:tc>
        <w:tc>
          <w:tcPr>
            <w:tcW w:w="7196" w:type="dxa"/>
          </w:tcPr>
          <w:p w:rsidR="00CD4F05" w:rsidRPr="00CD4F05" w:rsidRDefault="00CD4F05" w:rsidP="00294FF4">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La cap. XIX sunt cerinţe faţă de ME pentru a recunoaşte OEC, dar nu sunt cerinţe clare pentru OEC de a fi recunoscute (să fie acreditate şi alte cerinţe suplimentare).</w:t>
            </w:r>
          </w:p>
        </w:tc>
        <w:tc>
          <w:tcPr>
            <w:tcW w:w="5246" w:type="dxa"/>
          </w:tcPr>
          <w:p w:rsidR="00CD4F05" w:rsidRPr="00CD4F05" w:rsidRDefault="00CD4F05" w:rsidP="00294FF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p w:rsidR="00CD4F05" w:rsidRPr="00CD4F05" w:rsidRDefault="00CD4F05" w:rsidP="00294FF4">
            <w:pPr>
              <w:jc w:val="center"/>
              <w:rPr>
                <w:rFonts w:ascii="Times New Roman" w:hAnsi="Times New Roman" w:cs="Times New Roman"/>
                <w:sz w:val="24"/>
                <w:szCs w:val="24"/>
                <w:lang w:val="ro-RO"/>
              </w:rPr>
            </w:pPr>
            <w:r w:rsidRPr="005E6E4A">
              <w:rPr>
                <w:rFonts w:ascii="Times New Roman" w:hAnsi="Times New Roman" w:cs="Times New Roman"/>
                <w:color w:val="FF0000"/>
                <w:sz w:val="24"/>
                <w:szCs w:val="24"/>
                <w:lang w:val="ro-RO"/>
              </w:rPr>
              <w:t>(este la pct.77)</w:t>
            </w:r>
          </w:p>
        </w:tc>
      </w:tr>
      <w:tr w:rsidR="00CD4F05" w:rsidRPr="00CD4F05" w:rsidTr="00CD4F05">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76" w:type="dxa"/>
            <w:vMerge/>
          </w:tcPr>
          <w:p w:rsidR="00CD4F05" w:rsidRPr="00CD4F05" w:rsidRDefault="00CD4F05" w:rsidP="00C02294">
            <w:pPr>
              <w:jc w:val="center"/>
              <w:rPr>
                <w:rFonts w:ascii="Times New Roman" w:hAnsi="Times New Roman" w:cs="Times New Roman"/>
                <w:sz w:val="24"/>
                <w:szCs w:val="24"/>
                <w:lang w:val="ro-RO"/>
              </w:rPr>
            </w:pPr>
          </w:p>
        </w:tc>
        <w:tc>
          <w:tcPr>
            <w:tcW w:w="7196" w:type="dxa"/>
          </w:tcPr>
          <w:p w:rsidR="00CD4F05" w:rsidRPr="00CD4F05" w:rsidRDefault="00CD4F05" w:rsidP="00C827C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Se întâlnesc cazuri cînd se fac referinţe la articole, dar nu se precizează din ce documente (ex. în Anexa 9, EVALUARFA CONFORMITĂŢII se tace referinţă ia. articolul 17, dar nu se menţionează documentul).</w:t>
            </w:r>
          </w:p>
        </w:tc>
        <w:tc>
          <w:tcPr>
            <w:tcW w:w="524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CD4F05" w:rsidRPr="000240B9" w:rsidTr="00CD4F05">
        <w:tc>
          <w:tcPr>
            <w:tcW w:w="425" w:type="dxa"/>
            <w:vMerge w:val="restart"/>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r w:rsidRPr="00CD4F05">
              <w:rPr>
                <w:rFonts w:ascii="Times New Roman" w:hAnsi="Times New Roman" w:cs="Times New Roman"/>
                <w:sz w:val="24"/>
                <w:szCs w:val="24"/>
                <w:lang w:val="ro-RO"/>
              </w:rPr>
              <w:t>11.</w:t>
            </w:r>
          </w:p>
        </w:tc>
        <w:tc>
          <w:tcPr>
            <w:tcW w:w="1592" w:type="dxa"/>
            <w:vMerge w:val="restart"/>
          </w:tcPr>
          <w:p w:rsidR="00CD4F05" w:rsidRPr="00CD4F05" w:rsidRDefault="00CD4F05" w:rsidP="00C02294">
            <w:pPr>
              <w:jc w:val="center"/>
              <w:rPr>
                <w:rFonts w:ascii="Times New Roman" w:hAnsi="Times New Roman" w:cs="Times New Roman"/>
                <w:sz w:val="24"/>
                <w:szCs w:val="24"/>
                <w:lang w:val="en-US"/>
              </w:rPr>
            </w:pPr>
            <w:proofErr w:type="spellStart"/>
            <w:r w:rsidRPr="00CD4F05">
              <w:rPr>
                <w:rFonts w:ascii="Times New Roman" w:hAnsi="Times New Roman" w:cs="Times New Roman"/>
                <w:sz w:val="24"/>
                <w:szCs w:val="24"/>
                <w:lang w:val="en-US"/>
              </w:rPr>
              <w:t>Centrul</w:t>
            </w:r>
            <w:proofErr w:type="spellEnd"/>
            <w:r w:rsidRPr="00CD4F05">
              <w:rPr>
                <w:rFonts w:ascii="Times New Roman" w:hAnsi="Times New Roman" w:cs="Times New Roman"/>
                <w:sz w:val="24"/>
                <w:szCs w:val="24"/>
                <w:lang w:val="en-US"/>
              </w:rPr>
              <w:t xml:space="preserve"> de </w:t>
            </w:r>
            <w:proofErr w:type="spellStart"/>
            <w:r w:rsidRPr="00CD4F05">
              <w:rPr>
                <w:rFonts w:ascii="Times New Roman" w:hAnsi="Times New Roman" w:cs="Times New Roman"/>
                <w:sz w:val="24"/>
                <w:szCs w:val="24"/>
                <w:lang w:val="en-US"/>
              </w:rPr>
              <w:t>Armonizare</w:t>
            </w:r>
            <w:proofErr w:type="spellEnd"/>
            <w:r w:rsidRPr="00CD4F05">
              <w:rPr>
                <w:rFonts w:ascii="Times New Roman" w:hAnsi="Times New Roman" w:cs="Times New Roman"/>
                <w:sz w:val="24"/>
                <w:szCs w:val="24"/>
                <w:lang w:val="en-US"/>
              </w:rPr>
              <w:t xml:space="preserve"> a </w:t>
            </w:r>
            <w:proofErr w:type="spellStart"/>
            <w:r w:rsidRPr="00CD4F05">
              <w:rPr>
                <w:rFonts w:ascii="Times New Roman" w:hAnsi="Times New Roman" w:cs="Times New Roman"/>
                <w:sz w:val="24"/>
                <w:szCs w:val="24"/>
                <w:lang w:val="en-US"/>
              </w:rPr>
              <w:t>Legislaţiei</w:t>
            </w:r>
            <w:proofErr w:type="spellEnd"/>
          </w:p>
        </w:tc>
        <w:tc>
          <w:tcPr>
            <w:tcW w:w="1276" w:type="dxa"/>
            <w:vMerge w:val="restart"/>
          </w:tcPr>
          <w:p w:rsidR="00CD4F05" w:rsidRPr="00CD4F05" w:rsidRDefault="00CD4F05" w:rsidP="00C02294">
            <w:pPr>
              <w:jc w:val="center"/>
              <w:rPr>
                <w:rFonts w:ascii="Times New Roman" w:hAnsi="Times New Roman" w:cs="Times New Roman"/>
                <w:sz w:val="24"/>
                <w:szCs w:val="24"/>
                <w:lang w:val="en-US"/>
              </w:rPr>
            </w:pPr>
            <w:r w:rsidRPr="00CD4F05">
              <w:rPr>
                <w:rFonts w:ascii="Times New Roman" w:hAnsi="Times New Roman" w:cs="Times New Roman"/>
                <w:sz w:val="24"/>
                <w:szCs w:val="24"/>
                <w:lang w:val="en-US"/>
              </w:rPr>
              <w:t>Nr. 165/13 din 14.11.2014</w:t>
            </w:r>
          </w:p>
        </w:tc>
        <w:tc>
          <w:tcPr>
            <w:tcW w:w="7196" w:type="dxa"/>
          </w:tcPr>
          <w:p w:rsidR="00CD4F05" w:rsidRPr="00CD4F05" w:rsidRDefault="00CD4F05" w:rsidP="00BA1955">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DECLARAŢIE DE COMPATIBILITATE</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În baza expertizei proiectului Hotărîrii Guvernului cu privire la aprobarea Reglementării tehnice privind punerea la dispoziţie pe piaţă a mijloacelor de măsurare.</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   Proiectul Hotărîrii Guvernului cu privire la aprobarea Reglementării tehnice privind punerea la dispoziţie pe piaţă a mijloacelor de măsurare transpune parţial Directiva 2014/32/UE a Parlamentului European şi a Consiliului din 26 februarie 2014 privind armonizarea legislaţiei statelor membre referitoare la punerea la dispoziţie pe piaţă a mijloacelor de măsurare (reformare) Text cu relevanţă pentru SEE, publicată în Jurnalul Oficial al Uniunii Europene L 96 din 29 martie 2014 / Directive 2014/32/EU of the European Parliament and of the Council of 26 February 2014 on the harmonisation of the laws of the Member States relating to the making available on the market of measuring instruments (recast) Text with EEA relevance, published in the Official Journal of the European Union L 96 of 29 March 2014*.</w:t>
            </w:r>
          </w:p>
          <w:p w:rsidR="00CD4F05" w:rsidRPr="00CD4F05" w:rsidRDefault="00CD4F05" w:rsidP="00BA1955">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*Notă</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Directiva 2014/32/UE a abrogat şi substituit Directiva 2004/22/CE a Parlamentului European şi a Consiliului din 31 martie 2004 privind mijloacele de măsurare. Directiva 2004/22/CE este inclusă în Anexa XVI a Capitolului V „Comerţ şi aspecte legate de comerţ” din Acordul de Asociere RM – UE, avînd termen de realizare anul 2014. Ţinînd seama de art. 449 din acordul de Asociere RM – UE care prevede principiul apropierii dinamice a legislaţiei naţionale cu legislaţia UE, armonizarea proiectului şi expertiza acestuia de compatibilitate s-a realizat cu noul act UE.</w:t>
            </w:r>
          </w:p>
          <w:p w:rsidR="00CD4F05" w:rsidRPr="00CD4F05" w:rsidRDefault="00CD4F05" w:rsidP="00BA1955">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Scopul</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lastRenderedPageBreak/>
              <w:t>Directiva 2014/32/UE are drept scop stabilirea cerinţelor pe care trebuie să le satisfacă mijloacele de măsurare în vederea punerii lor la dispoziţie pe piaţă şi/sau dării lor în folosinţă pentru măsurările efectuate în domeniile de interes public, sănătăţii publice, ordinii şi siguranţei publice, protecţiei mediului şi a consumatorului, colectării taxelor şi impozitelor şi corectitudinii tranzacţiilor comerciale.</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Din analiza comparativă întreprinsă asupra proiectului naţional în raport cu actul UE, constatăm că acesta nu asigură realizarea efectelor juridice similare cu cele ale Directivei 2014/32/UE, datorită inserării în aceasta a numeroase prevederi a căror aplicabilitate practică este suspendată pînă la momentul aderării Republicii Moldova la Uniunea Europeană (de exemplu, pct. 64, 93, 95, 109–118, 136, 139, 143 din proiectul naţional – sesizarea, informarea sau notificarea Comisiei Europene de către Ministerul Economiei).</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Anexa XVI a Capitolului V „Comerţ şi aspecte legate de comerţ” din Acordul de Asociere, formalizează angajamentul RM de a asigura apropierea cu Directiva 2004/22/CE în termeni scurţi – 2014, fără a fi prevăzute careva rezerve formulate în acest sens. Astfel ţinînd seama de cadrul juridic actual al relaţiilor bilaterale RM-UE  – Acordul de Asociere RM – UE, este inoportună şi precipitată inserarea în proiectul naţional a unor norme UE aplicabile exclusiv statelor membre, cu suspendarea punerii în aplicare a acestora pentru Republica Moldova pînă la producerea unui eveniment viitor şi incert – aderarea la UE. Mai mult art. 172 al Acordului de Asociere în domeniul reglementării tehnice şi evaluare a conformităţii prevede relaţii de cooperare, cu armonizarea graduală a legislaţiei naţionale cu cea a UE. Statutul actual al Republicii Moldova în relaţiile bilaterale cu UE obţinut în temeiul Acordului de Asociere este insuficient pentru implementarea practică a prevederilor UE transpuse, iar fixarea unei anumite perioade de inaplicabilitate a acestora poate genera o incertitudine în sistemul de drept al RM. În contextul celor expuse supra considerăm necesară armonizarea doar a prevederilor ce pot fi implementate de Republica Moldova cu adaptarea acestora la realitatea juridică stabilită de legile cadru în domeniul reglementărilor tehnice şi evaluării conformităţii în limitele angajamentelor asumate prin Acordul de Asociere RM-UE.</w:t>
            </w:r>
          </w:p>
        </w:tc>
        <w:tc>
          <w:tcPr>
            <w:tcW w:w="5246" w:type="dxa"/>
          </w:tcPr>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lastRenderedPageBreak/>
              <w:t>Se acceptă parţial,</w:t>
            </w:r>
          </w:p>
          <w:p w:rsidR="00CD4F05" w:rsidRPr="00CD4F05" w:rsidRDefault="00CD4F05" w:rsidP="005E6E4A">
            <w:pPr>
              <w:jc w:val="both"/>
              <w:rPr>
                <w:rFonts w:ascii="Times New Roman" w:hAnsi="Times New Roman" w:cs="Times New Roman"/>
                <w:sz w:val="24"/>
                <w:szCs w:val="24"/>
                <w:lang w:val="en-US"/>
              </w:rPr>
            </w:pPr>
            <w:r w:rsidRPr="00CD4F05">
              <w:rPr>
                <w:rFonts w:ascii="Times New Roman" w:hAnsi="Times New Roman" w:cs="Times New Roman"/>
                <w:sz w:val="24"/>
                <w:szCs w:val="24"/>
                <w:lang w:val="ro-RO"/>
              </w:rPr>
              <w:t>Avînd în</w:t>
            </w:r>
            <w:r w:rsidR="005E6E4A">
              <w:rPr>
                <w:rFonts w:ascii="Times New Roman" w:hAnsi="Times New Roman" w:cs="Times New Roman"/>
                <w:sz w:val="24"/>
                <w:szCs w:val="24"/>
                <w:lang w:val="ro-RO"/>
              </w:rPr>
              <w:t xml:space="preserve"> vedere că prevederile juridice,</w:t>
            </w:r>
            <w:r w:rsidRPr="00CD4F05">
              <w:rPr>
                <w:rFonts w:ascii="Times New Roman" w:hAnsi="Times New Roman" w:cs="Times New Roman"/>
                <w:sz w:val="24"/>
                <w:szCs w:val="24"/>
                <w:lang w:val="ro-RO"/>
              </w:rPr>
              <w:t xml:space="preserve"> privind organismele de evaluare a conformităţii notificate pot fi realizate în cazul semnării Acordului privind evaluarea conformită</w:t>
            </w:r>
            <w:r w:rsidRPr="00CD4F05">
              <w:rPr>
                <w:rFonts w:ascii="Cambria Math" w:hAnsi="Cambria Math" w:cs="Cambria Math"/>
                <w:sz w:val="24"/>
                <w:szCs w:val="24"/>
                <w:lang w:val="ro-RO"/>
              </w:rPr>
              <w:t>ț</w:t>
            </w:r>
            <w:r w:rsidRPr="00CD4F05">
              <w:rPr>
                <w:rFonts w:ascii="Times New Roman" w:hAnsi="Times New Roman" w:cs="Times New Roman"/>
                <w:sz w:val="24"/>
                <w:szCs w:val="24"/>
                <w:lang w:val="ro-RO"/>
              </w:rPr>
              <w:t xml:space="preserve">ii </w:t>
            </w:r>
            <w:r w:rsidRPr="00CD4F05">
              <w:rPr>
                <w:rFonts w:ascii="Cambria Math" w:hAnsi="Cambria Math" w:cs="Cambria Math"/>
                <w:sz w:val="24"/>
                <w:szCs w:val="24"/>
                <w:lang w:val="ro-RO"/>
              </w:rPr>
              <w:t>ș</w:t>
            </w:r>
            <w:r w:rsidRPr="00CD4F05">
              <w:rPr>
                <w:rFonts w:ascii="Times New Roman" w:hAnsi="Times New Roman" w:cs="Times New Roman"/>
                <w:sz w:val="24"/>
                <w:szCs w:val="24"/>
                <w:lang w:val="ro-RO"/>
              </w:rPr>
              <w:t>i acceptarea produselor industriale (AECA)</w:t>
            </w:r>
            <w:r w:rsidRPr="00CD4F05">
              <w:rPr>
                <w:rFonts w:ascii="Times New Roman" w:hAnsi="Times New Roman" w:cs="Times New Roman"/>
                <w:sz w:val="24"/>
                <w:szCs w:val="24"/>
                <w:lang w:val="en-US"/>
              </w:rPr>
              <w:t xml:space="preserve"> </w:t>
            </w:r>
            <w:r w:rsidRPr="00CD4F05">
              <w:rPr>
                <w:rFonts w:ascii="Times New Roman" w:hAnsi="Times New Roman" w:cs="Times New Roman"/>
                <w:sz w:val="24"/>
                <w:szCs w:val="24"/>
                <w:lang w:val="ro-RO"/>
              </w:rPr>
              <w:t>care este prevăzut de art. 174 din Acordul de Asocier</w:t>
            </w:r>
            <w:r w:rsidR="004E5B15">
              <w:rPr>
                <w:rFonts w:ascii="Times New Roman" w:hAnsi="Times New Roman" w:cs="Times New Roman"/>
                <w:sz w:val="24"/>
                <w:szCs w:val="24"/>
                <w:lang w:val="ro-RO"/>
              </w:rPr>
              <w:t xml:space="preserve">e RM-UE ca protocol la AA RM-UE, </w:t>
            </w:r>
            <w:r w:rsidR="004E5B15" w:rsidRPr="005E6E4A">
              <w:rPr>
                <w:rFonts w:ascii="Times New Roman" w:hAnsi="Times New Roman" w:cs="Times New Roman"/>
                <w:sz w:val="24"/>
                <w:szCs w:val="24"/>
                <w:lang w:val="ro-RO"/>
              </w:rPr>
              <w:t>Republica Moldova nefiind  membru al UE.</w:t>
            </w:r>
          </w:p>
        </w:tc>
      </w:tr>
      <w:tr w:rsidR="00CD4F05" w:rsidRPr="00CD4F05" w:rsidTr="00CD4F05">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76" w:type="dxa"/>
            <w:vMerge/>
          </w:tcPr>
          <w:p w:rsidR="00CD4F05" w:rsidRPr="00CD4F05" w:rsidRDefault="00CD4F05" w:rsidP="00C02294">
            <w:pPr>
              <w:jc w:val="center"/>
              <w:rPr>
                <w:rFonts w:ascii="Times New Roman" w:hAnsi="Times New Roman" w:cs="Times New Roman"/>
                <w:sz w:val="24"/>
                <w:szCs w:val="24"/>
                <w:lang w:val="ro-RO"/>
              </w:rPr>
            </w:pPr>
          </w:p>
        </w:tc>
        <w:tc>
          <w:tcPr>
            <w:tcW w:w="7196" w:type="dxa"/>
          </w:tcPr>
          <w:p w:rsidR="00CD4F05" w:rsidRPr="00CD4F05" w:rsidRDefault="00CD4F05" w:rsidP="00BA1955">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Terminologie</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În ceea ce vizează noţiunea de „legislaţie de armonizare a Uniunii”, preluată din art. 4 (21) al Directivei 2014/32/UE şi prevăzută în pct. 20 din Capitolul II al proiectului naţional, remarcăm că aceasta nu are valoare juridică în proiectul naţional, fiind o noţiune destinată statelor membre, urmînd a fi exclusă.</w:t>
            </w:r>
          </w:p>
        </w:tc>
        <w:tc>
          <w:tcPr>
            <w:tcW w:w="524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CD4F05" w:rsidRPr="00CD4F05" w:rsidTr="00CD4F05">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76" w:type="dxa"/>
            <w:vMerge/>
          </w:tcPr>
          <w:p w:rsidR="00CD4F05" w:rsidRPr="00CD4F05" w:rsidRDefault="00CD4F05" w:rsidP="00C02294">
            <w:pPr>
              <w:jc w:val="center"/>
              <w:rPr>
                <w:rFonts w:ascii="Times New Roman" w:hAnsi="Times New Roman" w:cs="Times New Roman"/>
                <w:sz w:val="24"/>
                <w:szCs w:val="24"/>
                <w:lang w:val="ro-RO"/>
              </w:rPr>
            </w:pPr>
          </w:p>
        </w:tc>
        <w:tc>
          <w:tcPr>
            <w:tcW w:w="7196" w:type="dxa"/>
          </w:tcPr>
          <w:p w:rsidR="00CD4F05" w:rsidRPr="00CD4F05" w:rsidRDefault="00CD4F05" w:rsidP="00BA1955">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Obligaţiile producătorilor</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Proiectul naţional în pct. 37 din Capitolul VI prevede obligaţia producătorilor de a indica pe mijloacele de măsurare denumirea lor, denumirea lor comercială înregistrată sau marca lor înregistrată, şi adresa poştală la care pot fi contactaţi, însă, nu specifică faptul că adresa va indica un singur punct de contact pentru producător, iar datele de contact vor fi comunicate într-o limbă uşor de înţeles pentru utilizatorii finali şi autoritatea de supraveghere a pieţii, cum ar fi limba de stat, similar prevederilor art. 8, alin. (6) din Directiva 2014/32/UE.</w:t>
            </w:r>
          </w:p>
        </w:tc>
        <w:tc>
          <w:tcPr>
            <w:tcW w:w="524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CD4F05" w:rsidRPr="00CD4F05" w:rsidTr="00CD4F05">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76" w:type="dxa"/>
            <w:vMerge/>
          </w:tcPr>
          <w:p w:rsidR="00CD4F05" w:rsidRPr="00CD4F05" w:rsidRDefault="00CD4F05" w:rsidP="00C02294">
            <w:pPr>
              <w:jc w:val="center"/>
              <w:rPr>
                <w:rFonts w:ascii="Times New Roman" w:hAnsi="Times New Roman" w:cs="Times New Roman"/>
                <w:sz w:val="24"/>
                <w:szCs w:val="24"/>
                <w:lang w:val="ro-RO"/>
              </w:rPr>
            </w:pPr>
          </w:p>
        </w:tc>
        <w:tc>
          <w:tcPr>
            <w:tcW w:w="7196" w:type="dxa"/>
          </w:tcPr>
          <w:p w:rsidR="00CD4F05" w:rsidRPr="00CD4F05" w:rsidRDefault="00CD4F05" w:rsidP="00BA1955">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Proceduri de evaluare a conformităţii</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Proiectul naţional în pct. 67 din Capitolul XII prevede faptul că „înregistrările şi corespondenţa referitoare la evaluarea conformităţii se întocmesc în limba de stat sau în limba oficială a statului membru al Uniunii Europene în care îşi are sediul organismul notificat”. Este important a menţiona faptul că autorul proiectului naţional a preluat ad literam prevederea art. 17 din Directiva 2014/32/UE, fapt care a denaturat esenţa normei UE. Astfel, ţinînd seama de faptul că Republica Moldova nu este stat membru UE, considerăm necesară adaptarea prezentei prevederi la realitatea juridică naţională. În acest sens, se va exclude sintagma „statului membru al Uniunii Europene” şi se va institui obligaţia de a întocmi înregistrările şi corespondenţa referitoare la evaluarea conformităţii în limba de stat.</w:t>
            </w:r>
          </w:p>
        </w:tc>
        <w:tc>
          <w:tcPr>
            <w:tcW w:w="524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CD4F05" w:rsidRPr="000240B9" w:rsidTr="00CD4F05">
        <w:tc>
          <w:tcPr>
            <w:tcW w:w="425" w:type="dxa"/>
            <w:vMerge w:val="restart"/>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val="restart"/>
          </w:tcPr>
          <w:p w:rsidR="00CD4F05" w:rsidRPr="00CD4F05" w:rsidRDefault="00CD4F05" w:rsidP="00C02294">
            <w:pPr>
              <w:jc w:val="center"/>
              <w:rPr>
                <w:rFonts w:ascii="Times New Roman" w:hAnsi="Times New Roman" w:cs="Times New Roman"/>
                <w:sz w:val="24"/>
                <w:szCs w:val="24"/>
                <w:lang w:val="ro-RO"/>
              </w:rPr>
            </w:pPr>
          </w:p>
        </w:tc>
        <w:tc>
          <w:tcPr>
            <w:tcW w:w="1276" w:type="dxa"/>
            <w:vMerge w:val="restart"/>
          </w:tcPr>
          <w:p w:rsidR="00CD4F05" w:rsidRPr="00CD4F05" w:rsidRDefault="00CD4F05" w:rsidP="00C02294">
            <w:pPr>
              <w:jc w:val="center"/>
              <w:rPr>
                <w:rFonts w:ascii="Times New Roman" w:hAnsi="Times New Roman" w:cs="Times New Roman"/>
                <w:sz w:val="24"/>
                <w:szCs w:val="24"/>
                <w:lang w:val="ro-RO"/>
              </w:rPr>
            </w:pPr>
          </w:p>
        </w:tc>
        <w:tc>
          <w:tcPr>
            <w:tcW w:w="7196" w:type="dxa"/>
          </w:tcPr>
          <w:p w:rsidR="00CD4F05" w:rsidRPr="00CD4F05" w:rsidRDefault="00CD4F05" w:rsidP="00BA1955">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Marcajul CE</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Cu referire la pct. 77–99 din proiectul naţional, opinăm asupra oportunităţii păstrării prevederilor referitoare la marca naţională de conformitate SM, potrivit art. 23 din Legea nr. 235 din 1 decembrie 2013 cu privire la aprobarea Regulamentului privind procedurile de evaluare a conformităţii produselor industriale din domeniul reglementat (module). Astfel, marcajul CE se aplică de către producător sau </w:t>
            </w:r>
            <w:r w:rsidRPr="00CD4F05">
              <w:rPr>
                <w:rFonts w:ascii="Times New Roman" w:hAnsi="Times New Roman" w:cs="Times New Roman"/>
                <w:sz w:val="24"/>
                <w:szCs w:val="24"/>
                <w:lang w:val="ro-RO"/>
              </w:rPr>
              <w:lastRenderedPageBreak/>
              <w:t>reprezentantul autorizat al acestuia, prin care producătorul, pe propria sa răspundere, indică faptul că produsul este în conformitate cu cerinţele aplicabile stabilite în legislaţia UE de armonizare, care prevede aplicarea sa pe produs. Statele non-membre UE, în perioada de tranziţie la reglementările tehnice UE, nu pot utiliza marcajul CE pentru a indica conformitatea cu reglementările tehnice naţionale. Acest lucru ar putea indica echivalenţa cu reglementarea UE şi implementarea acesteia, care nu poate fi asumată unilateral şi ar induce în eroare producătorii şi consumatorii. Astfel, în perioada de tranziţie (de adoptare a sistemului de reglementare UE) pentru state este o practică obişnuită de a aplica marcajul de conformitate naţional, ca măsură temporară pentru demonstrarea conformităţii produselor fabricate local. Astfel, cu titlu provizoriu, va fi utilizată marca naţională de conformitate ce ar demonstra conformitatea produsului cu cerinţele reglementărilor tehnice naţionale ce transpun cerinţele UE aplicabile produselor în cauză, iar evaluarea conformităţii produselor va fi certificată de organismele desemnate la nivel naţional, care urmează să respecte cerinţele înaintate faţă de „organismele notificate”, stabilite în legislaţia UE.</w:t>
            </w:r>
          </w:p>
        </w:tc>
        <w:tc>
          <w:tcPr>
            <w:tcW w:w="524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lastRenderedPageBreak/>
              <w:t xml:space="preserve">Nu se acceptă, </w:t>
            </w:r>
          </w:p>
          <w:p w:rsidR="00CD4F05" w:rsidRPr="00CD4F05" w:rsidRDefault="00CD4F05" w:rsidP="00A913EF">
            <w:pPr>
              <w:jc w:val="both"/>
              <w:rPr>
                <w:rFonts w:ascii="Times New Roman" w:hAnsi="Times New Roman" w:cs="Times New Roman"/>
                <w:color w:val="FF0000"/>
                <w:sz w:val="24"/>
                <w:szCs w:val="24"/>
                <w:lang w:val="ro-RO"/>
              </w:rPr>
            </w:pPr>
            <w:r w:rsidRPr="00CD4F05">
              <w:rPr>
                <w:rFonts w:ascii="Times New Roman" w:hAnsi="Times New Roman" w:cs="Times New Roman"/>
                <w:color w:val="FF0000"/>
                <w:sz w:val="24"/>
                <w:szCs w:val="24"/>
                <w:lang w:val="ro-RO"/>
              </w:rPr>
              <w:t xml:space="preserve">Ministerul Economiei a elaborat proiectul de modificare a Legii nr. 235 din 11.12.2011 care prevede includerea prevederilor ce ţin de aplicarea marcajului CE, </w:t>
            </w:r>
            <w:r w:rsidR="004E5B15" w:rsidRPr="005E6E4A">
              <w:rPr>
                <w:rFonts w:ascii="Times New Roman" w:hAnsi="Times New Roman" w:cs="Times New Roman"/>
                <w:color w:val="FF0000"/>
                <w:sz w:val="24"/>
                <w:szCs w:val="24"/>
                <w:lang w:val="ro-RO"/>
              </w:rPr>
              <w:t xml:space="preserve">care </w:t>
            </w:r>
            <w:r w:rsidRPr="005E6E4A">
              <w:rPr>
                <w:rFonts w:ascii="Times New Roman" w:hAnsi="Times New Roman" w:cs="Times New Roman"/>
                <w:color w:val="FF0000"/>
                <w:sz w:val="24"/>
                <w:szCs w:val="24"/>
                <w:lang w:val="ro-RO"/>
              </w:rPr>
              <w:t>nu este restricţionată pentru producători</w:t>
            </w:r>
            <w:r w:rsidR="004E5B15" w:rsidRPr="005E6E4A">
              <w:rPr>
                <w:rFonts w:ascii="Times New Roman" w:hAnsi="Times New Roman" w:cs="Times New Roman"/>
                <w:color w:val="FF0000"/>
                <w:sz w:val="24"/>
                <w:szCs w:val="24"/>
                <w:lang w:val="ro-RO"/>
              </w:rPr>
              <w:t>i</w:t>
            </w:r>
            <w:r w:rsidRPr="005E6E4A">
              <w:rPr>
                <w:rFonts w:ascii="Times New Roman" w:hAnsi="Times New Roman" w:cs="Times New Roman"/>
                <w:color w:val="FF0000"/>
                <w:sz w:val="24"/>
                <w:szCs w:val="24"/>
                <w:lang w:val="ro-RO"/>
              </w:rPr>
              <w:t xml:space="preserve"> din </w:t>
            </w:r>
            <w:r w:rsidR="005E6E4A" w:rsidRPr="005E6E4A">
              <w:rPr>
                <w:rFonts w:ascii="Times New Roman" w:hAnsi="Times New Roman" w:cs="Times New Roman"/>
                <w:color w:val="FF0000"/>
                <w:sz w:val="24"/>
                <w:szCs w:val="24"/>
                <w:lang w:val="ro-RO"/>
              </w:rPr>
              <w:t>ţ</w:t>
            </w:r>
            <w:r w:rsidR="004E5B15" w:rsidRPr="005E6E4A">
              <w:rPr>
                <w:rFonts w:ascii="Times New Roman" w:hAnsi="Times New Roman" w:cs="Times New Roman"/>
                <w:color w:val="FF0000"/>
                <w:sz w:val="24"/>
                <w:szCs w:val="24"/>
                <w:lang w:val="ro-RO"/>
              </w:rPr>
              <w:t>ările</w:t>
            </w:r>
            <w:r w:rsidRPr="005E6E4A">
              <w:rPr>
                <w:rFonts w:ascii="Times New Roman" w:hAnsi="Times New Roman" w:cs="Times New Roman"/>
                <w:color w:val="FF0000"/>
                <w:sz w:val="24"/>
                <w:szCs w:val="24"/>
                <w:lang w:val="ro-RO"/>
              </w:rPr>
              <w:t xml:space="preserve"> terţe, </w:t>
            </w:r>
            <w:r w:rsidR="004E5B15" w:rsidRPr="005E6E4A">
              <w:rPr>
                <w:rFonts w:ascii="Times New Roman" w:hAnsi="Times New Roman" w:cs="Times New Roman"/>
                <w:color w:val="FF0000"/>
                <w:sz w:val="24"/>
                <w:szCs w:val="24"/>
                <w:lang w:val="ro-RO"/>
              </w:rPr>
              <w:t xml:space="preserve">cu </w:t>
            </w:r>
            <w:r w:rsidR="005E6E4A" w:rsidRPr="005E6E4A">
              <w:rPr>
                <w:rFonts w:ascii="Times New Roman" w:hAnsi="Times New Roman" w:cs="Times New Roman"/>
                <w:color w:val="FF0000"/>
                <w:sz w:val="24"/>
                <w:szCs w:val="24"/>
                <w:lang w:val="ro-RO"/>
              </w:rPr>
              <w:t>condiţ</w:t>
            </w:r>
            <w:r w:rsidR="004E5B15" w:rsidRPr="005E6E4A">
              <w:rPr>
                <w:rFonts w:ascii="Times New Roman" w:hAnsi="Times New Roman" w:cs="Times New Roman"/>
                <w:color w:val="FF0000"/>
                <w:sz w:val="24"/>
                <w:szCs w:val="24"/>
                <w:lang w:val="ro-RO"/>
              </w:rPr>
              <w:t xml:space="preserve">ia </w:t>
            </w:r>
            <w:r w:rsidRPr="005E6E4A">
              <w:rPr>
                <w:rFonts w:ascii="Times New Roman" w:hAnsi="Times New Roman" w:cs="Times New Roman"/>
                <w:color w:val="FF0000"/>
                <w:sz w:val="24"/>
                <w:szCs w:val="24"/>
                <w:lang w:val="ro-RO"/>
              </w:rPr>
              <w:t>respect</w:t>
            </w:r>
            <w:r w:rsidR="004E5B15" w:rsidRPr="005E6E4A">
              <w:rPr>
                <w:rFonts w:ascii="Times New Roman" w:hAnsi="Times New Roman" w:cs="Times New Roman"/>
                <w:color w:val="FF0000"/>
                <w:sz w:val="24"/>
                <w:szCs w:val="24"/>
                <w:lang w:val="ro-RO"/>
              </w:rPr>
              <w:t>ării</w:t>
            </w:r>
            <w:r w:rsidRPr="005E6E4A">
              <w:rPr>
                <w:rFonts w:ascii="Times New Roman" w:hAnsi="Times New Roman" w:cs="Times New Roman"/>
                <w:color w:val="FF0000"/>
                <w:sz w:val="24"/>
                <w:szCs w:val="24"/>
                <w:lang w:val="ro-RO"/>
              </w:rPr>
              <w:t xml:space="preserve"> strict</w:t>
            </w:r>
            <w:r w:rsidR="004E5B15" w:rsidRPr="005E6E4A">
              <w:rPr>
                <w:rFonts w:ascii="Times New Roman" w:hAnsi="Times New Roman" w:cs="Times New Roman"/>
                <w:color w:val="FF0000"/>
                <w:sz w:val="24"/>
                <w:szCs w:val="24"/>
                <w:lang w:val="ro-RO"/>
              </w:rPr>
              <w:t xml:space="preserve">e </w:t>
            </w:r>
            <w:r w:rsidRPr="005E6E4A">
              <w:rPr>
                <w:rFonts w:ascii="Times New Roman" w:hAnsi="Times New Roman" w:cs="Times New Roman"/>
                <w:color w:val="FF0000"/>
                <w:sz w:val="24"/>
                <w:szCs w:val="24"/>
                <w:lang w:val="ro-RO"/>
              </w:rPr>
              <w:t>a tuturor prevederilor din</w:t>
            </w:r>
            <w:r w:rsidR="005E6E4A" w:rsidRPr="005E6E4A">
              <w:rPr>
                <w:rFonts w:ascii="Times New Roman" w:hAnsi="Times New Roman" w:cs="Times New Roman"/>
                <w:color w:val="FF0000"/>
                <w:sz w:val="24"/>
                <w:szCs w:val="24"/>
                <w:lang w:val="ro-RO"/>
              </w:rPr>
              <w:t xml:space="preserve"> </w:t>
            </w:r>
            <w:r w:rsidR="004E5B15" w:rsidRPr="005E6E4A">
              <w:rPr>
                <w:rFonts w:ascii="Times New Roman" w:hAnsi="Times New Roman" w:cs="Times New Roman"/>
                <w:color w:val="FF0000"/>
                <w:sz w:val="24"/>
                <w:szCs w:val="24"/>
                <w:lang w:val="ro-RO"/>
              </w:rPr>
              <w:t xml:space="preserve">reglementarea </w:t>
            </w:r>
            <w:r w:rsidR="004E5B15" w:rsidRPr="005E6E4A">
              <w:rPr>
                <w:rFonts w:ascii="Times New Roman" w:hAnsi="Times New Roman" w:cs="Times New Roman"/>
                <w:color w:val="FF0000"/>
                <w:sz w:val="24"/>
                <w:szCs w:val="24"/>
                <w:lang w:val="ro-RO"/>
              </w:rPr>
              <w:lastRenderedPageBreak/>
              <w:t xml:space="preserve">tehnică </w:t>
            </w:r>
            <w:r w:rsidRPr="005E6E4A">
              <w:rPr>
                <w:rFonts w:ascii="Times New Roman" w:hAnsi="Times New Roman" w:cs="Times New Roman"/>
                <w:color w:val="FF0000"/>
                <w:sz w:val="24"/>
                <w:szCs w:val="24"/>
                <w:lang w:val="ro-RO"/>
              </w:rPr>
              <w:t>respectivă.</w:t>
            </w:r>
            <w:r w:rsidRPr="00CD4F05">
              <w:rPr>
                <w:rFonts w:ascii="Times New Roman" w:hAnsi="Times New Roman" w:cs="Times New Roman"/>
                <w:color w:val="FF0000"/>
                <w:sz w:val="24"/>
                <w:szCs w:val="24"/>
                <w:lang w:val="ro-RO"/>
              </w:rPr>
              <w:t xml:space="preserve"> </w:t>
            </w:r>
          </w:p>
          <w:p w:rsidR="00CD4F05" w:rsidRPr="00CD4F05" w:rsidRDefault="00CD4F05" w:rsidP="005E6E4A">
            <w:pPr>
              <w:jc w:val="both"/>
              <w:rPr>
                <w:rFonts w:ascii="Times New Roman" w:hAnsi="Times New Roman" w:cs="Times New Roman"/>
                <w:sz w:val="24"/>
                <w:szCs w:val="24"/>
                <w:lang w:val="ro-RO"/>
              </w:rPr>
            </w:pPr>
            <w:r w:rsidRPr="00CD4F05">
              <w:rPr>
                <w:rFonts w:ascii="Times New Roman" w:hAnsi="Times New Roman" w:cs="Times New Roman"/>
                <w:color w:val="FF0000"/>
                <w:sz w:val="24"/>
                <w:szCs w:val="24"/>
                <w:lang w:val="ro-RO"/>
              </w:rPr>
              <w:t xml:space="preserve">Este de menţionat că, producătorii din China exportă produsele pe piaţa UE aplicînd marcajul respectiv sub responsabilitatea producătorului sau reprezentantului autorizat. În cadrul consultării proiectului reglementării în cauză a fost consultat şi producătorul autohton a mijloacelor de măsurare (contoare de energie electrică), ce fac obiectul prezentei reglementări tehnice - „ADD-Production” SRL. Producător nominalizat actualmente exportă mijloace de măsurare pe piaţa UE </w:t>
            </w:r>
            <w:r w:rsidRPr="005E6E4A">
              <w:rPr>
                <w:rFonts w:ascii="Times New Roman" w:hAnsi="Times New Roman" w:cs="Times New Roman"/>
                <w:color w:val="FF0000"/>
                <w:sz w:val="24"/>
                <w:szCs w:val="24"/>
                <w:lang w:val="ro-RO"/>
              </w:rPr>
              <w:t xml:space="preserve">respectînd toate cerinţele din reglementare, inclusiv </w:t>
            </w:r>
            <w:r w:rsidR="004E5B15" w:rsidRPr="005E6E4A">
              <w:rPr>
                <w:rFonts w:ascii="Times New Roman" w:hAnsi="Times New Roman" w:cs="Times New Roman"/>
                <w:color w:val="FF0000"/>
                <w:sz w:val="24"/>
                <w:szCs w:val="24"/>
                <w:lang w:val="ro-RO"/>
              </w:rPr>
              <w:t xml:space="preserve"> </w:t>
            </w:r>
            <w:r w:rsidRPr="005E6E4A">
              <w:rPr>
                <w:rFonts w:ascii="Times New Roman" w:hAnsi="Times New Roman" w:cs="Times New Roman"/>
                <w:color w:val="FF0000"/>
                <w:sz w:val="24"/>
                <w:szCs w:val="24"/>
                <w:lang w:val="ro-RO"/>
              </w:rPr>
              <w:t>condiţia</w:t>
            </w:r>
            <w:r w:rsidR="005E6E4A" w:rsidRPr="005E6E4A">
              <w:rPr>
                <w:rFonts w:ascii="Times New Roman" w:hAnsi="Times New Roman" w:cs="Times New Roman"/>
                <w:color w:val="FF0000"/>
                <w:sz w:val="24"/>
                <w:szCs w:val="24"/>
                <w:lang w:val="ro-RO"/>
              </w:rPr>
              <w:t xml:space="preserve"> </w:t>
            </w:r>
            <w:r w:rsidR="004E5B15" w:rsidRPr="005E6E4A">
              <w:rPr>
                <w:rFonts w:ascii="Times New Roman" w:hAnsi="Times New Roman" w:cs="Times New Roman"/>
                <w:color w:val="FF0000"/>
                <w:sz w:val="24"/>
                <w:szCs w:val="24"/>
                <w:lang w:val="ro-RO"/>
              </w:rPr>
              <w:t xml:space="preserve">de </w:t>
            </w:r>
            <w:r w:rsidRPr="005E6E4A">
              <w:rPr>
                <w:rFonts w:ascii="Times New Roman" w:hAnsi="Times New Roman" w:cs="Times New Roman"/>
                <w:color w:val="FF0000"/>
                <w:sz w:val="24"/>
                <w:szCs w:val="24"/>
                <w:lang w:val="ro-RO"/>
              </w:rPr>
              <w:t>apel</w:t>
            </w:r>
            <w:r w:rsidR="004E5B15" w:rsidRPr="005E6E4A">
              <w:rPr>
                <w:rFonts w:ascii="Times New Roman" w:hAnsi="Times New Roman" w:cs="Times New Roman"/>
                <w:color w:val="FF0000"/>
                <w:sz w:val="24"/>
                <w:szCs w:val="24"/>
                <w:lang w:val="ro-RO"/>
              </w:rPr>
              <w:t>are</w:t>
            </w:r>
            <w:r w:rsidRPr="005E6E4A">
              <w:rPr>
                <w:rFonts w:ascii="Times New Roman" w:hAnsi="Times New Roman" w:cs="Times New Roman"/>
                <w:color w:val="FF0000"/>
                <w:sz w:val="24"/>
                <w:szCs w:val="24"/>
                <w:lang w:val="ro-RO"/>
              </w:rPr>
              <w:t xml:space="preserve"> la</w:t>
            </w:r>
            <w:r w:rsidR="004E5B15" w:rsidRPr="005E6E4A">
              <w:rPr>
                <w:rFonts w:ascii="Times New Roman" w:hAnsi="Times New Roman" w:cs="Times New Roman"/>
                <w:color w:val="FF0000"/>
                <w:sz w:val="24"/>
                <w:szCs w:val="24"/>
                <w:lang w:val="ro-RO"/>
              </w:rPr>
              <w:t xml:space="preserve"> un </w:t>
            </w:r>
            <w:r w:rsidRPr="005E6E4A">
              <w:rPr>
                <w:rFonts w:ascii="Times New Roman" w:hAnsi="Times New Roman" w:cs="Times New Roman"/>
                <w:color w:val="FF0000"/>
                <w:sz w:val="24"/>
                <w:szCs w:val="24"/>
                <w:lang w:val="ro-RO"/>
              </w:rPr>
              <w:t xml:space="preserve"> organism de evaluare a conformităţii notificat</w:t>
            </w:r>
            <w:r w:rsidR="004E5B15" w:rsidRPr="005E6E4A">
              <w:rPr>
                <w:rFonts w:ascii="Times New Roman" w:hAnsi="Times New Roman" w:cs="Times New Roman"/>
                <w:color w:val="FF0000"/>
                <w:sz w:val="24"/>
                <w:szCs w:val="24"/>
                <w:lang w:val="ro-RO"/>
              </w:rPr>
              <w:t xml:space="preserve"> </w:t>
            </w:r>
            <w:r w:rsidR="004E5B15" w:rsidRPr="005E6E4A">
              <w:rPr>
                <w:rFonts w:ascii="Cambria Math" w:hAnsi="Cambria Math" w:cs="Cambria Math"/>
                <w:color w:val="FF0000"/>
                <w:sz w:val="24"/>
                <w:szCs w:val="24"/>
                <w:lang w:val="ro-RO"/>
              </w:rPr>
              <w:t>ș</w:t>
            </w:r>
            <w:r w:rsidR="004E5B15" w:rsidRPr="005E6E4A">
              <w:rPr>
                <w:rFonts w:ascii="Times New Roman" w:hAnsi="Times New Roman" w:cs="Times New Roman"/>
                <w:color w:val="FF0000"/>
                <w:sz w:val="24"/>
                <w:szCs w:val="24"/>
                <w:lang w:val="ro-RO"/>
              </w:rPr>
              <w:t>i de aplicare a marcajului CE</w:t>
            </w:r>
            <w:r w:rsidRPr="005E6E4A">
              <w:rPr>
                <w:rFonts w:ascii="Times New Roman" w:hAnsi="Times New Roman" w:cs="Times New Roman"/>
                <w:color w:val="FF0000"/>
                <w:sz w:val="24"/>
                <w:szCs w:val="24"/>
                <w:lang w:val="ro-RO"/>
              </w:rPr>
              <w:t>. Prevederi</w:t>
            </w:r>
            <w:r w:rsidR="004E5B15" w:rsidRPr="005E6E4A">
              <w:rPr>
                <w:rFonts w:ascii="Times New Roman" w:hAnsi="Times New Roman" w:cs="Times New Roman"/>
                <w:color w:val="FF0000"/>
                <w:sz w:val="24"/>
                <w:szCs w:val="24"/>
                <w:lang w:val="ro-RO"/>
              </w:rPr>
              <w:t>le</w:t>
            </w:r>
            <w:r w:rsidRPr="005E6E4A">
              <w:rPr>
                <w:rFonts w:ascii="Times New Roman" w:hAnsi="Times New Roman" w:cs="Times New Roman"/>
                <w:color w:val="FF0000"/>
                <w:sz w:val="24"/>
                <w:szCs w:val="24"/>
                <w:lang w:val="ro-RO"/>
              </w:rPr>
              <w:t xml:space="preserve"> privind marca de conformitate SM sunt pentru producători</w:t>
            </w:r>
            <w:r w:rsidR="004E5B15" w:rsidRPr="005E6E4A">
              <w:rPr>
                <w:rFonts w:ascii="Times New Roman" w:hAnsi="Times New Roman" w:cs="Times New Roman"/>
                <w:color w:val="FF0000"/>
                <w:sz w:val="24"/>
                <w:szCs w:val="24"/>
                <w:lang w:val="ro-RO"/>
              </w:rPr>
              <w:t>i</w:t>
            </w:r>
            <w:r w:rsidRPr="005E6E4A">
              <w:rPr>
                <w:rFonts w:ascii="Times New Roman" w:hAnsi="Times New Roman" w:cs="Times New Roman"/>
                <w:color w:val="FF0000"/>
                <w:sz w:val="24"/>
                <w:szCs w:val="24"/>
                <w:lang w:val="ro-RO"/>
              </w:rPr>
              <w:t xml:space="preserve"> autohtoni care plasează produsele pe piaţa interna sau în ţările CSI în care aceasta marca este recunoscută în baza Acordurilor de recunoaştere reciprocă. </w:t>
            </w:r>
            <w:r w:rsidR="004E5B15" w:rsidRPr="005E6E4A">
              <w:rPr>
                <w:rFonts w:ascii="Times New Roman" w:hAnsi="Times New Roman" w:cs="Times New Roman"/>
                <w:color w:val="FF0000"/>
                <w:sz w:val="24"/>
                <w:szCs w:val="24"/>
                <w:lang w:val="ro-RO"/>
              </w:rPr>
              <w:t>Prevederile privind aplicarea mărcii SM vor fi valabile pănă la semnarea acordului AECA.</w:t>
            </w:r>
          </w:p>
        </w:tc>
      </w:tr>
      <w:tr w:rsidR="00CD4F05" w:rsidRPr="000240B9" w:rsidTr="00CD4F05">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76" w:type="dxa"/>
            <w:vMerge/>
          </w:tcPr>
          <w:p w:rsidR="00CD4F05" w:rsidRPr="00CD4F05" w:rsidRDefault="00CD4F05" w:rsidP="00C02294">
            <w:pPr>
              <w:jc w:val="center"/>
              <w:rPr>
                <w:rFonts w:ascii="Times New Roman" w:hAnsi="Times New Roman" w:cs="Times New Roman"/>
                <w:sz w:val="24"/>
                <w:szCs w:val="24"/>
                <w:lang w:val="ro-RO"/>
              </w:rPr>
            </w:pPr>
          </w:p>
        </w:tc>
        <w:tc>
          <w:tcPr>
            <w:tcW w:w="7196" w:type="dxa"/>
          </w:tcPr>
          <w:p w:rsidR="00CD4F05" w:rsidRPr="00CD4F05" w:rsidRDefault="00CD4F05" w:rsidP="00BA1955">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Organismele de evaluare a conformităţii</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Cu referire la pct. 93–125 din proiectul naţional, atragem atenţia asupra faptului că au fost preluate prevederi UE referitoare la autoritatea de notificare şi organisme de evaluare a conformităţii notificate din actul UE, prevederi a căror destinatari sunt exclusiv statele membre şi care nu pot fi implementate de un stat terţ, chiar şi asociat la UE, cum este Republica Moldova. </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Mai mult ca atît, Legea nr. 235 din 1 decembrie 2013 cu privire la aprobarea Regulamentului privind procedurile de evaluare a conformităţii produselor industriale din domeniul reglementat (module), identifică organisme de evaluare a conformităţii şi organismul naţional de acreditare, fără a prevedea existenţa unei autorităţi de notificare şi organisme de evaluare a conformităţii notificate.</w:t>
            </w:r>
          </w:p>
        </w:tc>
        <w:tc>
          <w:tcPr>
            <w:tcW w:w="5246" w:type="dxa"/>
          </w:tcPr>
          <w:p w:rsidR="00CD4F05" w:rsidRPr="00CD4F05" w:rsidRDefault="00CD4F05" w:rsidP="00C02294">
            <w:pPr>
              <w:jc w:val="center"/>
              <w:rPr>
                <w:rFonts w:ascii="Times New Roman" w:hAnsi="Times New Roman" w:cs="Times New Roman"/>
                <w:sz w:val="24"/>
                <w:szCs w:val="24"/>
                <w:lang w:val="en-US"/>
              </w:rPr>
            </w:pPr>
            <w:r w:rsidRPr="00CD4F05">
              <w:rPr>
                <w:rFonts w:ascii="Times New Roman" w:hAnsi="Times New Roman" w:cs="Times New Roman"/>
                <w:b/>
                <w:sz w:val="24"/>
                <w:szCs w:val="24"/>
                <w:lang w:val="ro-RO"/>
              </w:rPr>
              <w:t>Nu se acceptă,</w:t>
            </w:r>
            <w:r w:rsidRPr="00CD4F05">
              <w:rPr>
                <w:rFonts w:ascii="Times New Roman" w:hAnsi="Times New Roman" w:cs="Times New Roman"/>
                <w:sz w:val="24"/>
                <w:szCs w:val="24"/>
                <w:lang w:val="en-US"/>
              </w:rPr>
              <w:t xml:space="preserve"> </w:t>
            </w:r>
          </w:p>
          <w:p w:rsidR="00CD4F05" w:rsidRPr="00CD4F05" w:rsidRDefault="00CD4F05" w:rsidP="00234E58">
            <w:pPr>
              <w:jc w:val="both"/>
              <w:rPr>
                <w:rFonts w:ascii="Times New Roman" w:hAnsi="Times New Roman" w:cs="Times New Roman"/>
                <w:b/>
                <w:sz w:val="24"/>
                <w:szCs w:val="24"/>
                <w:lang w:val="ro-RO"/>
              </w:rPr>
            </w:pPr>
            <w:r w:rsidRPr="00CD4F05">
              <w:rPr>
                <w:rFonts w:ascii="Times New Roman" w:hAnsi="Times New Roman" w:cs="Times New Roman"/>
                <w:sz w:val="24"/>
                <w:szCs w:val="24"/>
                <w:lang w:val="ro-RO"/>
              </w:rPr>
              <w:t>În art. 30 din Legea nr. 235 din 11.12.2011 privind activităţile de acreditare şi de evaluare a conformităţii este stabilit ca î</w:t>
            </w:r>
            <w:r w:rsidRPr="00CD4F05">
              <w:rPr>
                <w:rFonts w:ascii="Times New Roman" w:hAnsi="Times New Roman" w:cs="Times New Roman"/>
                <w:sz w:val="24"/>
                <w:szCs w:val="24"/>
                <w:lang w:val="en-US"/>
              </w:rPr>
              <w:t xml:space="preserve">n </w:t>
            </w:r>
            <w:proofErr w:type="spellStart"/>
            <w:r w:rsidRPr="00CD4F05">
              <w:rPr>
                <w:rFonts w:ascii="Times New Roman" w:hAnsi="Times New Roman" w:cs="Times New Roman"/>
                <w:sz w:val="24"/>
                <w:szCs w:val="24"/>
                <w:lang w:val="en-US"/>
              </w:rPr>
              <w:t>domeniul</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evaluării</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conformităţii</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autorităţile</w:t>
            </w:r>
            <w:proofErr w:type="spellEnd"/>
            <w:r w:rsidRPr="00CD4F05">
              <w:rPr>
                <w:rFonts w:ascii="Times New Roman" w:hAnsi="Times New Roman" w:cs="Times New Roman"/>
                <w:sz w:val="24"/>
                <w:szCs w:val="24"/>
                <w:lang w:val="en-US"/>
              </w:rPr>
              <w:t xml:space="preserve"> cu </w:t>
            </w:r>
            <w:proofErr w:type="spellStart"/>
            <w:r w:rsidRPr="00CD4F05">
              <w:rPr>
                <w:rFonts w:ascii="Times New Roman" w:hAnsi="Times New Roman" w:cs="Times New Roman"/>
                <w:sz w:val="24"/>
                <w:szCs w:val="24"/>
                <w:lang w:val="en-US"/>
              </w:rPr>
              <w:t>funcţii</w:t>
            </w:r>
            <w:proofErr w:type="spellEnd"/>
            <w:r w:rsidRPr="00CD4F05">
              <w:rPr>
                <w:rFonts w:ascii="Times New Roman" w:hAnsi="Times New Roman" w:cs="Times New Roman"/>
                <w:sz w:val="24"/>
                <w:szCs w:val="24"/>
                <w:lang w:val="en-US"/>
              </w:rPr>
              <w:t xml:space="preserve"> de </w:t>
            </w:r>
            <w:proofErr w:type="spellStart"/>
            <w:r w:rsidRPr="00CD4F05">
              <w:rPr>
                <w:rFonts w:ascii="Times New Roman" w:hAnsi="Times New Roman" w:cs="Times New Roman"/>
                <w:sz w:val="24"/>
                <w:szCs w:val="24"/>
                <w:lang w:val="en-US"/>
              </w:rPr>
              <w:t>reglementare</w:t>
            </w:r>
            <w:proofErr w:type="spellEnd"/>
            <w:r w:rsidRPr="00CD4F05">
              <w:rPr>
                <w:rFonts w:ascii="Times New Roman" w:hAnsi="Times New Roman" w:cs="Times New Roman"/>
                <w:sz w:val="24"/>
                <w:szCs w:val="24"/>
                <w:lang w:val="en-US"/>
              </w:rPr>
              <w:t xml:space="preserve"> au </w:t>
            </w:r>
            <w:proofErr w:type="spellStart"/>
            <w:r w:rsidRPr="00CD4F05">
              <w:rPr>
                <w:rFonts w:ascii="Times New Roman" w:hAnsi="Times New Roman" w:cs="Times New Roman"/>
                <w:sz w:val="24"/>
                <w:szCs w:val="24"/>
                <w:lang w:val="en-US"/>
              </w:rPr>
              <w:t>atribuţia</w:t>
            </w:r>
            <w:proofErr w:type="spellEnd"/>
            <w:r w:rsidRPr="00CD4F05">
              <w:rPr>
                <w:rFonts w:ascii="Times New Roman" w:hAnsi="Times New Roman" w:cs="Times New Roman"/>
                <w:sz w:val="24"/>
                <w:szCs w:val="24"/>
                <w:lang w:val="en-US"/>
              </w:rPr>
              <w:t xml:space="preserve"> de a </w:t>
            </w:r>
            <w:proofErr w:type="spellStart"/>
            <w:r w:rsidRPr="00CD4F05">
              <w:rPr>
                <w:rFonts w:ascii="Times New Roman" w:hAnsi="Times New Roman" w:cs="Times New Roman"/>
                <w:sz w:val="24"/>
                <w:szCs w:val="24"/>
                <w:lang w:val="en-US"/>
              </w:rPr>
              <w:t>comunica</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şi</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coopera</w:t>
            </w:r>
            <w:proofErr w:type="spellEnd"/>
            <w:r w:rsidRPr="00CD4F05">
              <w:rPr>
                <w:rFonts w:ascii="Times New Roman" w:hAnsi="Times New Roman" w:cs="Times New Roman"/>
                <w:sz w:val="24"/>
                <w:szCs w:val="24"/>
                <w:lang w:val="en-US"/>
              </w:rPr>
              <w:t xml:space="preserve"> cu </w:t>
            </w:r>
            <w:proofErr w:type="spellStart"/>
            <w:r w:rsidRPr="00CD4F05">
              <w:rPr>
                <w:rFonts w:ascii="Times New Roman" w:hAnsi="Times New Roman" w:cs="Times New Roman"/>
                <w:sz w:val="24"/>
                <w:szCs w:val="24"/>
                <w:lang w:val="en-US"/>
              </w:rPr>
              <w:t>Centrul</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Naţional</w:t>
            </w:r>
            <w:proofErr w:type="spellEnd"/>
            <w:r w:rsidRPr="00CD4F05">
              <w:rPr>
                <w:rFonts w:ascii="Times New Roman" w:hAnsi="Times New Roman" w:cs="Times New Roman"/>
                <w:sz w:val="24"/>
                <w:szCs w:val="24"/>
                <w:lang w:val="en-US"/>
              </w:rPr>
              <w:t xml:space="preserve"> de </w:t>
            </w:r>
            <w:proofErr w:type="spellStart"/>
            <w:r w:rsidRPr="00CD4F05">
              <w:rPr>
                <w:rFonts w:ascii="Times New Roman" w:hAnsi="Times New Roman" w:cs="Times New Roman"/>
                <w:sz w:val="24"/>
                <w:szCs w:val="24"/>
                <w:lang w:val="en-US"/>
              </w:rPr>
              <w:t>Acreditare</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inclusiv</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în</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vederea</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notificării</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organismelor</w:t>
            </w:r>
            <w:proofErr w:type="spellEnd"/>
            <w:r w:rsidRPr="00CD4F05">
              <w:rPr>
                <w:rFonts w:ascii="Times New Roman" w:hAnsi="Times New Roman" w:cs="Times New Roman"/>
                <w:sz w:val="24"/>
                <w:szCs w:val="24"/>
                <w:lang w:val="en-US"/>
              </w:rPr>
              <w:t xml:space="preserve"> de </w:t>
            </w:r>
            <w:proofErr w:type="spellStart"/>
            <w:r w:rsidRPr="00CD4F05">
              <w:rPr>
                <w:rFonts w:ascii="Times New Roman" w:hAnsi="Times New Roman" w:cs="Times New Roman"/>
                <w:sz w:val="24"/>
                <w:szCs w:val="24"/>
                <w:lang w:val="en-US"/>
              </w:rPr>
              <w:t>evaluare</w:t>
            </w:r>
            <w:proofErr w:type="spellEnd"/>
            <w:r w:rsidRPr="00CD4F05">
              <w:rPr>
                <w:rFonts w:ascii="Times New Roman" w:hAnsi="Times New Roman" w:cs="Times New Roman"/>
                <w:sz w:val="24"/>
                <w:szCs w:val="24"/>
                <w:lang w:val="en-US"/>
              </w:rPr>
              <w:t xml:space="preserve"> a </w:t>
            </w:r>
            <w:proofErr w:type="spellStart"/>
            <w:r w:rsidRPr="00CD4F05">
              <w:rPr>
                <w:rFonts w:ascii="Times New Roman" w:hAnsi="Times New Roman" w:cs="Times New Roman"/>
                <w:sz w:val="24"/>
                <w:szCs w:val="24"/>
                <w:lang w:val="en-US"/>
              </w:rPr>
              <w:t>conformităţii</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în</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domeniul</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reglementat</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Astfel</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autorităţile</w:t>
            </w:r>
            <w:proofErr w:type="spellEnd"/>
            <w:r w:rsidRPr="00CD4F05">
              <w:rPr>
                <w:rFonts w:ascii="Times New Roman" w:hAnsi="Times New Roman" w:cs="Times New Roman"/>
                <w:sz w:val="24"/>
                <w:szCs w:val="24"/>
                <w:lang w:val="en-US"/>
              </w:rPr>
              <w:t xml:space="preserve"> de </w:t>
            </w:r>
            <w:proofErr w:type="spellStart"/>
            <w:r w:rsidRPr="00CD4F05">
              <w:rPr>
                <w:rFonts w:ascii="Times New Roman" w:hAnsi="Times New Roman" w:cs="Times New Roman"/>
                <w:sz w:val="24"/>
                <w:szCs w:val="24"/>
                <w:lang w:val="en-US"/>
              </w:rPr>
              <w:t>reglementare</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sunt</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responsabile</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pentru</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notificarea</w:t>
            </w:r>
            <w:proofErr w:type="spellEnd"/>
            <w:r w:rsidRPr="00CD4F05">
              <w:rPr>
                <w:rFonts w:ascii="Times New Roman" w:hAnsi="Times New Roman" w:cs="Times New Roman"/>
                <w:sz w:val="24"/>
                <w:szCs w:val="24"/>
                <w:lang w:val="en-US"/>
              </w:rPr>
              <w:t xml:space="preserve"> </w:t>
            </w:r>
            <w:proofErr w:type="spellStart"/>
            <w:r w:rsidRPr="00CD4F05">
              <w:rPr>
                <w:rFonts w:ascii="Times New Roman" w:hAnsi="Times New Roman" w:cs="Times New Roman"/>
                <w:sz w:val="24"/>
                <w:szCs w:val="24"/>
                <w:lang w:val="en-US"/>
              </w:rPr>
              <w:t>organismelor</w:t>
            </w:r>
            <w:proofErr w:type="spellEnd"/>
            <w:r w:rsidRPr="00CD4F05">
              <w:rPr>
                <w:rFonts w:ascii="Times New Roman" w:hAnsi="Times New Roman" w:cs="Times New Roman"/>
                <w:sz w:val="24"/>
                <w:szCs w:val="24"/>
                <w:lang w:val="en-US"/>
              </w:rPr>
              <w:t xml:space="preserve"> de </w:t>
            </w:r>
            <w:proofErr w:type="spellStart"/>
            <w:r w:rsidRPr="00CD4F05">
              <w:rPr>
                <w:rFonts w:ascii="Times New Roman" w:hAnsi="Times New Roman" w:cs="Times New Roman"/>
                <w:sz w:val="24"/>
                <w:szCs w:val="24"/>
                <w:lang w:val="en-US"/>
              </w:rPr>
              <w:t>evaluare</w:t>
            </w:r>
            <w:proofErr w:type="spellEnd"/>
            <w:r w:rsidRPr="00CD4F05">
              <w:rPr>
                <w:rFonts w:ascii="Times New Roman" w:hAnsi="Times New Roman" w:cs="Times New Roman"/>
                <w:sz w:val="24"/>
                <w:szCs w:val="24"/>
                <w:lang w:val="en-US"/>
              </w:rPr>
              <w:t xml:space="preserve"> a </w:t>
            </w:r>
            <w:proofErr w:type="spellStart"/>
            <w:r w:rsidRPr="00CD4F05">
              <w:rPr>
                <w:rFonts w:ascii="Times New Roman" w:hAnsi="Times New Roman" w:cs="Times New Roman"/>
                <w:sz w:val="24"/>
                <w:szCs w:val="24"/>
                <w:lang w:val="en-US"/>
              </w:rPr>
              <w:t>conformităţii</w:t>
            </w:r>
            <w:proofErr w:type="spellEnd"/>
            <w:r w:rsidRPr="00CD4F05">
              <w:rPr>
                <w:rFonts w:ascii="Times New Roman" w:hAnsi="Times New Roman" w:cs="Times New Roman"/>
                <w:sz w:val="24"/>
                <w:szCs w:val="24"/>
                <w:lang w:val="en-US"/>
              </w:rPr>
              <w:t>.</w:t>
            </w:r>
          </w:p>
        </w:tc>
      </w:tr>
      <w:tr w:rsidR="00CD4F05" w:rsidRPr="000240B9" w:rsidTr="00CD4F05">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76" w:type="dxa"/>
            <w:vMerge/>
          </w:tcPr>
          <w:p w:rsidR="00CD4F05" w:rsidRPr="00CD4F05" w:rsidRDefault="00CD4F05" w:rsidP="00C02294">
            <w:pPr>
              <w:jc w:val="center"/>
              <w:rPr>
                <w:rFonts w:ascii="Times New Roman" w:hAnsi="Times New Roman" w:cs="Times New Roman"/>
                <w:sz w:val="24"/>
                <w:szCs w:val="24"/>
                <w:lang w:val="ro-RO"/>
              </w:rPr>
            </w:pPr>
          </w:p>
        </w:tc>
        <w:tc>
          <w:tcPr>
            <w:tcW w:w="7196" w:type="dxa"/>
          </w:tcPr>
          <w:p w:rsidR="00CD4F05" w:rsidRPr="00CD4F05" w:rsidRDefault="00CD4F05" w:rsidP="00BA1955">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Anexe</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lastRenderedPageBreak/>
              <w:t>Ca urmare a unei erori redacţionale, prevederea de la pct. 1.3.2 din Anexa nr. 1 – „a) Condiţiile mecanice de mediu sunt clasificate în clase de la M1 la M3, conform prezentării de mai jos” din proiectul naţional, a fost inserată şi în pct. 1.3.1 din respectiva Anexă. În acest sens, pentru a nu denatura sensul prevederilor pct. 1.3.1, respectiva sintagmă urmează a fi exclusă din acest punct.</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Tabelul prevăzut la pct. 5.4 din Anexa nr. 7 a proiectului naţional urmează a fi transferat la pct. 7 din prezenta Anexă, pentru a corespunde cerinţelor Directivei 2014/32/UE.</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Proiectul naţional nu a transpus prevederile pct. 6 din Anexa nr. 8, similar Anexei VIII, pct. 6 din Directiva 2014/32/UE.</w:t>
            </w:r>
          </w:p>
        </w:tc>
        <w:tc>
          <w:tcPr>
            <w:tcW w:w="5246" w:type="dxa"/>
          </w:tcPr>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sz w:val="24"/>
                <w:szCs w:val="24"/>
                <w:lang w:val="ro-RO"/>
              </w:rPr>
            </w:pPr>
            <w:r w:rsidRPr="00CD4F05">
              <w:rPr>
                <w:rFonts w:ascii="Times New Roman" w:hAnsi="Times New Roman" w:cs="Times New Roman"/>
                <w:b/>
                <w:sz w:val="24"/>
                <w:szCs w:val="24"/>
                <w:lang w:val="ro-RO"/>
              </w:rPr>
              <w:lastRenderedPageBreak/>
              <w:t>Se acceptă</w:t>
            </w:r>
            <w:r w:rsidRPr="00CD4F05">
              <w:rPr>
                <w:rFonts w:ascii="Times New Roman" w:hAnsi="Times New Roman" w:cs="Times New Roman"/>
                <w:sz w:val="24"/>
                <w:szCs w:val="24"/>
                <w:lang w:val="en-US"/>
              </w:rPr>
              <w:t xml:space="preserve"> </w:t>
            </w:r>
          </w:p>
          <w:p w:rsidR="00CD4F05" w:rsidRPr="00CD4F05" w:rsidRDefault="00CD4F05" w:rsidP="00C02294">
            <w:pPr>
              <w:jc w:val="center"/>
              <w:rPr>
                <w:rFonts w:ascii="Times New Roman" w:hAnsi="Times New Roman" w:cs="Times New Roman"/>
                <w:sz w:val="24"/>
                <w:szCs w:val="24"/>
                <w:lang w:val="ro-RO"/>
              </w:rPr>
            </w:pPr>
          </w:p>
          <w:p w:rsidR="00CD4F05" w:rsidRPr="00CD4F05" w:rsidRDefault="00CD4F05" w:rsidP="00C02294">
            <w:pPr>
              <w:jc w:val="center"/>
              <w:rPr>
                <w:rFonts w:ascii="Times New Roman" w:hAnsi="Times New Roman" w:cs="Times New Roman"/>
                <w:sz w:val="24"/>
                <w:szCs w:val="24"/>
                <w:lang w:val="ro-RO"/>
              </w:rPr>
            </w:pPr>
          </w:p>
          <w:p w:rsidR="00CD4F05" w:rsidRPr="00CD4F05" w:rsidRDefault="00CD4F05" w:rsidP="00C02294">
            <w:pPr>
              <w:jc w:val="center"/>
              <w:rPr>
                <w:rFonts w:ascii="Times New Roman" w:hAnsi="Times New Roman" w:cs="Times New Roman"/>
                <w:sz w:val="24"/>
                <w:szCs w:val="24"/>
                <w:lang w:val="ro-RO"/>
              </w:rPr>
            </w:pPr>
          </w:p>
          <w:p w:rsidR="00CD4F05" w:rsidRPr="00CD4F05" w:rsidRDefault="00CD4F05" w:rsidP="00C02294">
            <w:pPr>
              <w:jc w:val="center"/>
              <w:rPr>
                <w:rFonts w:ascii="Times New Roman" w:hAnsi="Times New Roman" w:cs="Times New Roman"/>
                <w:sz w:val="24"/>
                <w:szCs w:val="24"/>
                <w:lang w:val="ro-RO"/>
              </w:rPr>
            </w:pPr>
          </w:p>
          <w:p w:rsidR="00CD4F05" w:rsidRPr="00CD4F05" w:rsidRDefault="00CD4F05" w:rsidP="00C02294">
            <w:pPr>
              <w:jc w:val="center"/>
              <w:rPr>
                <w:rFonts w:ascii="Times New Roman" w:hAnsi="Times New Roman" w:cs="Times New Roman"/>
                <w:sz w:val="24"/>
                <w:szCs w:val="24"/>
                <w:lang w:val="ro-RO"/>
              </w:rPr>
            </w:pPr>
          </w:p>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p>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p w:rsidR="00CD4F05" w:rsidRPr="00CD4F05" w:rsidRDefault="00CD4F05" w:rsidP="00C02294">
            <w:pPr>
              <w:jc w:val="center"/>
              <w:rPr>
                <w:rFonts w:ascii="Times New Roman" w:hAnsi="Times New Roman" w:cs="Times New Roman"/>
                <w:b/>
                <w:sz w:val="24"/>
                <w:szCs w:val="24"/>
                <w:lang w:val="ro-RO"/>
              </w:rPr>
            </w:pPr>
          </w:p>
        </w:tc>
      </w:tr>
      <w:tr w:rsidR="00CD4F05" w:rsidRPr="00CD4F05" w:rsidTr="00CD4F05">
        <w:tc>
          <w:tcPr>
            <w:tcW w:w="425" w:type="dxa"/>
            <w:vMerge/>
          </w:tcPr>
          <w:p w:rsidR="00CD4F05" w:rsidRPr="00CD4F05" w:rsidRDefault="00CD4F05" w:rsidP="003751E8">
            <w:pPr>
              <w:pStyle w:val="a4"/>
              <w:tabs>
                <w:tab w:val="left" w:pos="34"/>
              </w:tabs>
              <w:ind w:left="34" w:right="-108"/>
              <w:rPr>
                <w:rFonts w:ascii="Times New Roman" w:hAnsi="Times New Roman" w:cs="Times New Roman"/>
                <w:sz w:val="24"/>
                <w:szCs w:val="24"/>
                <w:lang w:val="ro-RO"/>
              </w:rPr>
            </w:pPr>
          </w:p>
        </w:tc>
        <w:tc>
          <w:tcPr>
            <w:tcW w:w="1592" w:type="dxa"/>
            <w:vMerge/>
          </w:tcPr>
          <w:p w:rsidR="00CD4F05" w:rsidRPr="00CD4F05" w:rsidRDefault="00CD4F05" w:rsidP="00C02294">
            <w:pPr>
              <w:jc w:val="center"/>
              <w:rPr>
                <w:rFonts w:ascii="Times New Roman" w:hAnsi="Times New Roman" w:cs="Times New Roman"/>
                <w:sz w:val="24"/>
                <w:szCs w:val="24"/>
                <w:lang w:val="ro-RO"/>
              </w:rPr>
            </w:pPr>
          </w:p>
        </w:tc>
        <w:tc>
          <w:tcPr>
            <w:tcW w:w="1276" w:type="dxa"/>
            <w:vMerge/>
          </w:tcPr>
          <w:p w:rsidR="00CD4F05" w:rsidRPr="00CD4F05" w:rsidRDefault="00CD4F05" w:rsidP="00C02294">
            <w:pPr>
              <w:jc w:val="center"/>
              <w:rPr>
                <w:rFonts w:ascii="Times New Roman" w:hAnsi="Times New Roman" w:cs="Times New Roman"/>
                <w:sz w:val="24"/>
                <w:szCs w:val="24"/>
                <w:lang w:val="ro-RO"/>
              </w:rPr>
            </w:pPr>
          </w:p>
        </w:tc>
        <w:tc>
          <w:tcPr>
            <w:tcW w:w="7196" w:type="dxa"/>
          </w:tcPr>
          <w:p w:rsidR="00CD4F05" w:rsidRPr="00CD4F05" w:rsidRDefault="00CD4F05" w:rsidP="00BA1955">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Clauza de armonizare</w:t>
            </w:r>
          </w:p>
          <w:p w:rsidR="00CD4F05" w:rsidRPr="00CD4F05" w:rsidRDefault="00CD4F05" w:rsidP="00BA1955">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Pentru a reflecta gradul real de armonizare al proiectului naţional, clauza de armonizare urmează a fi modificată şi expusă în următoarea redacţie: „Prezenta Hotărîre de Guvern transpune parţial Directiva 2014/32/UE a Parlamentului European şi a Consiliului din 26 februarie 2014 privind armonizarea legislaţiei statelor membre referitoare la punerea la dispoziţie pe piaţă a mijloacelor de măsurare (reformare) Text cu relevanţă pentru SEE, publicată în Jurnalul Oficial al Uniunii Europene L 96 din 29 martie 2014”.</w:t>
            </w:r>
          </w:p>
        </w:tc>
        <w:tc>
          <w:tcPr>
            <w:tcW w:w="5246" w:type="dxa"/>
          </w:tcPr>
          <w:p w:rsidR="00CD4F05" w:rsidRPr="00CD4F05" w:rsidRDefault="00CD4F05"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343A6E" w:rsidRPr="00CD4F05" w:rsidTr="00CD4F05">
        <w:tc>
          <w:tcPr>
            <w:tcW w:w="425" w:type="dxa"/>
          </w:tcPr>
          <w:p w:rsidR="00343A6E" w:rsidRPr="00CD4F05" w:rsidRDefault="00CD4F05" w:rsidP="003751E8">
            <w:pPr>
              <w:pStyle w:val="a4"/>
              <w:tabs>
                <w:tab w:val="left" w:pos="34"/>
              </w:tabs>
              <w:ind w:left="34" w:right="-108"/>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12. </w:t>
            </w:r>
          </w:p>
        </w:tc>
        <w:tc>
          <w:tcPr>
            <w:tcW w:w="1592" w:type="dxa"/>
          </w:tcPr>
          <w:p w:rsidR="00343A6E" w:rsidRPr="00CD4F05" w:rsidRDefault="00CD4F05" w:rsidP="00C02294">
            <w:pPr>
              <w:jc w:val="center"/>
              <w:rPr>
                <w:rFonts w:ascii="Times New Roman" w:hAnsi="Times New Roman" w:cs="Times New Roman"/>
                <w:sz w:val="24"/>
                <w:szCs w:val="24"/>
                <w:lang w:val="ro-RO"/>
              </w:rPr>
            </w:pPr>
            <w:r w:rsidRPr="00CD4F05">
              <w:rPr>
                <w:rFonts w:ascii="Times New Roman" w:hAnsi="Times New Roman" w:cs="Times New Roman"/>
                <w:sz w:val="24"/>
                <w:szCs w:val="24"/>
                <w:lang w:val="ro-RO"/>
              </w:rPr>
              <w:t>Centrul Naţional de Anticorupţie</w:t>
            </w:r>
          </w:p>
        </w:tc>
        <w:tc>
          <w:tcPr>
            <w:tcW w:w="1276" w:type="dxa"/>
          </w:tcPr>
          <w:p w:rsidR="00343A6E" w:rsidRPr="00CD4F05" w:rsidRDefault="00343A6E" w:rsidP="00C02294">
            <w:pPr>
              <w:jc w:val="center"/>
              <w:rPr>
                <w:rFonts w:ascii="Times New Roman" w:hAnsi="Times New Roman" w:cs="Times New Roman"/>
                <w:sz w:val="24"/>
                <w:szCs w:val="24"/>
                <w:lang w:val="ro-RO"/>
              </w:rPr>
            </w:pPr>
          </w:p>
        </w:tc>
        <w:tc>
          <w:tcPr>
            <w:tcW w:w="7196" w:type="dxa"/>
          </w:tcPr>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RAPORT DE EXPERTIZĂ ANTICORUPŢIE</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 xml:space="preserve">I. EVALUAREA GENERALĂ A PROIECTULUI </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1. Evaluarea fundamentării proiectului</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1.1 Fundamentarea generală a proiectului</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a.</w:t>
            </w:r>
            <w:r w:rsidRPr="00CD4F05">
              <w:rPr>
                <w:rFonts w:ascii="Times New Roman" w:hAnsi="Times New Roman" w:cs="Times New Roman"/>
                <w:sz w:val="24"/>
                <w:szCs w:val="24"/>
                <w:lang w:val="ro-RO"/>
              </w:rPr>
              <w:tab/>
              <w:t>Autor al proiectului de act normativ este Ministerul Economiei.</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b.</w:t>
            </w:r>
            <w:r w:rsidRPr="00CD4F05">
              <w:rPr>
                <w:rFonts w:ascii="Times New Roman" w:hAnsi="Times New Roman" w:cs="Times New Roman"/>
                <w:sz w:val="24"/>
                <w:szCs w:val="24"/>
                <w:lang w:val="ro-RO"/>
              </w:rPr>
              <w:tab/>
              <w:t>Categoria actului normativ propus este hotărîre a Guvernului, ceea ce corespunde art. 102 din Constituţie, art. 10 din Legea privind actele normative ale Guvernului şi ale altor autorităţi ale administraţiei publice centrale şi locale nr. 317-XV din 18.07.2003.</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c.</w:t>
            </w:r>
            <w:r w:rsidRPr="00CD4F05">
              <w:rPr>
                <w:rFonts w:ascii="Times New Roman" w:hAnsi="Times New Roman" w:cs="Times New Roman"/>
                <w:sz w:val="24"/>
                <w:szCs w:val="24"/>
                <w:lang w:val="ro-RO"/>
              </w:rPr>
              <w:tab/>
              <w:t>Scopul promovării proiectului. Potrivit autorului, finalitatea scontată de prezentul proiect este reglementarea cerinţelor esenţiale imputabile agenţilor economici în vederea punerii la dispoziţie pe piaţă a mijloacelor de măsurare.</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d.</w:t>
            </w:r>
            <w:r w:rsidRPr="00CD4F05">
              <w:rPr>
                <w:rFonts w:ascii="Times New Roman" w:hAnsi="Times New Roman" w:cs="Times New Roman"/>
                <w:sz w:val="24"/>
                <w:szCs w:val="24"/>
                <w:lang w:val="ro-RO"/>
              </w:rPr>
              <w:tab/>
              <w:t>Suficienţa argumentării. Argumentele invocate de autor în nota informativă justifică necesitatea promovării proiectului.</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lastRenderedPageBreak/>
              <w:t>1.2 Fundamentarea economico-financiară a proiectului</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Implementarea proiectului nu presupune cheltuieli financiare suplimentare.</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1.3 Analiza impactului de reglementare a proiectului</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Proiectul a fost supus analizei impactului de reglementare, în conformitate cu prevederile Legii cu privire la principiile de bază de reglementare a activităţii de întreprinzător nr. 235/20.07.2006.</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1.4 Promovarea sau prejudicierea intereselor de grup ori individuale, în lipsa unei justificări a interesului public </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Prevederile proiectului nu promovează şi nu prejudiciază careva interese de grup sau individuale în lipsa justificării interesului public.</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2. Evaluarea compatibilităţii proiectului cu standarde</w:t>
            </w:r>
            <w:r w:rsidR="009546FC" w:rsidRPr="00CD4F05">
              <w:rPr>
                <w:rFonts w:ascii="Times New Roman" w:hAnsi="Times New Roman" w:cs="Times New Roman"/>
                <w:b/>
                <w:sz w:val="24"/>
                <w:szCs w:val="24"/>
                <w:lang w:val="ro-RO"/>
              </w:rPr>
              <w:t xml:space="preserve"> </w:t>
            </w:r>
            <w:r w:rsidRPr="00CD4F05">
              <w:rPr>
                <w:rFonts w:ascii="Times New Roman" w:hAnsi="Times New Roman" w:cs="Times New Roman"/>
                <w:b/>
                <w:sz w:val="24"/>
                <w:szCs w:val="24"/>
                <w:lang w:val="ro-RO"/>
              </w:rPr>
              <w:t>anticorupţie</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În proiect nu au fost atestate incompatibilităţi cu standardele naţionale şi internaţionale anticorupţie şi nu au fost identificate domenii în care proiectul nu satisface cerinţele sau sînt în contradicţie cu aceste standarde.</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Asigurarea transparenţei în procesul decizional. Cu referire la transparenţa în procesul decizional constatăm că proiectul prenotat se regăseşte pe pagina oficială a Ministerului Economiei, cerinţă impusă de prevederile Legii privind transparenţa în procesul decizional nr.239-XVI din 13.11.2008, potrivit căreia autorităţile publice sunt obligate de a întreprinde măsurile necesare pentru asigurarea posibilităţilor de participare a cetăţenilor, a asociaţiilor constituite în corespundere cu legea, a altor părţi interesate la procesul decizional, plasînd proiectul de act normativ pe pagina web oficială a instituţiei.</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II. EVALUAREA ÎN FOND A PROIECTULUI</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1. Formulări lingvistice ambigui</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Textul proiectului corespunde tehnicii legislative şi normative, regulilor limbajului şi expresiei juridice.</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2. Conflicte ale normelor de drept</w:t>
            </w:r>
          </w:p>
          <w:p w:rsidR="009546FC"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sz w:val="24"/>
                <w:szCs w:val="24"/>
                <w:lang w:val="ro-RO"/>
              </w:rPr>
              <w:t>Nu sînt identificate conflicte ale normelor de drept, capabile să genereze coruptibilitate.</w:t>
            </w:r>
            <w:r w:rsidRPr="00CD4F05">
              <w:rPr>
                <w:rFonts w:ascii="Times New Roman" w:hAnsi="Times New Roman" w:cs="Times New Roman"/>
                <w:b/>
                <w:sz w:val="24"/>
                <w:szCs w:val="24"/>
                <w:lang w:val="ro-RO"/>
              </w:rPr>
              <w:t xml:space="preserve"> </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3. Norme de trimitere, de blanchetă şi norme în alb</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Nu sînt identificate norme de trimitere, de blanchetă şi norme în alb, capabile să genereze coruptibilitate.</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lastRenderedPageBreak/>
              <w:t>4. Discreţii excesive ale autorităţilor publice</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Pct.110 al proiectului în redacţia propusă spre expertizare: "Cererea este însoţită de o descriere a activităţilor de evaluare a conformităţii, a modulului sau modulelor de</w:t>
            </w:r>
            <w:r w:rsidR="009546FC" w:rsidRPr="00CD4F05">
              <w:rPr>
                <w:rFonts w:ascii="Times New Roman" w:hAnsi="Times New Roman" w:cs="Times New Roman"/>
                <w:sz w:val="24"/>
                <w:szCs w:val="24"/>
                <w:lang w:val="ro-RO"/>
              </w:rPr>
              <w:t xml:space="preserve"> </w:t>
            </w:r>
            <w:r w:rsidRPr="00CD4F05">
              <w:rPr>
                <w:rFonts w:ascii="Times New Roman" w:hAnsi="Times New Roman" w:cs="Times New Roman"/>
                <w:sz w:val="24"/>
                <w:szCs w:val="24"/>
                <w:lang w:val="ro-RO"/>
              </w:rPr>
              <w:t>evaluare a conformităţii şi a mijlocului sau mijloacelor de măsurare pentru care organismul se consideră a fi competent, precum şi de un certificat de acreditare, eliberat de un organism naţional de acreditare care să ateste că organismul de evaluare a conformităţii satisface cerinţele aplicabile acestora, stabilite în prezenta reglementare tehnică".</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Analizînd normele propuse, constatăm insuficienţa reglementării procedurii administrative de recepţionare şi examinare a cererilor de notificare de către autoritatea publică. În condiţiile proiectului, autoritatea responsabilă, va decide unilateral organizarea şi desfăşurarea procedurii de notificare. Astfel, remarcăm lipsa unor termeni clari pentru luarea deciziilor, fapt ce creează oportunităţi autorităţii pentru stabilirea termenilor la propria sa discreţie. Totodată, evidenţiem faptul că proiectul nu stabileşte cu certitudine dacă serviciul dat este contra plată sau gratis, fapt ce creează autorităţii premise pentru aplicarea discreţionară a normei.</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Recomandarea: Se recomandă autorului revizuirea normei citate prin prisma celor sus-menţionate în sensul stabilirii unor norme clare ce nuanţează termenul de examinare a cererii de către autoritate şi de notificare propriu-zisă a organismului de evaluare a conformităţii, cît şi stabilirea faptului dacă serviciul dat este prestat de către autoritate contra cost sau gratis. Subsidiar, se recomandă elaborarea cererii-model şi aprobarea acesteia sub formă de anexă la proiectul RT.</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Pct.115 al proiectului propus spre expertizare: "În cazul în care Ministerul Economiei a constatat sau a fost informat că un organism notificat nu mai respectă cerinţele aplicabile sau că acesta nu îşi îndeplineşte obligaţiile, Ministerul Economiei restricţionează, suspendă sau retrage notificarea, după caz, în funcţie de gravitatea nerespectării cerinţelor sau a neîndeplinirii obligaţiilor".</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 xml:space="preserve">Norma evidenţiată stabileşte aplicarea a trei măsuri alternative de sancţionare - restricţionarea, suspendarea sau retragerea notificării, în </w:t>
            </w:r>
            <w:r w:rsidRPr="00CD4F05">
              <w:rPr>
                <w:rFonts w:ascii="Times New Roman" w:hAnsi="Times New Roman" w:cs="Times New Roman"/>
                <w:sz w:val="24"/>
                <w:szCs w:val="24"/>
                <w:lang w:val="ro-RO"/>
              </w:rPr>
              <w:lastRenderedPageBreak/>
              <w:t>cazul stabilirii că organismul notificat nu mai respectă cerinţele aplicabile sau că acesta nu îşi îndeplineşte obligaţiile. Menţionăm că sancţiunile date constituie mijloace diferite, ca formă şi conţinut, de corectare şi reeducare şi condiţionează finalităţi separate. Totodată, autorul nu evidenţiază circumstanţele/criteriile concrete conform cărora acesta va stabili care este sancţiunea aplicabilă. Sintagma „în funcţie de gravitatea nerespectării cerinţelor sau a neîndeplinirii obligaţiilor" este generală, provoacă neclarităţi şi interpretări subiective a normei. Astfel, este atribuită autorităţii competenţa de a aplica discreţionar norma juridică şi de a decide unilateral, în lipsa unor criterii clare şi transparente, categoria de sancţiune aplicabilă (restricţionarea, suspendarea sau retragerea notificării).</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În acest sens, menţionăm că norma juridică trebuie să evidenţieze expres circumstanţele/condiţiile concrete ce permit individualizarea sancţiunii aplicate oferind astfel o anumită garanţie contra exercitării arbitrare a prerogativelor puterii publice de către autorităţile administraţiei publice.</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Prin urmare, norma în redacţia propusă admite derogări şi interpretări abuzive, care conferă reprezentanţilor autorităţilor publice atribuţii extensive de reglementare şi posibilitatea de a exercita funcţii abuzive.</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Recomandarea: Se recomandă autorului revizuirea normei propuse prin prisma analizei expuse anterior.</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5. Cerinţe excesive pentru exercitarea drepturilor persoanelor</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Nu sînt identificate cerinţe excesive, care să depăşească cadrul rezonabil pentru realizarea drepturilor sau obligaţiilor subiecţilor vizaţi.</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6. Accesul limitat la informaţie, lipsa transparenţei</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Textul proiectului nu necesită a fi evaluat prin prisma accesului la informaţie sau asigurării transparenţei.</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7. Lipsa sau insuficienţa mecanismelor de control</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Implementarea prevederilor proiectului nu presupune aplicarea cărorva mecanisme suplimentare de control.</w:t>
            </w:r>
          </w:p>
          <w:p w:rsidR="00343A6E" w:rsidRPr="00CD4F05" w:rsidRDefault="00343A6E" w:rsidP="00343A6E">
            <w:pPr>
              <w:jc w:val="both"/>
              <w:rPr>
                <w:rFonts w:ascii="Times New Roman" w:hAnsi="Times New Roman" w:cs="Times New Roman"/>
                <w:b/>
                <w:sz w:val="24"/>
                <w:szCs w:val="24"/>
                <w:lang w:val="ro-RO"/>
              </w:rPr>
            </w:pPr>
            <w:r w:rsidRPr="00CD4F05">
              <w:rPr>
                <w:rFonts w:ascii="Times New Roman" w:hAnsi="Times New Roman" w:cs="Times New Roman"/>
                <w:b/>
                <w:sz w:val="24"/>
                <w:szCs w:val="24"/>
                <w:lang w:val="ro-RO"/>
              </w:rPr>
              <w:t>8. Responsabilitate şi sancţiuni necorespunzătoare</w:t>
            </w:r>
          </w:p>
          <w:p w:rsidR="00343A6E" w:rsidRPr="00CD4F05" w:rsidRDefault="00343A6E" w:rsidP="00343A6E">
            <w:pPr>
              <w:jc w:val="both"/>
              <w:rPr>
                <w:rFonts w:ascii="Times New Roman" w:hAnsi="Times New Roman" w:cs="Times New Roman"/>
                <w:sz w:val="24"/>
                <w:szCs w:val="24"/>
                <w:lang w:val="ro-RO"/>
              </w:rPr>
            </w:pPr>
            <w:r w:rsidRPr="00CD4F05">
              <w:rPr>
                <w:rFonts w:ascii="Times New Roman" w:hAnsi="Times New Roman" w:cs="Times New Roman"/>
                <w:sz w:val="24"/>
                <w:szCs w:val="24"/>
                <w:lang w:val="ro-RO"/>
              </w:rPr>
              <w:t>Proiectul nu implică careva responsabilităţi şi nu necesită referinţe exprese la responsabilitate şi sancţiunile aplicate pentru încălcarea prevederilor sale.</w:t>
            </w:r>
          </w:p>
        </w:tc>
        <w:tc>
          <w:tcPr>
            <w:tcW w:w="5246" w:type="dxa"/>
          </w:tcPr>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343A6E" w:rsidRPr="00CD4F05" w:rsidRDefault="009546FC"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p>
          <w:p w:rsidR="009546FC" w:rsidRPr="00CD4F05" w:rsidRDefault="009546FC" w:rsidP="00C02294">
            <w:pPr>
              <w:jc w:val="center"/>
              <w:rPr>
                <w:rFonts w:ascii="Times New Roman" w:hAnsi="Times New Roman" w:cs="Times New Roman"/>
                <w:b/>
                <w:sz w:val="24"/>
                <w:szCs w:val="24"/>
                <w:lang w:val="ro-RO"/>
              </w:rPr>
            </w:pPr>
            <w:r w:rsidRPr="00CD4F05">
              <w:rPr>
                <w:rFonts w:ascii="Times New Roman" w:hAnsi="Times New Roman" w:cs="Times New Roman"/>
                <w:b/>
                <w:sz w:val="24"/>
                <w:szCs w:val="24"/>
                <w:lang w:val="ro-RO"/>
              </w:rPr>
              <w:t>Se acceptă</w:t>
            </w:r>
          </w:p>
        </w:tc>
      </w:tr>
      <w:tr w:rsidR="00343A6E" w:rsidRPr="00CD4F05" w:rsidTr="00CD4F05">
        <w:tc>
          <w:tcPr>
            <w:tcW w:w="425" w:type="dxa"/>
          </w:tcPr>
          <w:p w:rsidR="00343A6E" w:rsidRPr="00CD4F05" w:rsidRDefault="00343A6E" w:rsidP="003751E8">
            <w:pPr>
              <w:pStyle w:val="a4"/>
              <w:tabs>
                <w:tab w:val="left" w:pos="34"/>
              </w:tabs>
              <w:ind w:left="34" w:right="-108"/>
              <w:rPr>
                <w:rFonts w:ascii="Times New Roman" w:hAnsi="Times New Roman" w:cs="Times New Roman"/>
                <w:sz w:val="24"/>
                <w:szCs w:val="24"/>
                <w:lang w:val="ro-RO"/>
              </w:rPr>
            </w:pPr>
          </w:p>
        </w:tc>
        <w:tc>
          <w:tcPr>
            <w:tcW w:w="1592" w:type="dxa"/>
          </w:tcPr>
          <w:p w:rsidR="00343A6E" w:rsidRPr="00CD4F05" w:rsidRDefault="00343A6E" w:rsidP="00C02294">
            <w:pPr>
              <w:jc w:val="center"/>
              <w:rPr>
                <w:rFonts w:ascii="Times New Roman" w:hAnsi="Times New Roman" w:cs="Times New Roman"/>
                <w:sz w:val="24"/>
                <w:szCs w:val="24"/>
                <w:lang w:val="ro-RO"/>
              </w:rPr>
            </w:pPr>
          </w:p>
        </w:tc>
        <w:tc>
          <w:tcPr>
            <w:tcW w:w="1276" w:type="dxa"/>
          </w:tcPr>
          <w:p w:rsidR="00343A6E" w:rsidRPr="00CD4F05" w:rsidRDefault="00343A6E" w:rsidP="00C02294">
            <w:pPr>
              <w:jc w:val="center"/>
              <w:rPr>
                <w:rFonts w:ascii="Times New Roman" w:hAnsi="Times New Roman" w:cs="Times New Roman"/>
                <w:sz w:val="24"/>
                <w:szCs w:val="24"/>
                <w:lang w:val="ro-RO"/>
              </w:rPr>
            </w:pPr>
          </w:p>
        </w:tc>
        <w:tc>
          <w:tcPr>
            <w:tcW w:w="7196" w:type="dxa"/>
          </w:tcPr>
          <w:p w:rsidR="00343A6E" w:rsidRPr="00CD4F05" w:rsidRDefault="00343A6E" w:rsidP="00BA1955">
            <w:pPr>
              <w:jc w:val="both"/>
              <w:rPr>
                <w:rFonts w:ascii="Times New Roman" w:hAnsi="Times New Roman" w:cs="Times New Roman"/>
                <w:b/>
                <w:sz w:val="24"/>
                <w:szCs w:val="24"/>
                <w:lang w:val="ro-RO"/>
              </w:rPr>
            </w:pPr>
          </w:p>
        </w:tc>
        <w:tc>
          <w:tcPr>
            <w:tcW w:w="5246" w:type="dxa"/>
          </w:tcPr>
          <w:p w:rsidR="00343A6E" w:rsidRPr="00CD4F05" w:rsidRDefault="00343A6E" w:rsidP="00C02294">
            <w:pPr>
              <w:jc w:val="center"/>
              <w:rPr>
                <w:rFonts w:ascii="Times New Roman" w:hAnsi="Times New Roman" w:cs="Times New Roman"/>
                <w:b/>
                <w:sz w:val="24"/>
                <w:szCs w:val="24"/>
                <w:lang w:val="ro-RO"/>
              </w:rPr>
            </w:pPr>
          </w:p>
        </w:tc>
      </w:tr>
    </w:tbl>
    <w:p w:rsidR="00C02294" w:rsidRPr="00CD4F05" w:rsidRDefault="00C02294" w:rsidP="00C02294">
      <w:pPr>
        <w:spacing w:after="0" w:line="240" w:lineRule="auto"/>
        <w:jc w:val="center"/>
        <w:rPr>
          <w:rFonts w:ascii="Times New Roman" w:hAnsi="Times New Roman" w:cs="Times New Roman"/>
          <w:b/>
          <w:sz w:val="24"/>
          <w:szCs w:val="24"/>
          <w:lang w:val="ro-RO"/>
        </w:rPr>
      </w:pPr>
    </w:p>
    <w:sectPr w:rsidR="00C02294" w:rsidRPr="00CD4F05" w:rsidSect="001E2EB4">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202A7"/>
    <w:multiLevelType w:val="hybridMultilevel"/>
    <w:tmpl w:val="366EA414"/>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
    <w:nsid w:val="5B7E37D1"/>
    <w:multiLevelType w:val="hybridMultilevel"/>
    <w:tmpl w:val="F752B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76"/>
    <w:rsid w:val="00001533"/>
    <w:rsid w:val="00004328"/>
    <w:rsid w:val="00006B74"/>
    <w:rsid w:val="000240B9"/>
    <w:rsid w:val="00031083"/>
    <w:rsid w:val="00062D30"/>
    <w:rsid w:val="000C36A4"/>
    <w:rsid w:val="000D72C7"/>
    <w:rsid w:val="000D7CF0"/>
    <w:rsid w:val="001B0644"/>
    <w:rsid w:val="001C5524"/>
    <w:rsid w:val="001E2EB4"/>
    <w:rsid w:val="001E79A2"/>
    <w:rsid w:val="00230862"/>
    <w:rsid w:val="00234E58"/>
    <w:rsid w:val="00234F26"/>
    <w:rsid w:val="00245F85"/>
    <w:rsid w:val="00261326"/>
    <w:rsid w:val="00294FF4"/>
    <w:rsid w:val="002C247A"/>
    <w:rsid w:val="002E7AA7"/>
    <w:rsid w:val="002F5594"/>
    <w:rsid w:val="00300276"/>
    <w:rsid w:val="00304A8D"/>
    <w:rsid w:val="00307822"/>
    <w:rsid w:val="003103DB"/>
    <w:rsid w:val="00333D25"/>
    <w:rsid w:val="00343A6E"/>
    <w:rsid w:val="003751E8"/>
    <w:rsid w:val="003962E2"/>
    <w:rsid w:val="003B2B90"/>
    <w:rsid w:val="003F7DC7"/>
    <w:rsid w:val="0042148A"/>
    <w:rsid w:val="00430B62"/>
    <w:rsid w:val="0048348F"/>
    <w:rsid w:val="004B2F5B"/>
    <w:rsid w:val="004D2800"/>
    <w:rsid w:val="004E5B15"/>
    <w:rsid w:val="004F171B"/>
    <w:rsid w:val="00545EE7"/>
    <w:rsid w:val="0058696B"/>
    <w:rsid w:val="005A3215"/>
    <w:rsid w:val="005D7D1E"/>
    <w:rsid w:val="005E6E4A"/>
    <w:rsid w:val="005F696D"/>
    <w:rsid w:val="00637097"/>
    <w:rsid w:val="00671938"/>
    <w:rsid w:val="00704D3D"/>
    <w:rsid w:val="00720A42"/>
    <w:rsid w:val="00735E80"/>
    <w:rsid w:val="007433B4"/>
    <w:rsid w:val="00781820"/>
    <w:rsid w:val="0078663D"/>
    <w:rsid w:val="007A3D12"/>
    <w:rsid w:val="007D60D1"/>
    <w:rsid w:val="00826018"/>
    <w:rsid w:val="008E34A1"/>
    <w:rsid w:val="009127E7"/>
    <w:rsid w:val="009449DD"/>
    <w:rsid w:val="009546FC"/>
    <w:rsid w:val="0098633F"/>
    <w:rsid w:val="00A02C21"/>
    <w:rsid w:val="00A242C2"/>
    <w:rsid w:val="00A30E5B"/>
    <w:rsid w:val="00A65C71"/>
    <w:rsid w:val="00A83825"/>
    <w:rsid w:val="00A913EF"/>
    <w:rsid w:val="00AC5818"/>
    <w:rsid w:val="00B17806"/>
    <w:rsid w:val="00B222AB"/>
    <w:rsid w:val="00B44C70"/>
    <w:rsid w:val="00BA1955"/>
    <w:rsid w:val="00C02294"/>
    <w:rsid w:val="00C265A5"/>
    <w:rsid w:val="00C827CE"/>
    <w:rsid w:val="00C82F8F"/>
    <w:rsid w:val="00CD4F05"/>
    <w:rsid w:val="00CE057D"/>
    <w:rsid w:val="00CE762D"/>
    <w:rsid w:val="00D422BC"/>
    <w:rsid w:val="00D433A5"/>
    <w:rsid w:val="00D50061"/>
    <w:rsid w:val="00D724EB"/>
    <w:rsid w:val="00D94177"/>
    <w:rsid w:val="00E500C8"/>
    <w:rsid w:val="00F47699"/>
    <w:rsid w:val="00FA178F"/>
    <w:rsid w:val="00FD7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2294"/>
    <w:pPr>
      <w:ind w:left="720"/>
      <w:contextualSpacing/>
    </w:pPr>
  </w:style>
  <w:style w:type="paragraph" w:styleId="a5">
    <w:name w:val="Normal (Web)"/>
    <w:basedOn w:val="a"/>
    <w:uiPriority w:val="99"/>
    <w:semiHidden/>
    <w:unhideWhenUsed/>
    <w:rsid w:val="00230862"/>
    <w:rPr>
      <w:rFonts w:ascii="Times New Roman" w:hAnsi="Times New Roman" w:cs="Times New Roman"/>
      <w:sz w:val="24"/>
      <w:szCs w:val="24"/>
    </w:rPr>
  </w:style>
  <w:style w:type="character" w:styleId="a6">
    <w:name w:val="annotation reference"/>
    <w:basedOn w:val="a0"/>
    <w:uiPriority w:val="99"/>
    <w:semiHidden/>
    <w:unhideWhenUsed/>
    <w:rsid w:val="0078663D"/>
    <w:rPr>
      <w:sz w:val="16"/>
      <w:szCs w:val="16"/>
    </w:rPr>
  </w:style>
  <w:style w:type="paragraph" w:styleId="a7">
    <w:name w:val="annotation text"/>
    <w:basedOn w:val="a"/>
    <w:link w:val="a8"/>
    <w:uiPriority w:val="99"/>
    <w:semiHidden/>
    <w:unhideWhenUsed/>
    <w:rsid w:val="0078663D"/>
    <w:pPr>
      <w:spacing w:line="240" w:lineRule="auto"/>
    </w:pPr>
    <w:rPr>
      <w:sz w:val="20"/>
      <w:szCs w:val="20"/>
    </w:rPr>
  </w:style>
  <w:style w:type="character" w:customStyle="1" w:styleId="a8">
    <w:name w:val="Текст примечания Знак"/>
    <w:basedOn w:val="a0"/>
    <w:link w:val="a7"/>
    <w:uiPriority w:val="99"/>
    <w:semiHidden/>
    <w:rsid w:val="0078663D"/>
    <w:rPr>
      <w:sz w:val="20"/>
      <w:szCs w:val="20"/>
    </w:rPr>
  </w:style>
  <w:style w:type="paragraph" w:styleId="a9">
    <w:name w:val="annotation subject"/>
    <w:basedOn w:val="a7"/>
    <w:next w:val="a7"/>
    <w:link w:val="aa"/>
    <w:uiPriority w:val="99"/>
    <w:semiHidden/>
    <w:unhideWhenUsed/>
    <w:rsid w:val="0078663D"/>
    <w:rPr>
      <w:b/>
      <w:bCs/>
    </w:rPr>
  </w:style>
  <w:style w:type="character" w:customStyle="1" w:styleId="aa">
    <w:name w:val="Тема примечания Знак"/>
    <w:basedOn w:val="a8"/>
    <w:link w:val="a9"/>
    <w:uiPriority w:val="99"/>
    <w:semiHidden/>
    <w:rsid w:val="0078663D"/>
    <w:rPr>
      <w:b/>
      <w:bCs/>
      <w:sz w:val="20"/>
      <w:szCs w:val="20"/>
    </w:rPr>
  </w:style>
  <w:style w:type="paragraph" w:styleId="ab">
    <w:name w:val="Balloon Text"/>
    <w:basedOn w:val="a"/>
    <w:link w:val="ac"/>
    <w:uiPriority w:val="99"/>
    <w:semiHidden/>
    <w:unhideWhenUsed/>
    <w:rsid w:val="0078663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66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2294"/>
    <w:pPr>
      <w:ind w:left="720"/>
      <w:contextualSpacing/>
    </w:pPr>
  </w:style>
  <w:style w:type="paragraph" w:styleId="a5">
    <w:name w:val="Normal (Web)"/>
    <w:basedOn w:val="a"/>
    <w:uiPriority w:val="99"/>
    <w:semiHidden/>
    <w:unhideWhenUsed/>
    <w:rsid w:val="00230862"/>
    <w:rPr>
      <w:rFonts w:ascii="Times New Roman" w:hAnsi="Times New Roman" w:cs="Times New Roman"/>
      <w:sz w:val="24"/>
      <w:szCs w:val="24"/>
    </w:rPr>
  </w:style>
  <w:style w:type="character" w:styleId="a6">
    <w:name w:val="annotation reference"/>
    <w:basedOn w:val="a0"/>
    <w:uiPriority w:val="99"/>
    <w:semiHidden/>
    <w:unhideWhenUsed/>
    <w:rsid w:val="0078663D"/>
    <w:rPr>
      <w:sz w:val="16"/>
      <w:szCs w:val="16"/>
    </w:rPr>
  </w:style>
  <w:style w:type="paragraph" w:styleId="a7">
    <w:name w:val="annotation text"/>
    <w:basedOn w:val="a"/>
    <w:link w:val="a8"/>
    <w:uiPriority w:val="99"/>
    <w:semiHidden/>
    <w:unhideWhenUsed/>
    <w:rsid w:val="0078663D"/>
    <w:pPr>
      <w:spacing w:line="240" w:lineRule="auto"/>
    </w:pPr>
    <w:rPr>
      <w:sz w:val="20"/>
      <w:szCs w:val="20"/>
    </w:rPr>
  </w:style>
  <w:style w:type="character" w:customStyle="1" w:styleId="a8">
    <w:name w:val="Текст примечания Знак"/>
    <w:basedOn w:val="a0"/>
    <w:link w:val="a7"/>
    <w:uiPriority w:val="99"/>
    <w:semiHidden/>
    <w:rsid w:val="0078663D"/>
    <w:rPr>
      <w:sz w:val="20"/>
      <w:szCs w:val="20"/>
    </w:rPr>
  </w:style>
  <w:style w:type="paragraph" w:styleId="a9">
    <w:name w:val="annotation subject"/>
    <w:basedOn w:val="a7"/>
    <w:next w:val="a7"/>
    <w:link w:val="aa"/>
    <w:uiPriority w:val="99"/>
    <w:semiHidden/>
    <w:unhideWhenUsed/>
    <w:rsid w:val="0078663D"/>
    <w:rPr>
      <w:b/>
      <w:bCs/>
    </w:rPr>
  </w:style>
  <w:style w:type="character" w:customStyle="1" w:styleId="aa">
    <w:name w:val="Тема примечания Знак"/>
    <w:basedOn w:val="a8"/>
    <w:link w:val="a9"/>
    <w:uiPriority w:val="99"/>
    <w:semiHidden/>
    <w:rsid w:val="0078663D"/>
    <w:rPr>
      <w:b/>
      <w:bCs/>
      <w:sz w:val="20"/>
      <w:szCs w:val="20"/>
    </w:rPr>
  </w:style>
  <w:style w:type="paragraph" w:styleId="ab">
    <w:name w:val="Balloon Text"/>
    <w:basedOn w:val="a"/>
    <w:link w:val="ac"/>
    <w:uiPriority w:val="99"/>
    <w:semiHidden/>
    <w:unhideWhenUsed/>
    <w:rsid w:val="0078663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66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96093">
      <w:bodyDiv w:val="1"/>
      <w:marLeft w:val="0"/>
      <w:marRight w:val="0"/>
      <w:marTop w:val="0"/>
      <w:marBottom w:val="0"/>
      <w:divBdr>
        <w:top w:val="none" w:sz="0" w:space="0" w:color="auto"/>
        <w:left w:val="none" w:sz="0" w:space="0" w:color="auto"/>
        <w:bottom w:val="none" w:sz="0" w:space="0" w:color="auto"/>
        <w:right w:val="none" w:sz="0" w:space="0" w:color="auto"/>
      </w:divBdr>
    </w:div>
    <w:div w:id="1732848597">
      <w:bodyDiv w:val="1"/>
      <w:marLeft w:val="0"/>
      <w:marRight w:val="0"/>
      <w:marTop w:val="0"/>
      <w:marBottom w:val="0"/>
      <w:divBdr>
        <w:top w:val="none" w:sz="0" w:space="0" w:color="auto"/>
        <w:left w:val="none" w:sz="0" w:space="0" w:color="auto"/>
        <w:bottom w:val="none" w:sz="0" w:space="0" w:color="auto"/>
        <w:right w:val="none" w:sz="0" w:space="0" w:color="auto"/>
      </w:divBdr>
    </w:div>
    <w:div w:id="185279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AE1E2-8F33-4105-BE87-DCDFB050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7182</Words>
  <Characters>40940</Characters>
  <Application>Microsoft Office Word</Application>
  <DocSecurity>0</DocSecurity>
  <Lines>341</Lines>
  <Paragraphs>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ME-305-Jitari</Company>
  <LinksUpToDate>false</LinksUpToDate>
  <CharactersWithSpaces>48026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ME-305-Jitari</dc:creator>
  <cp:lastModifiedBy>ME-305-Jitari</cp:lastModifiedBy>
  <cp:revision>6</cp:revision>
  <dcterms:created xsi:type="dcterms:W3CDTF">2014-11-21T08:35:00Z</dcterms:created>
  <dcterms:modified xsi:type="dcterms:W3CDTF">2014-11-21T10:38:00Z</dcterms:modified>
</cp:coreProperties>
</file>