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C8" w:rsidRPr="00545238" w:rsidRDefault="00881D15" w:rsidP="000152C8">
      <w:pPr>
        <w:jc w:val="center"/>
        <w:rPr>
          <w:b/>
        </w:rPr>
      </w:pPr>
      <w:r>
        <w:rPr>
          <w:b/>
        </w:rPr>
        <w:t>LISTA</w:t>
      </w:r>
      <w:r w:rsidR="000152C8" w:rsidRPr="00545238">
        <w:rPr>
          <w:b/>
        </w:rPr>
        <w:t xml:space="preserve"> DIVERGENŢE</w:t>
      </w:r>
      <w:r w:rsidR="0006268B">
        <w:rPr>
          <w:b/>
        </w:rPr>
        <w:t>LOR</w:t>
      </w:r>
    </w:p>
    <w:p w:rsidR="00347C66" w:rsidRPr="00545238" w:rsidRDefault="000152C8" w:rsidP="008756A1">
      <w:pPr>
        <w:widowControl w:val="0"/>
        <w:shd w:val="clear" w:color="auto" w:fill="FFFFFF"/>
        <w:autoSpaceDE w:val="0"/>
        <w:autoSpaceDN w:val="0"/>
        <w:adjustRightInd w:val="0"/>
        <w:jc w:val="center"/>
        <w:rPr>
          <w:b/>
        </w:rPr>
      </w:pPr>
      <w:r w:rsidRPr="00545238">
        <w:rPr>
          <w:b/>
        </w:rPr>
        <w:t xml:space="preserve">asupra obiecţiilor şi propunerilor la </w:t>
      </w:r>
      <w:r w:rsidR="00A17EC4" w:rsidRPr="00545238">
        <w:rPr>
          <w:b/>
        </w:rPr>
        <w:t xml:space="preserve">proiectul </w:t>
      </w:r>
      <w:proofErr w:type="spellStart"/>
      <w:r w:rsidR="008756A1" w:rsidRPr="005466A3">
        <w:rPr>
          <w:b/>
        </w:rPr>
        <w:t>Hotărîrii</w:t>
      </w:r>
      <w:proofErr w:type="spellEnd"/>
      <w:r w:rsidR="008756A1" w:rsidRPr="005466A3">
        <w:rPr>
          <w:b/>
        </w:rPr>
        <w:t xml:space="preserve"> Guvernului pentru aprobarea </w:t>
      </w:r>
      <w:r w:rsidR="008756A1" w:rsidRPr="00361855">
        <w:rPr>
          <w:b/>
        </w:rPr>
        <w:t xml:space="preserve">Regulamentului sanitar privind produsele cosmetice </w:t>
      </w:r>
      <w:r w:rsidR="008756A1">
        <w:rPr>
          <w:b/>
        </w:rPr>
        <w:t>ş</w:t>
      </w:r>
      <w:r w:rsidR="008756A1" w:rsidRPr="00361855">
        <w:rPr>
          <w:b/>
        </w:rPr>
        <w:t>i a Metodelor de analiză necesare pentru verificarea compozi</w:t>
      </w:r>
      <w:r w:rsidR="008756A1">
        <w:rPr>
          <w:b/>
        </w:rPr>
        <w:t>ţ</w:t>
      </w:r>
      <w:r w:rsidR="008756A1" w:rsidRPr="00361855">
        <w:rPr>
          <w:b/>
        </w:rPr>
        <w:t>iei produselor cosmetice</w:t>
      </w:r>
      <w:r w:rsidR="008756A1">
        <w:rPr>
          <w:b/>
        </w:rPr>
        <w:t xml:space="preserve"> </w:t>
      </w:r>
    </w:p>
    <w:tbl>
      <w:tblPr>
        <w:tblW w:w="14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301"/>
        <w:gridCol w:w="8364"/>
        <w:gridCol w:w="3261"/>
      </w:tblGrid>
      <w:tr w:rsidR="00845482" w:rsidRPr="00545238" w:rsidTr="008126BE">
        <w:tc>
          <w:tcPr>
            <w:tcW w:w="534" w:type="dxa"/>
          </w:tcPr>
          <w:p w:rsidR="00845482" w:rsidRPr="00545238" w:rsidRDefault="003062F8" w:rsidP="00077814">
            <w:pPr>
              <w:jc w:val="center"/>
            </w:pPr>
            <w:proofErr w:type="spellStart"/>
            <w:r w:rsidRPr="00545238">
              <w:rPr>
                <w:b/>
              </w:rPr>
              <w:t>Nr</w:t>
            </w:r>
            <w:proofErr w:type="spellEnd"/>
            <w:r w:rsidRPr="00545238">
              <w:rPr>
                <w:b/>
              </w:rPr>
              <w:t xml:space="preserve"> d/r</w:t>
            </w:r>
          </w:p>
        </w:tc>
        <w:tc>
          <w:tcPr>
            <w:tcW w:w="2301" w:type="dxa"/>
          </w:tcPr>
          <w:p w:rsidR="00845482" w:rsidRPr="00545238" w:rsidRDefault="003062F8" w:rsidP="00545238">
            <w:pPr>
              <w:jc w:val="center"/>
            </w:pPr>
            <w:r w:rsidRPr="00545238">
              <w:rPr>
                <w:b/>
              </w:rPr>
              <w:t>Denumirea autorităţii</w:t>
            </w:r>
          </w:p>
        </w:tc>
        <w:tc>
          <w:tcPr>
            <w:tcW w:w="8364" w:type="dxa"/>
          </w:tcPr>
          <w:p w:rsidR="00845482" w:rsidRPr="00545238" w:rsidRDefault="003062F8" w:rsidP="00545238">
            <w:pPr>
              <w:jc w:val="center"/>
            </w:pPr>
            <w:r w:rsidRPr="00545238">
              <w:rPr>
                <w:b/>
              </w:rPr>
              <w:t>Propuneri</w:t>
            </w:r>
            <w:r w:rsidR="005F4DBB">
              <w:rPr>
                <w:b/>
              </w:rPr>
              <w:t>le</w:t>
            </w:r>
            <w:r w:rsidRPr="00545238">
              <w:rPr>
                <w:b/>
              </w:rPr>
              <w:t xml:space="preserve"> şi obiecţii</w:t>
            </w:r>
            <w:r w:rsidR="005F4DBB">
              <w:rPr>
                <w:b/>
              </w:rPr>
              <w:t>le</w:t>
            </w:r>
            <w:r w:rsidRPr="00545238">
              <w:rPr>
                <w:b/>
              </w:rPr>
              <w:t xml:space="preserve"> înaintate</w:t>
            </w:r>
          </w:p>
        </w:tc>
        <w:tc>
          <w:tcPr>
            <w:tcW w:w="3261" w:type="dxa"/>
          </w:tcPr>
          <w:p w:rsidR="00845482" w:rsidRPr="00545238" w:rsidRDefault="003062F8" w:rsidP="00545238">
            <w:pPr>
              <w:jc w:val="center"/>
            </w:pPr>
            <w:r w:rsidRPr="00545238">
              <w:rPr>
                <w:b/>
              </w:rPr>
              <w:t>Expunere de motive (soluţii)</w:t>
            </w:r>
          </w:p>
        </w:tc>
      </w:tr>
      <w:tr w:rsidR="00845482" w:rsidRPr="00545238" w:rsidTr="008126BE">
        <w:tc>
          <w:tcPr>
            <w:tcW w:w="534" w:type="dxa"/>
          </w:tcPr>
          <w:p w:rsidR="00845482" w:rsidRPr="00545238" w:rsidRDefault="005965D1" w:rsidP="00077814">
            <w:pPr>
              <w:jc w:val="center"/>
            </w:pPr>
            <w:r>
              <w:t>1.</w:t>
            </w:r>
          </w:p>
        </w:tc>
        <w:tc>
          <w:tcPr>
            <w:tcW w:w="2301" w:type="dxa"/>
          </w:tcPr>
          <w:p w:rsidR="00514956" w:rsidRDefault="00514956" w:rsidP="00514956">
            <w:r>
              <w:t>Comisia de stat pentru Reglementarea activităţii de întreprinzător</w:t>
            </w:r>
          </w:p>
          <w:p w:rsidR="00881D15" w:rsidRPr="00DF0676" w:rsidRDefault="00514956" w:rsidP="005965D1">
            <w:r>
              <w:t xml:space="preserve"> Grupul de lucru,   Pr</w:t>
            </w:r>
            <w:r w:rsidR="005965D1">
              <w:t>oces v</w:t>
            </w:r>
            <w:r>
              <w:t xml:space="preserve">erbal din  </w:t>
            </w:r>
            <w:r w:rsidR="005965D1">
              <w:t>07.10.2015</w:t>
            </w:r>
          </w:p>
        </w:tc>
        <w:tc>
          <w:tcPr>
            <w:tcW w:w="8364" w:type="dxa"/>
          </w:tcPr>
          <w:p w:rsidR="00881D15" w:rsidRPr="00DF0676" w:rsidRDefault="005965D1" w:rsidP="005965D1">
            <w:pPr>
              <w:jc w:val="both"/>
            </w:pPr>
            <w:r>
              <w:t>Analiza Impactului de Reglementare acceptată</w:t>
            </w:r>
          </w:p>
        </w:tc>
        <w:tc>
          <w:tcPr>
            <w:tcW w:w="3261" w:type="dxa"/>
          </w:tcPr>
          <w:p w:rsidR="00680253" w:rsidRDefault="005965D1" w:rsidP="005F4DBB">
            <w:r>
              <w:t>Procesul verbal se anexează</w:t>
            </w:r>
          </w:p>
          <w:p w:rsidR="00951CF6" w:rsidRDefault="00951CF6" w:rsidP="00881D15">
            <w:pPr>
              <w:jc w:val="both"/>
            </w:pPr>
          </w:p>
          <w:p w:rsidR="00951CF6" w:rsidRDefault="00951CF6" w:rsidP="00881D15">
            <w:pPr>
              <w:jc w:val="both"/>
            </w:pPr>
          </w:p>
          <w:p w:rsidR="00881D15" w:rsidRPr="00545238" w:rsidRDefault="00881D15" w:rsidP="005F4DBB"/>
        </w:tc>
      </w:tr>
      <w:tr w:rsidR="005965D1" w:rsidRPr="00545238" w:rsidTr="008126BE">
        <w:tc>
          <w:tcPr>
            <w:tcW w:w="534" w:type="dxa"/>
          </w:tcPr>
          <w:p w:rsidR="005965D1" w:rsidRPr="00545238" w:rsidRDefault="005965D1" w:rsidP="00077814">
            <w:pPr>
              <w:jc w:val="center"/>
            </w:pPr>
            <w:r>
              <w:t>2.</w:t>
            </w:r>
          </w:p>
        </w:tc>
        <w:tc>
          <w:tcPr>
            <w:tcW w:w="2301" w:type="dxa"/>
          </w:tcPr>
          <w:p w:rsidR="005965D1" w:rsidRPr="005965D1" w:rsidRDefault="005965D1" w:rsidP="005965D1">
            <w:r w:rsidRPr="005965D1">
              <w:t>Comisia de stat pentru Reglementarea activităţii de întreprinzător</w:t>
            </w:r>
          </w:p>
          <w:p w:rsidR="005965D1" w:rsidRDefault="005965D1" w:rsidP="005965D1">
            <w:r w:rsidRPr="005965D1">
              <w:t xml:space="preserve"> Grupul de lucru,   Pr</w:t>
            </w:r>
            <w:r>
              <w:t>oces v</w:t>
            </w:r>
            <w:r w:rsidRPr="005965D1">
              <w:t xml:space="preserve">erbal din  </w:t>
            </w:r>
            <w:r>
              <w:t>15.11</w:t>
            </w:r>
            <w:r w:rsidRPr="005965D1">
              <w:t>.</w:t>
            </w:r>
            <w:r>
              <w:t xml:space="preserve"> </w:t>
            </w:r>
            <w:r w:rsidRPr="005965D1">
              <w:t>2015</w:t>
            </w:r>
          </w:p>
        </w:tc>
        <w:tc>
          <w:tcPr>
            <w:tcW w:w="8364" w:type="dxa"/>
          </w:tcPr>
          <w:p w:rsidR="005965D1" w:rsidRDefault="005965D1" w:rsidP="00881D15">
            <w:pPr>
              <w:jc w:val="both"/>
            </w:pPr>
            <w:r>
              <w:rPr>
                <w:b/>
              </w:rPr>
              <w:t>P</w:t>
            </w:r>
            <w:r w:rsidRPr="00545238">
              <w:rPr>
                <w:b/>
              </w:rPr>
              <w:t xml:space="preserve">roiectul </w:t>
            </w:r>
            <w:proofErr w:type="spellStart"/>
            <w:r w:rsidRPr="005466A3">
              <w:rPr>
                <w:b/>
              </w:rPr>
              <w:t>Hotărîrii</w:t>
            </w:r>
            <w:proofErr w:type="spellEnd"/>
            <w:r w:rsidRPr="005466A3">
              <w:rPr>
                <w:b/>
              </w:rPr>
              <w:t xml:space="preserve"> Guvernului pentru aprobarea </w:t>
            </w:r>
            <w:r w:rsidRPr="00361855">
              <w:rPr>
                <w:b/>
              </w:rPr>
              <w:t xml:space="preserve">Regulamentului sanitar privind produsele cosmetice </w:t>
            </w:r>
            <w:r>
              <w:rPr>
                <w:b/>
              </w:rPr>
              <w:t>ş</w:t>
            </w:r>
            <w:r w:rsidRPr="00361855">
              <w:rPr>
                <w:b/>
              </w:rPr>
              <w:t>i a Metodelor de analiză necesare pentru verificarea compozi</w:t>
            </w:r>
            <w:r>
              <w:rPr>
                <w:b/>
              </w:rPr>
              <w:t>ţ</w:t>
            </w:r>
            <w:r w:rsidRPr="00361855">
              <w:rPr>
                <w:b/>
              </w:rPr>
              <w:t>iei produselor cosmetice</w:t>
            </w:r>
          </w:p>
        </w:tc>
        <w:tc>
          <w:tcPr>
            <w:tcW w:w="3261" w:type="dxa"/>
          </w:tcPr>
          <w:p w:rsidR="005965D1" w:rsidRDefault="005965D1" w:rsidP="005F4DBB">
            <w:r>
              <w:t>Avizat pozitiv</w:t>
            </w:r>
          </w:p>
        </w:tc>
      </w:tr>
      <w:tr w:rsidR="00985A7D" w:rsidRPr="00545238" w:rsidTr="008126BE">
        <w:tc>
          <w:tcPr>
            <w:tcW w:w="534" w:type="dxa"/>
          </w:tcPr>
          <w:p w:rsidR="00985A7D" w:rsidRPr="00545238" w:rsidRDefault="005965D1" w:rsidP="00077814">
            <w:pPr>
              <w:jc w:val="center"/>
            </w:pPr>
            <w:r>
              <w:t>3.</w:t>
            </w:r>
          </w:p>
        </w:tc>
        <w:tc>
          <w:tcPr>
            <w:tcW w:w="2301" w:type="dxa"/>
          </w:tcPr>
          <w:p w:rsidR="00985A7D" w:rsidRDefault="00985A7D" w:rsidP="00985A7D">
            <w:pPr>
              <w:rPr>
                <w:b/>
              </w:rPr>
            </w:pPr>
            <w:r>
              <w:rPr>
                <w:b/>
              </w:rPr>
              <w:t xml:space="preserve">Ministerul Afacerilor externe </w:t>
            </w:r>
            <w:r w:rsidR="00C86B7B">
              <w:rPr>
                <w:b/>
              </w:rPr>
              <w:t>ş</w:t>
            </w:r>
            <w:r>
              <w:rPr>
                <w:b/>
              </w:rPr>
              <w:t>i Integrării Europene</w:t>
            </w:r>
          </w:p>
          <w:p w:rsidR="00985A7D" w:rsidRDefault="00985A7D" w:rsidP="00985A7D">
            <w:pPr>
              <w:rPr>
                <w:b/>
              </w:rPr>
            </w:pPr>
            <w:r>
              <w:rPr>
                <w:b/>
              </w:rPr>
              <w:t>(</w:t>
            </w:r>
            <w:proofErr w:type="spellStart"/>
            <w:r>
              <w:rPr>
                <w:b/>
              </w:rPr>
              <w:t>nr.DI</w:t>
            </w:r>
            <w:proofErr w:type="spellEnd"/>
            <w:r>
              <w:rPr>
                <w:b/>
              </w:rPr>
              <w:t>/03/041/14750 din 05.11.2015)</w:t>
            </w:r>
          </w:p>
        </w:tc>
        <w:tc>
          <w:tcPr>
            <w:tcW w:w="8364" w:type="dxa"/>
          </w:tcPr>
          <w:p w:rsidR="00985A7D" w:rsidRDefault="00985A7D" w:rsidP="00985A7D">
            <w:pPr>
              <w:jc w:val="both"/>
            </w:pPr>
            <w:r>
              <w:t>Sus</w:t>
            </w:r>
            <w:r w:rsidR="00C86B7B">
              <w:t>ţ</w:t>
            </w:r>
            <w:r>
              <w:t>ine proiectul.</w:t>
            </w:r>
          </w:p>
          <w:p w:rsidR="00985A7D" w:rsidRDefault="00985A7D" w:rsidP="00985A7D">
            <w:pPr>
              <w:jc w:val="both"/>
            </w:pPr>
          </w:p>
          <w:p w:rsidR="00985A7D" w:rsidRDefault="00985A7D" w:rsidP="00985A7D">
            <w:pPr>
              <w:jc w:val="both"/>
            </w:pPr>
            <w:r>
              <w:t xml:space="preserve">Propuneri la textul proiectului </w:t>
            </w:r>
            <w:proofErr w:type="spellStart"/>
            <w:r>
              <w:t>hotărîrii</w:t>
            </w:r>
            <w:proofErr w:type="spellEnd"/>
            <w:r>
              <w:t xml:space="preserve"> Guvernului </w:t>
            </w:r>
            <w:r w:rsidR="00C86B7B">
              <w:t>ş</w:t>
            </w:r>
            <w:r>
              <w:t>i anume:</w:t>
            </w:r>
          </w:p>
          <w:p w:rsidR="00985A7D" w:rsidRDefault="00985A7D" w:rsidP="00985A7D">
            <w:pPr>
              <w:jc w:val="both"/>
            </w:pPr>
            <w:r>
              <w:t>Conform Regulamentului privind mecanismul de armonizare  a legisla</w:t>
            </w:r>
            <w:r w:rsidR="00C86B7B">
              <w:t>ţ</w:t>
            </w:r>
            <w:r>
              <w:t>iei RM cu legisla</w:t>
            </w:r>
            <w:r w:rsidR="00C86B7B">
              <w:t>ţ</w:t>
            </w:r>
            <w:r>
              <w:t>ia comunitară, aprobat prin HG nr. 1345 din 24.11.1006, actele normative care transpun norme comunitare în drept intern, după partea introductivă, urmează să con</w:t>
            </w:r>
            <w:r w:rsidR="00C86B7B">
              <w:t>ţ</w:t>
            </w:r>
            <w:r>
              <w:t>ină o men</w:t>
            </w:r>
            <w:r w:rsidR="00C86B7B">
              <w:t>ţ</w:t>
            </w:r>
            <w:r>
              <w:t>iune privind actul comunitar care a fost preluat.</w:t>
            </w:r>
          </w:p>
          <w:p w:rsidR="00985A7D" w:rsidRDefault="00985A7D" w:rsidP="00985A7D">
            <w:pPr>
              <w:jc w:val="both"/>
            </w:pPr>
          </w:p>
          <w:p w:rsidR="00985A7D" w:rsidRDefault="00985A7D" w:rsidP="00985A7D">
            <w:pPr>
              <w:jc w:val="both"/>
            </w:pPr>
            <w:r>
              <w:t xml:space="preserve">A indica în punctul 1, alin. (1) </w:t>
            </w:r>
            <w:r w:rsidR="00C86B7B">
              <w:t>ş</w:t>
            </w:r>
            <w:r>
              <w:t>i anexele la Regulament, care reprezintă parte integrantă a actului normativ, iar alineatele 2-8 urmează a fi grupate cu genericul comun „Metode de analiză necesare pentru verificarea compozi</w:t>
            </w:r>
            <w:r w:rsidR="00C86B7B">
              <w:t>ţ</w:t>
            </w:r>
            <w:r>
              <w:t>iei produselor cosmetice”</w:t>
            </w:r>
          </w:p>
        </w:tc>
        <w:tc>
          <w:tcPr>
            <w:tcW w:w="3261" w:type="dxa"/>
          </w:tcPr>
          <w:p w:rsidR="00985A7D" w:rsidRDefault="00985A7D" w:rsidP="00985A7D">
            <w:pPr>
              <w:jc w:val="both"/>
            </w:pPr>
            <w:r>
              <w:t>Se acceptă, în preambulul anexelor este indicat actul comunitar care a fost preluat.</w:t>
            </w:r>
          </w:p>
          <w:p w:rsidR="00985A7D" w:rsidRDefault="00985A7D" w:rsidP="00985A7D"/>
          <w:p w:rsidR="00985A7D" w:rsidRDefault="00985A7D" w:rsidP="00985A7D"/>
          <w:p w:rsidR="00985A7D" w:rsidRDefault="00985A7D" w:rsidP="00985A7D"/>
          <w:p w:rsidR="00985A7D" w:rsidRDefault="00985A7D" w:rsidP="00985A7D">
            <w:r>
              <w:t>Se acceptă par</w:t>
            </w:r>
            <w:r w:rsidR="00C86B7B">
              <w:t>ţ</w:t>
            </w:r>
            <w:r>
              <w:t xml:space="preserve">ial, alineatele 2-8 au fost grupate într-un </w:t>
            </w:r>
            <w:proofErr w:type="spellStart"/>
            <w:r>
              <w:t>subpunct</w:t>
            </w:r>
            <w:proofErr w:type="spellEnd"/>
            <w:r>
              <w:t xml:space="preserve"> cu genericul comun „Metode de analiză necesare pentru verificarea compozi</w:t>
            </w:r>
            <w:r w:rsidR="00C86B7B">
              <w:t>ţ</w:t>
            </w:r>
            <w:r>
              <w:t>iei produselor cosmetice”</w:t>
            </w:r>
          </w:p>
        </w:tc>
      </w:tr>
      <w:tr w:rsidR="00845482" w:rsidRPr="00545238" w:rsidTr="008126BE">
        <w:tc>
          <w:tcPr>
            <w:tcW w:w="534" w:type="dxa"/>
          </w:tcPr>
          <w:p w:rsidR="00845482" w:rsidRPr="00545238" w:rsidRDefault="005965D1" w:rsidP="00077814">
            <w:pPr>
              <w:jc w:val="center"/>
            </w:pPr>
            <w:r>
              <w:t>4</w:t>
            </w:r>
          </w:p>
        </w:tc>
        <w:tc>
          <w:tcPr>
            <w:tcW w:w="2301" w:type="dxa"/>
          </w:tcPr>
          <w:p w:rsidR="00845482" w:rsidRDefault="000C3899">
            <w:pPr>
              <w:rPr>
                <w:b/>
              </w:rPr>
            </w:pPr>
            <w:r>
              <w:rPr>
                <w:b/>
              </w:rPr>
              <w:t>Centrul de armonizare a legisla</w:t>
            </w:r>
            <w:r w:rsidR="00C86B7B">
              <w:rPr>
                <w:b/>
              </w:rPr>
              <w:t>ţ</w:t>
            </w:r>
            <w:r>
              <w:rPr>
                <w:b/>
              </w:rPr>
              <w:t>iei</w:t>
            </w:r>
          </w:p>
          <w:p w:rsidR="000C3899" w:rsidRPr="00DF0676" w:rsidRDefault="000C3899">
            <w:pPr>
              <w:rPr>
                <w:b/>
              </w:rPr>
            </w:pPr>
            <w:r>
              <w:rPr>
                <w:b/>
              </w:rPr>
              <w:t>(</w:t>
            </w:r>
            <w:r w:rsidR="00EE0B5F">
              <w:rPr>
                <w:b/>
              </w:rPr>
              <w:t>declara</w:t>
            </w:r>
            <w:r w:rsidR="00C86B7B">
              <w:rPr>
                <w:b/>
              </w:rPr>
              <w:t>ţ</w:t>
            </w:r>
            <w:r w:rsidR="00EE0B5F">
              <w:rPr>
                <w:b/>
              </w:rPr>
              <w:t xml:space="preserve">ia de compatibilitate </w:t>
            </w:r>
            <w:r>
              <w:rPr>
                <w:b/>
              </w:rPr>
              <w:t xml:space="preserve">152/13 din </w:t>
            </w:r>
            <w:r>
              <w:rPr>
                <w:b/>
              </w:rPr>
              <w:lastRenderedPageBreak/>
              <w:t>05.11.2015)</w:t>
            </w:r>
          </w:p>
        </w:tc>
        <w:tc>
          <w:tcPr>
            <w:tcW w:w="8364" w:type="dxa"/>
          </w:tcPr>
          <w:p w:rsidR="00813E0A" w:rsidRDefault="00813E0A" w:rsidP="00813E0A">
            <w:pPr>
              <w:jc w:val="both"/>
            </w:pPr>
            <w:r>
              <w:lastRenderedPageBreak/>
              <w:t>Sus</w:t>
            </w:r>
            <w:r w:rsidR="00C86B7B">
              <w:t>ţ</w:t>
            </w:r>
            <w:r>
              <w:t>ine proiectul.</w:t>
            </w:r>
          </w:p>
          <w:p w:rsidR="005C0EF5" w:rsidRPr="00CC4746" w:rsidRDefault="005C0EF5" w:rsidP="005C0EF5">
            <w:pPr>
              <w:jc w:val="both"/>
              <w:rPr>
                <w:b/>
                <w:i/>
                <w:sz w:val="22"/>
                <w:szCs w:val="22"/>
              </w:rPr>
            </w:pPr>
            <w:r>
              <w:rPr>
                <w:b/>
                <w:i/>
                <w:sz w:val="22"/>
                <w:szCs w:val="22"/>
              </w:rPr>
              <w:t>Referin</w:t>
            </w:r>
            <w:r w:rsidR="00C86B7B">
              <w:rPr>
                <w:b/>
                <w:i/>
                <w:sz w:val="22"/>
                <w:szCs w:val="22"/>
              </w:rPr>
              <w:t>ţ</w:t>
            </w:r>
            <w:r>
              <w:rPr>
                <w:b/>
                <w:i/>
                <w:sz w:val="22"/>
                <w:szCs w:val="22"/>
              </w:rPr>
              <w:t>e directe la actele</w:t>
            </w:r>
            <w:r w:rsidRPr="00CC4746">
              <w:rPr>
                <w:b/>
                <w:i/>
                <w:sz w:val="22"/>
                <w:szCs w:val="22"/>
              </w:rPr>
              <w:t xml:space="preserve"> UE</w:t>
            </w:r>
          </w:p>
          <w:p w:rsidR="005C0EF5" w:rsidRDefault="00C86B7B" w:rsidP="005C0EF5">
            <w:pPr>
              <w:spacing w:after="160" w:line="259" w:lineRule="auto"/>
              <w:jc w:val="both"/>
              <w:rPr>
                <w:sz w:val="22"/>
                <w:szCs w:val="22"/>
              </w:rPr>
            </w:pPr>
            <w:proofErr w:type="spellStart"/>
            <w:r>
              <w:rPr>
                <w:sz w:val="22"/>
                <w:szCs w:val="22"/>
              </w:rPr>
              <w:t>Ţ</w:t>
            </w:r>
            <w:r w:rsidR="005C0EF5" w:rsidRPr="008C3121">
              <w:rPr>
                <w:sz w:val="22"/>
                <w:szCs w:val="22"/>
              </w:rPr>
              <w:t>inînd</w:t>
            </w:r>
            <w:proofErr w:type="spellEnd"/>
            <w:r w:rsidR="005C0EF5" w:rsidRPr="008C3121">
              <w:rPr>
                <w:sz w:val="22"/>
                <w:szCs w:val="22"/>
              </w:rPr>
              <w:t xml:space="preserve"> seama de faptul că Republica Moldova nu este stat membru UE, este eronat procedeul de a face trimitere la prevederile unui act UE, indiferent de tipul acestuia.</w:t>
            </w:r>
            <w:r w:rsidR="005C0EF5" w:rsidRPr="008C3121">
              <w:rPr>
                <w:sz w:val="22"/>
                <w:szCs w:val="22"/>
                <w:lang w:val="en-US"/>
              </w:rPr>
              <w:t xml:space="preserve"> </w:t>
            </w:r>
            <w:r w:rsidR="005C0EF5" w:rsidRPr="008C3121">
              <w:rPr>
                <w:sz w:val="22"/>
                <w:szCs w:val="22"/>
              </w:rPr>
              <w:t>Astfel, trimiterile la actele UE din</w:t>
            </w:r>
            <w:r w:rsidR="005C0EF5" w:rsidRPr="008C3121">
              <w:rPr>
                <w:i/>
                <w:sz w:val="22"/>
                <w:szCs w:val="22"/>
              </w:rPr>
              <w:t xml:space="preserve"> Anexa nr. 1</w:t>
            </w:r>
            <w:r w:rsidR="005C0EF5" w:rsidRPr="008C3121">
              <w:rPr>
                <w:sz w:val="22"/>
                <w:szCs w:val="22"/>
              </w:rPr>
              <w:t xml:space="preserve"> (pct. 38-39; pct. 50</w:t>
            </w:r>
            <w:r w:rsidR="005C0EF5">
              <w:rPr>
                <w:sz w:val="22"/>
                <w:szCs w:val="22"/>
              </w:rPr>
              <w:t>, 4)</w:t>
            </w:r>
            <w:r w:rsidR="005C0EF5" w:rsidRPr="008C3121">
              <w:rPr>
                <w:sz w:val="22"/>
                <w:szCs w:val="22"/>
              </w:rPr>
              <w:t xml:space="preserve"> </w:t>
            </w:r>
            <w:r>
              <w:rPr>
                <w:sz w:val="22"/>
                <w:szCs w:val="22"/>
              </w:rPr>
              <w:t>ş</w:t>
            </w:r>
            <w:r w:rsidR="005C0EF5" w:rsidRPr="008C3121">
              <w:rPr>
                <w:sz w:val="22"/>
                <w:szCs w:val="22"/>
              </w:rPr>
              <w:t xml:space="preserve">i pct. 62); </w:t>
            </w:r>
            <w:r w:rsidR="005C0EF5" w:rsidRPr="008C3121">
              <w:rPr>
                <w:i/>
                <w:sz w:val="22"/>
                <w:szCs w:val="22"/>
              </w:rPr>
              <w:t>Anexa nr. 3</w:t>
            </w:r>
            <w:r w:rsidR="005C0EF5" w:rsidRPr="008C3121">
              <w:rPr>
                <w:sz w:val="22"/>
                <w:szCs w:val="22"/>
              </w:rPr>
              <w:t xml:space="preserve"> (Crt. nr.</w:t>
            </w:r>
            <w:r w:rsidR="005C0EF5">
              <w:rPr>
                <w:sz w:val="22"/>
                <w:szCs w:val="22"/>
              </w:rPr>
              <w:t xml:space="preserve"> 21; 293; 323 </w:t>
            </w:r>
            <w:r>
              <w:rPr>
                <w:sz w:val="22"/>
                <w:szCs w:val="22"/>
              </w:rPr>
              <w:t>ş</w:t>
            </w:r>
            <w:r w:rsidR="005C0EF5">
              <w:rPr>
                <w:sz w:val="22"/>
                <w:szCs w:val="22"/>
              </w:rPr>
              <w:t>i C</w:t>
            </w:r>
            <w:r w:rsidR="005C0EF5" w:rsidRPr="008C3121">
              <w:rPr>
                <w:sz w:val="22"/>
                <w:szCs w:val="22"/>
              </w:rPr>
              <w:t xml:space="preserve">rt. nr. 419); </w:t>
            </w:r>
            <w:r w:rsidR="005C0EF5" w:rsidRPr="008C3121">
              <w:rPr>
                <w:i/>
                <w:sz w:val="22"/>
                <w:szCs w:val="22"/>
              </w:rPr>
              <w:t>Anexa nr. 5</w:t>
            </w:r>
            <w:r w:rsidR="005C0EF5" w:rsidRPr="008C3121">
              <w:rPr>
                <w:sz w:val="22"/>
                <w:szCs w:val="22"/>
              </w:rPr>
              <w:t xml:space="preserve"> (Crt. nr. 19; 27; 31-33; 35; 38; 44; 53; 55-58; </w:t>
            </w:r>
            <w:r w:rsidR="005C0EF5" w:rsidRPr="008C3121">
              <w:rPr>
                <w:sz w:val="22"/>
                <w:szCs w:val="22"/>
              </w:rPr>
              <w:lastRenderedPageBreak/>
              <w:t xml:space="preserve">60; 63; 70; 80; 82; 99; 109-111; 114-117; 124; 126; 133; 135-137; 142-143; 145-149) </w:t>
            </w:r>
            <w:r>
              <w:rPr>
                <w:sz w:val="22"/>
                <w:szCs w:val="22"/>
              </w:rPr>
              <w:t>ş</w:t>
            </w:r>
            <w:r w:rsidR="005C0EF5" w:rsidRPr="008C3121">
              <w:rPr>
                <w:sz w:val="22"/>
                <w:szCs w:val="22"/>
              </w:rPr>
              <w:t>i prima propozi</w:t>
            </w:r>
            <w:r>
              <w:rPr>
                <w:sz w:val="22"/>
                <w:szCs w:val="22"/>
              </w:rPr>
              <w:t>ţ</w:t>
            </w:r>
            <w:r w:rsidR="005C0EF5" w:rsidRPr="008C3121">
              <w:rPr>
                <w:sz w:val="22"/>
                <w:szCs w:val="22"/>
              </w:rPr>
              <w:t xml:space="preserve">ie din </w:t>
            </w:r>
            <w:r w:rsidR="005C0EF5" w:rsidRPr="008C3121">
              <w:rPr>
                <w:i/>
                <w:sz w:val="22"/>
                <w:szCs w:val="22"/>
              </w:rPr>
              <w:t>Anexa nr. 9</w:t>
            </w:r>
            <w:r w:rsidR="005C0EF5">
              <w:rPr>
                <w:i/>
                <w:sz w:val="22"/>
                <w:szCs w:val="22"/>
              </w:rPr>
              <w:t xml:space="preserve"> </w:t>
            </w:r>
            <w:r w:rsidR="005C0EF5" w:rsidRPr="006C275A">
              <w:rPr>
                <w:sz w:val="22"/>
                <w:szCs w:val="22"/>
              </w:rPr>
              <w:t>din proiectul Regulamentului,</w:t>
            </w:r>
            <w:r w:rsidR="005C0EF5" w:rsidRPr="008C3121">
              <w:rPr>
                <w:sz w:val="22"/>
                <w:szCs w:val="22"/>
              </w:rPr>
              <w:t xml:space="preserve"> </w:t>
            </w:r>
            <w:r w:rsidR="005C0EF5">
              <w:rPr>
                <w:sz w:val="22"/>
                <w:szCs w:val="22"/>
              </w:rPr>
              <w:t xml:space="preserve">precum </w:t>
            </w:r>
            <w:r>
              <w:rPr>
                <w:sz w:val="22"/>
                <w:szCs w:val="22"/>
              </w:rPr>
              <w:t>ş</w:t>
            </w:r>
            <w:r w:rsidR="005C0EF5">
              <w:rPr>
                <w:sz w:val="22"/>
                <w:szCs w:val="22"/>
              </w:rPr>
              <w:t xml:space="preserve">i </w:t>
            </w:r>
            <w:r w:rsidR="005C0EF5" w:rsidRPr="006C275A">
              <w:rPr>
                <w:i/>
                <w:sz w:val="22"/>
                <w:szCs w:val="22"/>
              </w:rPr>
              <w:t>Anexa nr. 3</w:t>
            </w:r>
            <w:r w:rsidR="005C0EF5">
              <w:rPr>
                <w:sz w:val="22"/>
                <w:szCs w:val="22"/>
              </w:rPr>
              <w:t xml:space="preserve"> (Capitolul IV, pct. 4.6) </w:t>
            </w:r>
            <w:r>
              <w:rPr>
                <w:sz w:val="22"/>
                <w:szCs w:val="22"/>
              </w:rPr>
              <w:t>ş</w:t>
            </w:r>
            <w:r w:rsidR="005C0EF5">
              <w:rPr>
                <w:sz w:val="22"/>
                <w:szCs w:val="22"/>
              </w:rPr>
              <w:t xml:space="preserve">i </w:t>
            </w:r>
            <w:r w:rsidR="005C0EF5" w:rsidRPr="006C275A">
              <w:rPr>
                <w:i/>
                <w:sz w:val="22"/>
                <w:szCs w:val="22"/>
              </w:rPr>
              <w:t>Anexa nr. 8</w:t>
            </w:r>
            <w:r w:rsidR="005C0EF5">
              <w:rPr>
                <w:sz w:val="22"/>
                <w:szCs w:val="22"/>
              </w:rPr>
              <w:t xml:space="preserve"> (Capitolul I, pct. 10.3)</w:t>
            </w:r>
            <w:r w:rsidR="005C0EF5" w:rsidRPr="006C275A">
              <w:rPr>
                <w:lang w:val="en-US"/>
              </w:rPr>
              <w:t xml:space="preserve"> </w:t>
            </w:r>
            <w:r w:rsidR="005C0EF5" w:rsidRPr="006C275A">
              <w:rPr>
                <w:sz w:val="22"/>
                <w:szCs w:val="22"/>
              </w:rPr>
              <w:t>din Metodele de analiză necesare pentru verificarea compozi</w:t>
            </w:r>
            <w:r>
              <w:rPr>
                <w:sz w:val="22"/>
                <w:szCs w:val="22"/>
              </w:rPr>
              <w:t>ţ</w:t>
            </w:r>
            <w:r w:rsidR="005C0EF5" w:rsidRPr="006C275A">
              <w:rPr>
                <w:sz w:val="22"/>
                <w:szCs w:val="22"/>
              </w:rPr>
              <w:t>iei produselor cosmetice</w:t>
            </w:r>
            <w:r w:rsidR="005C0EF5" w:rsidRPr="00D7513A">
              <w:rPr>
                <w:sz w:val="22"/>
                <w:szCs w:val="22"/>
              </w:rPr>
              <w:t>, urmează a fi substituite cu referin</w:t>
            </w:r>
            <w:r>
              <w:rPr>
                <w:sz w:val="22"/>
                <w:szCs w:val="22"/>
              </w:rPr>
              <w:t>ţ</w:t>
            </w:r>
            <w:r w:rsidR="005C0EF5" w:rsidRPr="00D7513A">
              <w:rPr>
                <w:sz w:val="22"/>
                <w:szCs w:val="22"/>
              </w:rPr>
              <w:t>e la acte na</w:t>
            </w:r>
            <w:r>
              <w:rPr>
                <w:sz w:val="22"/>
                <w:szCs w:val="22"/>
              </w:rPr>
              <w:t>ţ</w:t>
            </w:r>
            <w:r w:rsidR="005C0EF5" w:rsidRPr="00D7513A">
              <w:rPr>
                <w:sz w:val="22"/>
                <w:szCs w:val="22"/>
              </w:rPr>
              <w:t>ionale care transpun prevederile UE respective</w:t>
            </w:r>
            <w:r w:rsidR="005C0EF5">
              <w:rPr>
                <w:sz w:val="22"/>
                <w:szCs w:val="22"/>
              </w:rPr>
              <w:t>. În cazul în care nu există acte na</w:t>
            </w:r>
            <w:r>
              <w:rPr>
                <w:sz w:val="22"/>
                <w:szCs w:val="22"/>
              </w:rPr>
              <w:t>ţ</w:t>
            </w:r>
            <w:r w:rsidR="005C0EF5">
              <w:rPr>
                <w:sz w:val="22"/>
                <w:szCs w:val="22"/>
              </w:rPr>
              <w:t>ionale corespondente care transpun prevederile UE la care se fac referin</w:t>
            </w:r>
            <w:r>
              <w:rPr>
                <w:sz w:val="22"/>
                <w:szCs w:val="22"/>
              </w:rPr>
              <w:t>ţ</w:t>
            </w:r>
            <w:r w:rsidR="005C0EF5">
              <w:rPr>
                <w:sz w:val="22"/>
                <w:szCs w:val="22"/>
              </w:rPr>
              <w:t>e, aceste trimiteri vor fi excluse, iar Tabelul de c</w:t>
            </w:r>
            <w:r w:rsidR="005C0EF5" w:rsidRPr="003F2814">
              <w:rPr>
                <w:sz w:val="22"/>
                <w:szCs w:val="22"/>
              </w:rPr>
              <w:t>oncordan</w:t>
            </w:r>
            <w:r>
              <w:rPr>
                <w:sz w:val="22"/>
                <w:szCs w:val="22"/>
              </w:rPr>
              <w:t>ţ</w:t>
            </w:r>
            <w:r w:rsidR="005C0EF5" w:rsidRPr="003F2814">
              <w:rPr>
                <w:sz w:val="22"/>
                <w:szCs w:val="22"/>
              </w:rPr>
              <w:t>ă</w:t>
            </w:r>
            <w:r w:rsidR="005C0EF5">
              <w:rPr>
                <w:sz w:val="22"/>
                <w:szCs w:val="22"/>
              </w:rPr>
              <w:t xml:space="preserve"> va indica calificativul „par</w:t>
            </w:r>
            <w:r>
              <w:rPr>
                <w:sz w:val="22"/>
                <w:szCs w:val="22"/>
              </w:rPr>
              <w:t>ţ</w:t>
            </w:r>
            <w:r w:rsidR="005C0EF5">
              <w:rPr>
                <w:sz w:val="22"/>
                <w:szCs w:val="22"/>
              </w:rPr>
              <w:t xml:space="preserve">ial compatibil”, cu inserarea motivelor </w:t>
            </w:r>
            <w:r>
              <w:rPr>
                <w:sz w:val="22"/>
                <w:szCs w:val="22"/>
              </w:rPr>
              <w:t>ş</w:t>
            </w:r>
            <w:r w:rsidR="005C0EF5">
              <w:rPr>
                <w:sz w:val="22"/>
                <w:szCs w:val="22"/>
              </w:rPr>
              <w:t>i a ac</w:t>
            </w:r>
            <w:r>
              <w:rPr>
                <w:sz w:val="22"/>
                <w:szCs w:val="22"/>
              </w:rPr>
              <w:t>ţ</w:t>
            </w:r>
            <w:r w:rsidR="005C0EF5">
              <w:rPr>
                <w:sz w:val="22"/>
                <w:szCs w:val="22"/>
              </w:rPr>
              <w:t>iunilor planificate pentru viitor, pentru ridicarea gradului de compatibilitate.</w:t>
            </w:r>
          </w:p>
          <w:p w:rsidR="005C0EF5" w:rsidRPr="007C3774" w:rsidRDefault="005C0EF5" w:rsidP="005C0EF5">
            <w:pPr>
              <w:jc w:val="both"/>
              <w:rPr>
                <w:b/>
                <w:i/>
                <w:color w:val="000000" w:themeColor="text1"/>
                <w:sz w:val="22"/>
                <w:szCs w:val="22"/>
              </w:rPr>
            </w:pPr>
            <w:r w:rsidRPr="007C3774">
              <w:rPr>
                <w:b/>
                <w:i/>
                <w:color w:val="000000" w:themeColor="text1"/>
                <w:sz w:val="22"/>
                <w:szCs w:val="22"/>
              </w:rPr>
              <w:t>Aspecte de tehnică legislativă</w:t>
            </w:r>
            <w:r w:rsidRPr="008C3121">
              <w:rPr>
                <w:b/>
                <w:i/>
                <w:color w:val="000000" w:themeColor="text1"/>
                <w:sz w:val="22"/>
                <w:szCs w:val="22"/>
              </w:rPr>
              <w:t xml:space="preserve"> </w:t>
            </w:r>
            <w:r w:rsidR="00C86B7B">
              <w:rPr>
                <w:b/>
                <w:i/>
                <w:color w:val="000000" w:themeColor="text1"/>
                <w:sz w:val="22"/>
                <w:szCs w:val="22"/>
              </w:rPr>
              <w:t>ş</w:t>
            </w:r>
            <w:r w:rsidRPr="008C3121">
              <w:rPr>
                <w:b/>
                <w:i/>
                <w:color w:val="000000" w:themeColor="text1"/>
                <w:sz w:val="22"/>
                <w:szCs w:val="22"/>
              </w:rPr>
              <w:t>i prevederi care necesită a fi ajustate la realitatea juridică na</w:t>
            </w:r>
            <w:r w:rsidR="00C86B7B">
              <w:rPr>
                <w:b/>
                <w:i/>
                <w:color w:val="000000" w:themeColor="text1"/>
                <w:sz w:val="22"/>
                <w:szCs w:val="22"/>
              </w:rPr>
              <w:t>ţ</w:t>
            </w:r>
            <w:r w:rsidRPr="008C3121">
              <w:rPr>
                <w:b/>
                <w:i/>
                <w:color w:val="000000" w:themeColor="text1"/>
                <w:sz w:val="22"/>
                <w:szCs w:val="22"/>
              </w:rPr>
              <w:t>ională</w:t>
            </w:r>
          </w:p>
          <w:p w:rsidR="005C0EF5" w:rsidRPr="008C3121" w:rsidRDefault="005C0EF5" w:rsidP="005C0EF5">
            <w:pPr>
              <w:spacing w:after="160" w:line="259" w:lineRule="auto"/>
              <w:jc w:val="both"/>
              <w:rPr>
                <w:sz w:val="22"/>
                <w:szCs w:val="22"/>
              </w:rPr>
            </w:pPr>
            <w:r w:rsidRPr="008C3121">
              <w:rPr>
                <w:i/>
                <w:sz w:val="22"/>
                <w:szCs w:val="22"/>
              </w:rPr>
              <w:t>Anexa nr. 1</w:t>
            </w:r>
            <w:r w:rsidRPr="008C3121">
              <w:rPr>
                <w:sz w:val="22"/>
                <w:szCs w:val="22"/>
              </w:rPr>
              <w:t xml:space="preserve"> (Pct. 22, 2) </w:t>
            </w:r>
            <w:r w:rsidR="00C86B7B">
              <w:rPr>
                <w:sz w:val="22"/>
                <w:szCs w:val="22"/>
              </w:rPr>
              <w:t>ş</w:t>
            </w:r>
            <w:r w:rsidRPr="008C3121">
              <w:rPr>
                <w:sz w:val="22"/>
                <w:szCs w:val="22"/>
              </w:rPr>
              <w:t xml:space="preserve">i 3); pct. 45, 1)); </w:t>
            </w:r>
            <w:r w:rsidRPr="008C3121">
              <w:rPr>
                <w:i/>
                <w:sz w:val="22"/>
                <w:szCs w:val="22"/>
              </w:rPr>
              <w:t>Anexa nr. 2</w:t>
            </w:r>
            <w:r w:rsidRPr="008C3121">
              <w:rPr>
                <w:sz w:val="22"/>
                <w:szCs w:val="22"/>
              </w:rPr>
              <w:t xml:space="preserve"> (Capitolul I, pct. 8, 1)); </w:t>
            </w:r>
            <w:r w:rsidRPr="008C3121">
              <w:rPr>
                <w:i/>
                <w:sz w:val="22"/>
                <w:szCs w:val="22"/>
              </w:rPr>
              <w:t>Anexa nr. 3</w:t>
            </w:r>
            <w:r w:rsidRPr="008C3121">
              <w:rPr>
                <w:sz w:val="22"/>
                <w:szCs w:val="22"/>
              </w:rPr>
              <w:t xml:space="preserve"> (Crt. nr. 46; 191; 297; 321; 391; 395); </w:t>
            </w:r>
            <w:r w:rsidRPr="008C3121">
              <w:rPr>
                <w:i/>
                <w:sz w:val="22"/>
                <w:szCs w:val="22"/>
              </w:rPr>
              <w:t>Anexa nr. 4</w:t>
            </w:r>
            <w:r w:rsidRPr="008C3121">
              <w:rPr>
                <w:sz w:val="22"/>
                <w:szCs w:val="22"/>
              </w:rPr>
              <w:t xml:space="preserve"> (Crt. nr. 1a; 8; 9; 24 </w:t>
            </w:r>
            <w:r w:rsidR="00C86B7B">
              <w:rPr>
                <w:sz w:val="22"/>
                <w:szCs w:val="22"/>
              </w:rPr>
              <w:t>ş</w:t>
            </w:r>
            <w:r w:rsidRPr="008C3121">
              <w:rPr>
                <w:sz w:val="22"/>
                <w:szCs w:val="22"/>
              </w:rPr>
              <w:t xml:space="preserve">i notele de subsol – (2); (7)-(10) </w:t>
            </w:r>
            <w:r w:rsidR="00C86B7B">
              <w:rPr>
                <w:sz w:val="22"/>
                <w:szCs w:val="22"/>
              </w:rPr>
              <w:t>ş</w:t>
            </w:r>
            <w:r w:rsidRPr="008C3121">
              <w:rPr>
                <w:sz w:val="22"/>
                <w:szCs w:val="22"/>
              </w:rPr>
              <w:t xml:space="preserve">i (12)-(14)); </w:t>
            </w:r>
            <w:r w:rsidRPr="008C3121">
              <w:rPr>
                <w:i/>
                <w:sz w:val="22"/>
                <w:szCs w:val="22"/>
              </w:rPr>
              <w:t>Anexa nr. 5</w:t>
            </w:r>
            <w:r w:rsidRPr="008C3121">
              <w:rPr>
                <w:sz w:val="22"/>
                <w:szCs w:val="22"/>
              </w:rPr>
              <w:t xml:space="preserve"> (nota de subsol – (1)) </w:t>
            </w:r>
            <w:r w:rsidR="00C86B7B">
              <w:rPr>
                <w:sz w:val="22"/>
                <w:szCs w:val="22"/>
              </w:rPr>
              <w:t>ş</w:t>
            </w:r>
            <w:r w:rsidRPr="008C3121">
              <w:rPr>
                <w:sz w:val="22"/>
                <w:szCs w:val="22"/>
              </w:rPr>
              <w:t xml:space="preserve">i </w:t>
            </w:r>
            <w:r w:rsidRPr="008C3121">
              <w:rPr>
                <w:i/>
                <w:sz w:val="22"/>
                <w:szCs w:val="22"/>
              </w:rPr>
              <w:t>Anexa nr. 6</w:t>
            </w:r>
            <w:r>
              <w:rPr>
                <w:sz w:val="22"/>
                <w:szCs w:val="22"/>
              </w:rPr>
              <w:t xml:space="preserve"> (notele de subsol (1); (3</w:t>
            </w:r>
            <w:r w:rsidRPr="008C3121">
              <w:rPr>
                <w:sz w:val="22"/>
                <w:szCs w:val="22"/>
              </w:rPr>
              <w:t>)-(8</w:t>
            </w:r>
            <w:r>
              <w:rPr>
                <w:sz w:val="22"/>
                <w:szCs w:val="22"/>
              </w:rPr>
              <w:t xml:space="preserve">) </w:t>
            </w:r>
            <w:r w:rsidR="00C86B7B">
              <w:rPr>
                <w:sz w:val="22"/>
                <w:szCs w:val="22"/>
              </w:rPr>
              <w:t>ş</w:t>
            </w:r>
            <w:r>
              <w:rPr>
                <w:sz w:val="22"/>
                <w:szCs w:val="22"/>
              </w:rPr>
              <w:t>i (10)) din p</w:t>
            </w:r>
            <w:r w:rsidRPr="008C3121">
              <w:rPr>
                <w:sz w:val="22"/>
                <w:szCs w:val="22"/>
              </w:rPr>
              <w:t>roiectul Regulamentului sanitar privind produsele cosmetice, con</w:t>
            </w:r>
            <w:r w:rsidR="00C86B7B">
              <w:rPr>
                <w:sz w:val="22"/>
                <w:szCs w:val="22"/>
              </w:rPr>
              <w:t>ţ</w:t>
            </w:r>
            <w:r w:rsidRPr="008C3121">
              <w:rPr>
                <w:sz w:val="22"/>
                <w:szCs w:val="22"/>
              </w:rPr>
              <w:t xml:space="preserve">in o serie de prevederi </w:t>
            </w:r>
            <w:r>
              <w:rPr>
                <w:sz w:val="22"/>
                <w:szCs w:val="22"/>
              </w:rPr>
              <w:t xml:space="preserve">care </w:t>
            </w:r>
            <w:r w:rsidRPr="008C3121">
              <w:rPr>
                <w:sz w:val="22"/>
                <w:szCs w:val="22"/>
              </w:rPr>
              <w:t xml:space="preserve">fac trimitere la alte articole, anexe, puncte </w:t>
            </w:r>
            <w:proofErr w:type="spellStart"/>
            <w:r w:rsidRPr="008C3121">
              <w:rPr>
                <w:sz w:val="22"/>
                <w:szCs w:val="22"/>
              </w:rPr>
              <w:t>decît</w:t>
            </w:r>
            <w:proofErr w:type="spellEnd"/>
            <w:r w:rsidRPr="008C3121">
              <w:rPr>
                <w:sz w:val="22"/>
                <w:szCs w:val="22"/>
              </w:rPr>
              <w:t xml:space="preserve"> cele care de fapt re</w:t>
            </w:r>
            <w:r>
              <w:rPr>
                <w:sz w:val="22"/>
                <w:szCs w:val="22"/>
              </w:rPr>
              <w:t xml:space="preserve">glementează subiectul interesat </w:t>
            </w:r>
            <w:r w:rsidR="00C86B7B">
              <w:rPr>
                <w:sz w:val="22"/>
                <w:szCs w:val="22"/>
              </w:rPr>
              <w:t>ş</w:t>
            </w:r>
            <w:r>
              <w:rPr>
                <w:sz w:val="22"/>
                <w:szCs w:val="22"/>
              </w:rPr>
              <w:t>i necesită a fi revizuite în sensul înlăturării erorilor de referin</w:t>
            </w:r>
            <w:r w:rsidR="00C86B7B">
              <w:rPr>
                <w:sz w:val="22"/>
                <w:szCs w:val="22"/>
              </w:rPr>
              <w:t>ţ</w:t>
            </w:r>
            <w:r>
              <w:rPr>
                <w:sz w:val="22"/>
                <w:szCs w:val="22"/>
              </w:rPr>
              <w:t>ă.</w:t>
            </w:r>
          </w:p>
          <w:p w:rsidR="005C0EF5" w:rsidRPr="008C3121" w:rsidRDefault="005C0EF5" w:rsidP="005C0EF5">
            <w:pPr>
              <w:spacing w:after="160" w:line="259" w:lineRule="auto"/>
              <w:jc w:val="both"/>
              <w:rPr>
                <w:sz w:val="22"/>
                <w:szCs w:val="22"/>
              </w:rPr>
            </w:pPr>
            <w:r w:rsidRPr="008C3121">
              <w:rPr>
                <w:sz w:val="22"/>
                <w:szCs w:val="22"/>
              </w:rPr>
              <w:t xml:space="preserve">În </w:t>
            </w:r>
            <w:r w:rsidRPr="008C3121">
              <w:rPr>
                <w:i/>
                <w:sz w:val="22"/>
                <w:szCs w:val="22"/>
              </w:rPr>
              <w:t>Anexa nr. 1</w:t>
            </w:r>
            <w:r w:rsidRPr="008C3121">
              <w:rPr>
                <w:sz w:val="22"/>
                <w:szCs w:val="22"/>
              </w:rPr>
              <w:t xml:space="preserve"> (Pct. 32, 1) </w:t>
            </w:r>
            <w:r w:rsidR="00C86B7B">
              <w:rPr>
                <w:sz w:val="22"/>
                <w:szCs w:val="22"/>
              </w:rPr>
              <w:t>ş</w:t>
            </w:r>
            <w:r w:rsidRPr="008C3121">
              <w:rPr>
                <w:sz w:val="22"/>
                <w:szCs w:val="22"/>
              </w:rPr>
              <w:t xml:space="preserve">i 2); pct. 50, 1) </w:t>
            </w:r>
            <w:r w:rsidR="00C86B7B">
              <w:rPr>
                <w:sz w:val="22"/>
                <w:szCs w:val="22"/>
              </w:rPr>
              <w:t>ş</w:t>
            </w:r>
            <w:r w:rsidRPr="008C3121">
              <w:rPr>
                <w:sz w:val="22"/>
                <w:szCs w:val="22"/>
              </w:rPr>
              <w:t xml:space="preserve">i 2)) </w:t>
            </w:r>
            <w:r w:rsidR="00C86B7B">
              <w:rPr>
                <w:sz w:val="22"/>
                <w:szCs w:val="22"/>
              </w:rPr>
              <w:t>ş</w:t>
            </w:r>
            <w:r w:rsidRPr="008C3121">
              <w:rPr>
                <w:sz w:val="22"/>
                <w:szCs w:val="22"/>
              </w:rPr>
              <w:t xml:space="preserve">i </w:t>
            </w:r>
            <w:r w:rsidRPr="008C3121">
              <w:rPr>
                <w:i/>
                <w:sz w:val="22"/>
                <w:szCs w:val="22"/>
              </w:rPr>
              <w:t>Anexa nr. 4</w:t>
            </w:r>
            <w:r w:rsidRPr="008C3121">
              <w:rPr>
                <w:sz w:val="22"/>
                <w:szCs w:val="22"/>
              </w:rPr>
              <w:t xml:space="preserve"> (Crt. nr. 67-92) din p</w:t>
            </w:r>
            <w:r w:rsidRPr="00CC4746">
              <w:rPr>
                <w:sz w:val="22"/>
                <w:szCs w:val="22"/>
              </w:rPr>
              <w:t xml:space="preserve">roiectul </w:t>
            </w:r>
            <w:r w:rsidRPr="008C3121">
              <w:rPr>
                <w:sz w:val="22"/>
                <w:szCs w:val="22"/>
              </w:rPr>
              <w:t>Regulamentului sanitar privind produsele cosmetice,</w:t>
            </w:r>
            <w:r w:rsidRPr="008C3121">
              <w:rPr>
                <w:sz w:val="22"/>
                <w:szCs w:val="22"/>
                <w:lang w:val="en-US"/>
              </w:rPr>
              <w:t xml:space="preserve"> </w:t>
            </w:r>
            <w:r w:rsidRPr="008C3121">
              <w:rPr>
                <w:sz w:val="22"/>
                <w:szCs w:val="22"/>
              </w:rPr>
              <w:t xml:space="preserve">constatăm o transpunere </w:t>
            </w:r>
            <w:proofErr w:type="spellStart"/>
            <w:r w:rsidRPr="008C3121">
              <w:rPr>
                <w:i/>
                <w:sz w:val="22"/>
                <w:szCs w:val="22"/>
              </w:rPr>
              <w:t>ad</w:t>
            </w:r>
            <w:proofErr w:type="spellEnd"/>
            <w:r w:rsidRPr="008C3121">
              <w:rPr>
                <w:i/>
                <w:sz w:val="22"/>
                <w:szCs w:val="22"/>
              </w:rPr>
              <w:t xml:space="preserve"> </w:t>
            </w:r>
            <w:proofErr w:type="spellStart"/>
            <w:r w:rsidRPr="008C3121">
              <w:rPr>
                <w:i/>
                <w:sz w:val="22"/>
                <w:szCs w:val="22"/>
              </w:rPr>
              <w:t>litteram</w:t>
            </w:r>
            <w:proofErr w:type="spellEnd"/>
            <w:r w:rsidRPr="008C3121">
              <w:rPr>
                <w:sz w:val="22"/>
                <w:szCs w:val="22"/>
              </w:rPr>
              <w:t xml:space="preserve"> a mai multor prevederi din Regulamentul (CE) nr. 1223/2009 (în spe</w:t>
            </w:r>
            <w:r w:rsidR="00C86B7B">
              <w:rPr>
                <w:sz w:val="22"/>
                <w:szCs w:val="22"/>
              </w:rPr>
              <w:t>ţ</w:t>
            </w:r>
            <w:r w:rsidRPr="008C3121">
              <w:rPr>
                <w:sz w:val="22"/>
                <w:szCs w:val="22"/>
              </w:rPr>
              <w:t xml:space="preserve">ă: art. 13, (3), lit. (a) </w:t>
            </w:r>
            <w:r w:rsidR="00C86B7B">
              <w:rPr>
                <w:sz w:val="22"/>
                <w:szCs w:val="22"/>
              </w:rPr>
              <w:t>ş</w:t>
            </w:r>
            <w:r w:rsidRPr="008C3121">
              <w:rPr>
                <w:sz w:val="22"/>
                <w:szCs w:val="22"/>
              </w:rPr>
              <w:t xml:space="preserve">i (b); art. 18, (1), lit. (a) </w:t>
            </w:r>
            <w:r w:rsidR="00C86B7B">
              <w:rPr>
                <w:sz w:val="22"/>
                <w:szCs w:val="22"/>
              </w:rPr>
              <w:t>ş</w:t>
            </w:r>
            <w:r w:rsidRPr="008C3121">
              <w:rPr>
                <w:sz w:val="22"/>
                <w:szCs w:val="22"/>
              </w:rPr>
              <w:t xml:space="preserve">i (b) </w:t>
            </w:r>
            <w:r w:rsidR="00C86B7B">
              <w:rPr>
                <w:sz w:val="22"/>
                <w:szCs w:val="22"/>
              </w:rPr>
              <w:t>ş</w:t>
            </w:r>
            <w:r w:rsidRPr="008C3121">
              <w:rPr>
                <w:sz w:val="22"/>
                <w:szCs w:val="22"/>
              </w:rPr>
              <w:t xml:space="preserve">i Anexa III, crt. nr. 67-92). Această transpunere eronată afectează sensul normei </w:t>
            </w:r>
            <w:r w:rsidR="00C86B7B">
              <w:rPr>
                <w:sz w:val="22"/>
                <w:szCs w:val="22"/>
              </w:rPr>
              <w:t>ş</w:t>
            </w:r>
            <w:r w:rsidRPr="008C3121">
              <w:rPr>
                <w:sz w:val="22"/>
                <w:szCs w:val="22"/>
              </w:rPr>
              <w:t>i din acest motiv prevederile na</w:t>
            </w:r>
            <w:r w:rsidR="00C86B7B">
              <w:rPr>
                <w:sz w:val="22"/>
                <w:szCs w:val="22"/>
              </w:rPr>
              <w:t>ţ</w:t>
            </w:r>
            <w:r w:rsidRPr="008C3121">
              <w:rPr>
                <w:sz w:val="22"/>
                <w:szCs w:val="22"/>
              </w:rPr>
              <w:t>ionale men</w:t>
            </w:r>
            <w:r w:rsidR="00C86B7B">
              <w:rPr>
                <w:sz w:val="22"/>
                <w:szCs w:val="22"/>
              </w:rPr>
              <w:t>ţ</w:t>
            </w:r>
            <w:r w:rsidRPr="008C3121">
              <w:rPr>
                <w:sz w:val="22"/>
                <w:szCs w:val="22"/>
              </w:rPr>
              <w:t xml:space="preserve">ionate </w:t>
            </w:r>
            <w:r w:rsidRPr="008C3121">
              <w:rPr>
                <w:i/>
                <w:sz w:val="22"/>
                <w:szCs w:val="22"/>
              </w:rPr>
              <w:t>supra,</w:t>
            </w:r>
            <w:r w:rsidRPr="008C3121">
              <w:rPr>
                <w:sz w:val="22"/>
                <w:szCs w:val="22"/>
              </w:rPr>
              <w:t xml:space="preserve"> </w:t>
            </w:r>
            <w:r w:rsidRPr="00D7513A">
              <w:rPr>
                <w:sz w:val="22"/>
                <w:szCs w:val="22"/>
              </w:rPr>
              <w:t xml:space="preserve">urmează a fi revizuite </w:t>
            </w:r>
            <w:r w:rsidR="00C86B7B">
              <w:rPr>
                <w:sz w:val="22"/>
                <w:szCs w:val="22"/>
              </w:rPr>
              <w:t>ş</w:t>
            </w:r>
            <w:r w:rsidRPr="00D7513A">
              <w:rPr>
                <w:sz w:val="22"/>
                <w:szCs w:val="22"/>
              </w:rPr>
              <w:t>i adaptate la realitatea juridică na</w:t>
            </w:r>
            <w:r w:rsidR="00C86B7B">
              <w:rPr>
                <w:sz w:val="22"/>
                <w:szCs w:val="22"/>
              </w:rPr>
              <w:t>ţ</w:t>
            </w:r>
            <w:r w:rsidRPr="00D7513A">
              <w:rPr>
                <w:sz w:val="22"/>
                <w:szCs w:val="22"/>
              </w:rPr>
              <w:t>ională.</w:t>
            </w:r>
            <w:r>
              <w:rPr>
                <w:sz w:val="22"/>
                <w:szCs w:val="22"/>
              </w:rPr>
              <w:t xml:space="preserve"> Astfel, nu vor fi transpuse prevederile orientate exclusiv pentru statele membre: „stat membru al UE, or nivel comunitar, ci „alte state” (</w:t>
            </w:r>
            <w:r w:rsidRPr="00D521F3">
              <w:rPr>
                <w:sz w:val="22"/>
                <w:szCs w:val="22"/>
              </w:rPr>
              <w:t xml:space="preserve">Anexa nr. 1 (Pct. 32, 1) </w:t>
            </w:r>
            <w:r w:rsidR="00C86B7B">
              <w:rPr>
                <w:sz w:val="22"/>
                <w:szCs w:val="22"/>
              </w:rPr>
              <w:t>ş</w:t>
            </w:r>
            <w:r w:rsidRPr="00D521F3">
              <w:rPr>
                <w:sz w:val="22"/>
                <w:szCs w:val="22"/>
              </w:rPr>
              <w:t xml:space="preserve">i 2); pct. 50, 1) </w:t>
            </w:r>
            <w:r w:rsidR="00C86B7B">
              <w:rPr>
                <w:sz w:val="22"/>
                <w:szCs w:val="22"/>
              </w:rPr>
              <w:t>ş</w:t>
            </w:r>
            <w:r w:rsidRPr="00D521F3">
              <w:rPr>
                <w:sz w:val="22"/>
                <w:szCs w:val="22"/>
              </w:rPr>
              <w:t>i 2))</w:t>
            </w:r>
            <w:r>
              <w:rPr>
                <w:sz w:val="22"/>
                <w:szCs w:val="22"/>
              </w:rPr>
              <w:t xml:space="preserve">. Totodată, trimiterea la art. 19, alin. (1) din </w:t>
            </w:r>
            <w:r w:rsidRPr="009108BB">
              <w:rPr>
                <w:sz w:val="22"/>
                <w:szCs w:val="22"/>
              </w:rPr>
              <w:t>Regulamentul (CE) nr. 1223/2009</w:t>
            </w:r>
            <w:r>
              <w:rPr>
                <w:sz w:val="22"/>
                <w:szCs w:val="22"/>
              </w:rPr>
              <w:t xml:space="preserve"> (</w:t>
            </w:r>
            <w:r w:rsidRPr="009108BB">
              <w:rPr>
                <w:sz w:val="22"/>
                <w:szCs w:val="22"/>
              </w:rPr>
              <w:t>Anexa nr. 4 (Crt. nr. 67-92)</w:t>
            </w:r>
            <w:r>
              <w:rPr>
                <w:sz w:val="22"/>
                <w:szCs w:val="22"/>
              </w:rPr>
              <w:t>) se va substitui prin trimiterea la prevederea na</w:t>
            </w:r>
            <w:r w:rsidR="00C86B7B">
              <w:rPr>
                <w:sz w:val="22"/>
                <w:szCs w:val="22"/>
              </w:rPr>
              <w:t>ţ</w:t>
            </w:r>
            <w:r>
              <w:rPr>
                <w:sz w:val="22"/>
                <w:szCs w:val="22"/>
              </w:rPr>
              <w:t>ională ce reglementează acest aspect, în spe</w:t>
            </w:r>
            <w:r w:rsidR="00C86B7B">
              <w:rPr>
                <w:sz w:val="22"/>
                <w:szCs w:val="22"/>
              </w:rPr>
              <w:t>ţ</w:t>
            </w:r>
            <w:r>
              <w:rPr>
                <w:sz w:val="22"/>
                <w:szCs w:val="22"/>
              </w:rPr>
              <w:t>ă pct. 52, 7).</w:t>
            </w:r>
          </w:p>
          <w:p w:rsidR="005C0EF5" w:rsidRPr="008C3121" w:rsidRDefault="005C0EF5" w:rsidP="005C0EF5">
            <w:pPr>
              <w:spacing w:line="259" w:lineRule="auto"/>
              <w:jc w:val="both"/>
              <w:rPr>
                <w:b/>
                <w:i/>
                <w:sz w:val="22"/>
                <w:szCs w:val="22"/>
              </w:rPr>
            </w:pPr>
            <w:r w:rsidRPr="008C3121">
              <w:rPr>
                <w:b/>
                <w:i/>
                <w:sz w:val="22"/>
                <w:szCs w:val="22"/>
              </w:rPr>
              <w:t>No</w:t>
            </w:r>
            <w:r w:rsidR="00C86B7B">
              <w:rPr>
                <w:b/>
                <w:i/>
                <w:sz w:val="22"/>
                <w:szCs w:val="22"/>
              </w:rPr>
              <w:t>ţ</w:t>
            </w:r>
            <w:r w:rsidRPr="008C3121">
              <w:rPr>
                <w:b/>
                <w:i/>
                <w:sz w:val="22"/>
                <w:szCs w:val="22"/>
              </w:rPr>
              <w:t>iuni</w:t>
            </w:r>
          </w:p>
          <w:p w:rsidR="005C0EF5" w:rsidRPr="008C3121" w:rsidRDefault="005C0EF5" w:rsidP="005C0EF5">
            <w:pPr>
              <w:spacing w:line="259" w:lineRule="auto"/>
              <w:jc w:val="both"/>
              <w:rPr>
                <w:sz w:val="22"/>
                <w:szCs w:val="22"/>
              </w:rPr>
            </w:pPr>
            <w:r w:rsidRPr="008C3121">
              <w:rPr>
                <w:sz w:val="22"/>
                <w:szCs w:val="22"/>
              </w:rPr>
              <w:t>No</w:t>
            </w:r>
            <w:r w:rsidR="00C86B7B">
              <w:rPr>
                <w:sz w:val="22"/>
                <w:szCs w:val="22"/>
              </w:rPr>
              <w:t>ţ</w:t>
            </w:r>
            <w:r w:rsidRPr="008C3121">
              <w:rPr>
                <w:sz w:val="22"/>
                <w:szCs w:val="22"/>
              </w:rPr>
              <w:t xml:space="preserve">iunea de „distribuitor” </w:t>
            </w:r>
            <w:r w:rsidR="00C86B7B">
              <w:rPr>
                <w:sz w:val="22"/>
                <w:szCs w:val="22"/>
              </w:rPr>
              <w:t>ş</w:t>
            </w:r>
            <w:r w:rsidRPr="008C3121">
              <w:rPr>
                <w:sz w:val="22"/>
                <w:szCs w:val="22"/>
              </w:rPr>
              <w:t>i „ introducere pe pia</w:t>
            </w:r>
            <w:r w:rsidR="00C86B7B">
              <w:rPr>
                <w:sz w:val="22"/>
                <w:szCs w:val="22"/>
              </w:rPr>
              <w:t>ţ</w:t>
            </w:r>
            <w:r w:rsidRPr="008C3121">
              <w:rPr>
                <w:sz w:val="22"/>
                <w:szCs w:val="22"/>
              </w:rPr>
              <w:t>ă”, inserate în Capitolul I, pct. 3 din proiectul Regulamentului,</w:t>
            </w:r>
            <w:r w:rsidRPr="008C3121">
              <w:rPr>
                <w:sz w:val="22"/>
                <w:szCs w:val="22"/>
                <w:lang w:val="en-US"/>
              </w:rPr>
              <w:t xml:space="preserve"> </w:t>
            </w:r>
            <w:r w:rsidRPr="008C3121">
              <w:rPr>
                <w:sz w:val="22"/>
                <w:szCs w:val="22"/>
              </w:rPr>
              <w:t xml:space="preserve">preia </w:t>
            </w:r>
            <w:proofErr w:type="spellStart"/>
            <w:r w:rsidRPr="008C3121">
              <w:rPr>
                <w:i/>
                <w:sz w:val="22"/>
                <w:szCs w:val="22"/>
              </w:rPr>
              <w:t>ad</w:t>
            </w:r>
            <w:proofErr w:type="spellEnd"/>
            <w:r w:rsidRPr="008C3121">
              <w:rPr>
                <w:i/>
                <w:sz w:val="22"/>
                <w:szCs w:val="22"/>
              </w:rPr>
              <w:t xml:space="preserve"> </w:t>
            </w:r>
            <w:proofErr w:type="spellStart"/>
            <w:r w:rsidRPr="008C3121">
              <w:rPr>
                <w:i/>
                <w:sz w:val="22"/>
                <w:szCs w:val="22"/>
              </w:rPr>
              <w:t>litteram</w:t>
            </w:r>
            <w:proofErr w:type="spellEnd"/>
            <w:r w:rsidRPr="008C3121">
              <w:rPr>
                <w:sz w:val="22"/>
                <w:szCs w:val="22"/>
              </w:rPr>
              <w:t xml:space="preserve"> prevederile art. 2, (1), lit. (e) </w:t>
            </w:r>
            <w:r w:rsidR="00C86B7B">
              <w:rPr>
                <w:sz w:val="22"/>
                <w:szCs w:val="22"/>
              </w:rPr>
              <w:t>ş</w:t>
            </w:r>
            <w:r w:rsidRPr="008C3121">
              <w:rPr>
                <w:sz w:val="22"/>
                <w:szCs w:val="22"/>
              </w:rPr>
              <w:t>i (g) din Regulamentul (CE) nr. 1223/2009. În acest sens, pentru a asigura o transpunere corespunzătoare a acestor prevederi UE, acestea urmează a fi revizuite în sensul exc</w:t>
            </w:r>
            <w:r>
              <w:rPr>
                <w:sz w:val="22"/>
                <w:szCs w:val="22"/>
              </w:rPr>
              <w:t>l</w:t>
            </w:r>
            <w:r w:rsidRPr="008C3121">
              <w:rPr>
                <w:sz w:val="22"/>
                <w:szCs w:val="22"/>
              </w:rPr>
              <w:t xml:space="preserve">uderii sintagmei „comunitare”. </w:t>
            </w:r>
          </w:p>
          <w:p w:rsidR="005C0EF5" w:rsidRDefault="005C0EF5" w:rsidP="005C0EF5">
            <w:pPr>
              <w:spacing w:line="259" w:lineRule="auto"/>
              <w:jc w:val="both"/>
              <w:rPr>
                <w:sz w:val="22"/>
                <w:szCs w:val="22"/>
              </w:rPr>
            </w:pPr>
          </w:p>
          <w:p w:rsidR="005C0EF5" w:rsidRDefault="005C0EF5" w:rsidP="005C0EF5">
            <w:pPr>
              <w:spacing w:line="259" w:lineRule="auto"/>
              <w:jc w:val="both"/>
              <w:rPr>
                <w:sz w:val="22"/>
                <w:szCs w:val="22"/>
              </w:rPr>
            </w:pPr>
            <w:r w:rsidRPr="008C3121">
              <w:rPr>
                <w:sz w:val="22"/>
                <w:szCs w:val="22"/>
              </w:rPr>
              <w:t>Cu privire la no</w:t>
            </w:r>
            <w:r w:rsidR="00C86B7B">
              <w:rPr>
                <w:sz w:val="22"/>
                <w:szCs w:val="22"/>
              </w:rPr>
              <w:t>ţ</w:t>
            </w:r>
            <w:r w:rsidRPr="008C3121">
              <w:rPr>
                <w:sz w:val="22"/>
                <w:szCs w:val="22"/>
              </w:rPr>
              <w:t>iunea de „subst</w:t>
            </w:r>
            <w:r>
              <w:rPr>
                <w:sz w:val="22"/>
                <w:szCs w:val="22"/>
              </w:rPr>
              <w:t>an</w:t>
            </w:r>
            <w:r w:rsidR="00C86B7B">
              <w:rPr>
                <w:sz w:val="22"/>
                <w:szCs w:val="22"/>
              </w:rPr>
              <w:t>ţ</w:t>
            </w:r>
            <w:r>
              <w:rPr>
                <w:sz w:val="22"/>
                <w:szCs w:val="22"/>
              </w:rPr>
              <w:t xml:space="preserve">ă” </w:t>
            </w:r>
            <w:r w:rsidR="00C86B7B">
              <w:rPr>
                <w:sz w:val="22"/>
                <w:szCs w:val="22"/>
              </w:rPr>
              <w:t>ş</w:t>
            </w:r>
            <w:r>
              <w:rPr>
                <w:sz w:val="22"/>
                <w:szCs w:val="22"/>
              </w:rPr>
              <w:t>i „amestec” prevăzute în</w:t>
            </w:r>
            <w:r w:rsidRPr="008C3121">
              <w:rPr>
                <w:sz w:val="22"/>
                <w:szCs w:val="22"/>
              </w:rPr>
              <w:t xml:space="preserve"> Capitolul I, pct. 1.1. din Anexa nr. 2 a Metodelor de analiză pentru verificarea compozi</w:t>
            </w:r>
            <w:r w:rsidR="00C86B7B">
              <w:rPr>
                <w:sz w:val="22"/>
                <w:szCs w:val="22"/>
              </w:rPr>
              <w:t>ţ</w:t>
            </w:r>
            <w:r w:rsidRPr="008C3121">
              <w:rPr>
                <w:sz w:val="22"/>
                <w:szCs w:val="22"/>
              </w:rPr>
              <w:t xml:space="preserve">iei produselor cosmetice (I), </w:t>
            </w:r>
            <w:r w:rsidRPr="008C3121">
              <w:rPr>
                <w:sz w:val="22"/>
                <w:szCs w:val="22"/>
              </w:rPr>
              <w:lastRenderedPageBreak/>
              <w:t>men</w:t>
            </w:r>
            <w:r w:rsidR="00C86B7B">
              <w:rPr>
                <w:sz w:val="22"/>
                <w:szCs w:val="22"/>
              </w:rPr>
              <w:t>ţ</w:t>
            </w:r>
            <w:r w:rsidRPr="008C3121">
              <w:rPr>
                <w:sz w:val="22"/>
                <w:szCs w:val="22"/>
              </w:rPr>
              <w:t xml:space="preserve">ionăm că acestea se regăsesc </w:t>
            </w:r>
            <w:r w:rsidR="00C86B7B">
              <w:rPr>
                <w:sz w:val="22"/>
                <w:szCs w:val="22"/>
              </w:rPr>
              <w:t>ş</w:t>
            </w:r>
            <w:r w:rsidRPr="008C3121">
              <w:rPr>
                <w:sz w:val="22"/>
                <w:szCs w:val="22"/>
              </w:rPr>
              <w:t xml:space="preserve">i în Capitolul I, pct. 3 din proiectul Regulamentului sanitar privind produsele cosmetice. Pentru a evita o dublare a </w:t>
            </w:r>
            <w:r>
              <w:rPr>
                <w:sz w:val="22"/>
                <w:szCs w:val="22"/>
              </w:rPr>
              <w:t>normelor</w:t>
            </w:r>
            <w:r w:rsidRPr="008C3121">
              <w:rPr>
                <w:sz w:val="22"/>
                <w:szCs w:val="22"/>
              </w:rPr>
              <w:t>, considerăm oportun de a exclude aceste no</w:t>
            </w:r>
            <w:r w:rsidR="00C86B7B">
              <w:rPr>
                <w:sz w:val="22"/>
                <w:szCs w:val="22"/>
              </w:rPr>
              <w:t>ţ</w:t>
            </w:r>
            <w:r w:rsidRPr="008C3121">
              <w:rPr>
                <w:sz w:val="22"/>
                <w:szCs w:val="22"/>
              </w:rPr>
              <w:t>iuni din Capitolul I, pct. 1.1. din Anexa nr. 2 a Metodelor de analiză pentru verificarea compozi</w:t>
            </w:r>
            <w:r w:rsidR="00C86B7B">
              <w:rPr>
                <w:sz w:val="22"/>
                <w:szCs w:val="22"/>
              </w:rPr>
              <w:t>ţ</w:t>
            </w:r>
            <w:r w:rsidRPr="008C3121">
              <w:rPr>
                <w:sz w:val="22"/>
                <w:szCs w:val="22"/>
              </w:rPr>
              <w:t xml:space="preserve">iei produselor cosmetice (I). </w:t>
            </w:r>
          </w:p>
          <w:p w:rsidR="005C0EF5" w:rsidRDefault="005C0EF5" w:rsidP="005C0EF5">
            <w:pPr>
              <w:spacing w:line="259" w:lineRule="auto"/>
              <w:jc w:val="both"/>
              <w:rPr>
                <w:sz w:val="22"/>
                <w:szCs w:val="22"/>
              </w:rPr>
            </w:pPr>
          </w:p>
          <w:p w:rsidR="005C0EF5" w:rsidRDefault="005C0EF5" w:rsidP="005C0EF5">
            <w:pPr>
              <w:spacing w:line="259" w:lineRule="auto"/>
              <w:jc w:val="both"/>
              <w:rPr>
                <w:sz w:val="22"/>
                <w:szCs w:val="22"/>
              </w:rPr>
            </w:pPr>
            <w:r>
              <w:rPr>
                <w:sz w:val="22"/>
                <w:szCs w:val="22"/>
              </w:rPr>
              <w:t>Ca urmare a unei erori redac</w:t>
            </w:r>
            <w:r w:rsidR="00C86B7B">
              <w:rPr>
                <w:sz w:val="22"/>
                <w:szCs w:val="22"/>
              </w:rPr>
              <w:t>ţ</w:t>
            </w:r>
            <w:r>
              <w:rPr>
                <w:sz w:val="22"/>
                <w:szCs w:val="22"/>
              </w:rPr>
              <w:t>ionale, a fost inserată no</w:t>
            </w:r>
            <w:r w:rsidR="00C86B7B">
              <w:rPr>
                <w:sz w:val="22"/>
                <w:szCs w:val="22"/>
              </w:rPr>
              <w:t>ţ</w:t>
            </w:r>
            <w:r>
              <w:rPr>
                <w:sz w:val="22"/>
                <w:szCs w:val="22"/>
              </w:rPr>
              <w:t>iunea de „</w:t>
            </w:r>
            <w:proofErr w:type="spellStart"/>
            <w:r>
              <w:rPr>
                <w:sz w:val="22"/>
                <w:szCs w:val="22"/>
              </w:rPr>
              <w:t>percipient</w:t>
            </w:r>
            <w:proofErr w:type="spellEnd"/>
            <w:r>
              <w:rPr>
                <w:sz w:val="22"/>
                <w:szCs w:val="22"/>
              </w:rPr>
              <w:t>” în</w:t>
            </w:r>
            <w:r w:rsidRPr="00C328D9">
              <w:rPr>
                <w:sz w:val="22"/>
                <w:szCs w:val="22"/>
              </w:rPr>
              <w:t xml:space="preserve"> Capitolul I, pct. 1.1. din Anexa nr. 2 a Metodelor de analiză pentru verificarea compozi</w:t>
            </w:r>
            <w:r w:rsidR="00C86B7B">
              <w:rPr>
                <w:sz w:val="22"/>
                <w:szCs w:val="22"/>
              </w:rPr>
              <w:t>ţ</w:t>
            </w:r>
            <w:r w:rsidRPr="00C328D9">
              <w:rPr>
                <w:sz w:val="22"/>
                <w:szCs w:val="22"/>
              </w:rPr>
              <w:t>iei produselor cosmetice (I),</w:t>
            </w:r>
            <w:r>
              <w:rPr>
                <w:sz w:val="22"/>
                <w:szCs w:val="22"/>
              </w:rPr>
              <w:t xml:space="preserve"> care urmează a fi ex</w:t>
            </w:r>
            <w:r w:rsidR="00F2045F">
              <w:rPr>
                <w:sz w:val="22"/>
                <w:szCs w:val="22"/>
              </w:rPr>
              <w:t>c</w:t>
            </w:r>
            <w:r>
              <w:rPr>
                <w:sz w:val="22"/>
                <w:szCs w:val="22"/>
              </w:rPr>
              <w:t>lusă din acest capitol, în măsura în care aceasta a fost denumită gre</w:t>
            </w:r>
            <w:r w:rsidR="00C86B7B">
              <w:rPr>
                <w:sz w:val="22"/>
                <w:szCs w:val="22"/>
              </w:rPr>
              <w:t>ş</w:t>
            </w:r>
            <w:r>
              <w:rPr>
                <w:sz w:val="22"/>
                <w:szCs w:val="22"/>
              </w:rPr>
              <w:t xml:space="preserve">it, </w:t>
            </w:r>
            <w:proofErr w:type="spellStart"/>
            <w:r>
              <w:rPr>
                <w:sz w:val="22"/>
                <w:szCs w:val="22"/>
              </w:rPr>
              <w:t>cît</w:t>
            </w:r>
            <w:proofErr w:type="spellEnd"/>
            <w:r>
              <w:rPr>
                <w:sz w:val="22"/>
                <w:szCs w:val="22"/>
              </w:rPr>
              <w:t xml:space="preserve"> </w:t>
            </w:r>
            <w:r w:rsidR="00C86B7B">
              <w:rPr>
                <w:sz w:val="22"/>
                <w:szCs w:val="22"/>
              </w:rPr>
              <w:t>ş</w:t>
            </w:r>
            <w:r>
              <w:rPr>
                <w:sz w:val="22"/>
                <w:szCs w:val="22"/>
              </w:rPr>
              <w:t>i pentru că se regăse</w:t>
            </w:r>
            <w:r w:rsidR="00C86B7B">
              <w:rPr>
                <w:sz w:val="22"/>
                <w:szCs w:val="22"/>
              </w:rPr>
              <w:t>ş</w:t>
            </w:r>
            <w:r>
              <w:rPr>
                <w:sz w:val="22"/>
                <w:szCs w:val="22"/>
              </w:rPr>
              <w:t xml:space="preserve">te în textul de mai jos a proiectului în forma corectă. Se va exclude </w:t>
            </w:r>
            <w:r w:rsidR="00C86B7B">
              <w:rPr>
                <w:sz w:val="22"/>
                <w:szCs w:val="22"/>
              </w:rPr>
              <w:t>ş</w:t>
            </w:r>
            <w:r>
              <w:rPr>
                <w:sz w:val="22"/>
                <w:szCs w:val="22"/>
              </w:rPr>
              <w:t>i no</w:t>
            </w:r>
            <w:r w:rsidR="00C86B7B">
              <w:rPr>
                <w:sz w:val="22"/>
                <w:szCs w:val="22"/>
              </w:rPr>
              <w:t>ţ</w:t>
            </w:r>
            <w:r>
              <w:rPr>
                <w:sz w:val="22"/>
                <w:szCs w:val="22"/>
              </w:rPr>
              <w:t>iunea de „standard armonizat”, no</w:t>
            </w:r>
            <w:r w:rsidR="00C86B7B">
              <w:rPr>
                <w:sz w:val="22"/>
                <w:szCs w:val="22"/>
              </w:rPr>
              <w:t>ţ</w:t>
            </w:r>
            <w:r>
              <w:rPr>
                <w:sz w:val="22"/>
                <w:szCs w:val="22"/>
              </w:rPr>
              <w:t xml:space="preserve">iune transpusă eronat din </w:t>
            </w:r>
            <w:r w:rsidRPr="000D540C">
              <w:rPr>
                <w:sz w:val="22"/>
                <w:szCs w:val="22"/>
              </w:rPr>
              <w:t>Regulamentul (CE) nr. 1223/2009</w:t>
            </w:r>
            <w:r>
              <w:rPr>
                <w:sz w:val="22"/>
                <w:szCs w:val="22"/>
              </w:rPr>
              <w:t>, dar care se regăse</w:t>
            </w:r>
            <w:r w:rsidR="00C86B7B">
              <w:rPr>
                <w:sz w:val="22"/>
                <w:szCs w:val="22"/>
              </w:rPr>
              <w:t>ş</w:t>
            </w:r>
            <w:r>
              <w:rPr>
                <w:sz w:val="22"/>
                <w:szCs w:val="22"/>
              </w:rPr>
              <w:t>te în proiectul Legii cu privire la standardizarea na</w:t>
            </w:r>
            <w:r w:rsidR="00C86B7B">
              <w:rPr>
                <w:sz w:val="22"/>
                <w:szCs w:val="22"/>
              </w:rPr>
              <w:t>ţ</w:t>
            </w:r>
            <w:r>
              <w:rPr>
                <w:sz w:val="22"/>
                <w:szCs w:val="22"/>
              </w:rPr>
              <w:t>ională, aprobat recent de Guvernul R. Moldova.</w:t>
            </w:r>
          </w:p>
          <w:p w:rsidR="005C0EF5" w:rsidRDefault="005C0EF5" w:rsidP="005C0EF5">
            <w:pPr>
              <w:spacing w:line="259" w:lineRule="auto"/>
              <w:jc w:val="both"/>
              <w:rPr>
                <w:color w:val="000000" w:themeColor="text1"/>
                <w:sz w:val="22"/>
                <w:szCs w:val="22"/>
              </w:rPr>
            </w:pPr>
          </w:p>
          <w:p w:rsidR="005C0EF5" w:rsidRPr="00A62156" w:rsidRDefault="005C0EF5" w:rsidP="005C0EF5">
            <w:pPr>
              <w:spacing w:line="259" w:lineRule="auto"/>
              <w:jc w:val="both"/>
              <w:rPr>
                <w:color w:val="000000" w:themeColor="text1"/>
                <w:sz w:val="22"/>
                <w:szCs w:val="22"/>
              </w:rPr>
            </w:pPr>
            <w:r w:rsidRPr="00A62156">
              <w:rPr>
                <w:color w:val="000000" w:themeColor="text1"/>
                <w:sz w:val="22"/>
                <w:szCs w:val="22"/>
              </w:rPr>
              <w:t>Pct. 3 din Capitolul I a</w:t>
            </w:r>
            <w:r>
              <w:rPr>
                <w:color w:val="000000" w:themeColor="text1"/>
                <w:sz w:val="22"/>
                <w:szCs w:val="22"/>
              </w:rPr>
              <w:t>l</w:t>
            </w:r>
            <w:r w:rsidRPr="00A62156">
              <w:rPr>
                <w:color w:val="000000" w:themeColor="text1"/>
                <w:sz w:val="22"/>
                <w:szCs w:val="22"/>
              </w:rPr>
              <w:t xml:space="preserve"> proiectului na</w:t>
            </w:r>
            <w:r w:rsidR="00C86B7B">
              <w:rPr>
                <w:color w:val="000000" w:themeColor="text1"/>
                <w:sz w:val="22"/>
                <w:szCs w:val="22"/>
              </w:rPr>
              <w:t>ţ</w:t>
            </w:r>
            <w:r w:rsidRPr="00A62156">
              <w:rPr>
                <w:color w:val="000000" w:themeColor="text1"/>
                <w:sz w:val="22"/>
                <w:szCs w:val="22"/>
              </w:rPr>
              <w:t xml:space="preserve">ional a transpus </w:t>
            </w:r>
            <w:r w:rsidR="00C86B7B">
              <w:rPr>
                <w:color w:val="000000" w:themeColor="text1"/>
                <w:sz w:val="22"/>
                <w:szCs w:val="22"/>
              </w:rPr>
              <w:t>ş</w:t>
            </w:r>
            <w:r w:rsidRPr="00A62156">
              <w:rPr>
                <w:color w:val="000000" w:themeColor="text1"/>
                <w:sz w:val="22"/>
                <w:szCs w:val="22"/>
              </w:rPr>
              <w:t>i „denumiri comune</w:t>
            </w:r>
            <w:r>
              <w:rPr>
                <w:color w:val="000000" w:themeColor="text1"/>
                <w:sz w:val="22"/>
                <w:szCs w:val="22"/>
              </w:rPr>
              <w:t xml:space="preserve"> interna</w:t>
            </w:r>
            <w:r w:rsidR="00C86B7B">
              <w:rPr>
                <w:color w:val="000000" w:themeColor="text1"/>
                <w:sz w:val="22"/>
                <w:szCs w:val="22"/>
              </w:rPr>
              <w:t>ţ</w:t>
            </w:r>
            <w:r>
              <w:rPr>
                <w:color w:val="000000" w:themeColor="text1"/>
                <w:sz w:val="22"/>
                <w:szCs w:val="22"/>
              </w:rPr>
              <w:t>ionale” din preambul Anexei</w:t>
            </w:r>
            <w:r w:rsidRPr="00A62156">
              <w:rPr>
                <w:color w:val="000000" w:themeColor="text1"/>
                <w:sz w:val="22"/>
                <w:szCs w:val="22"/>
              </w:rPr>
              <w:t xml:space="preserve"> II-VI al</w:t>
            </w:r>
            <w:r>
              <w:rPr>
                <w:color w:val="000000" w:themeColor="text1"/>
                <w:sz w:val="22"/>
                <w:szCs w:val="22"/>
              </w:rPr>
              <w:t>e</w:t>
            </w:r>
            <w:r w:rsidRPr="00A62156">
              <w:rPr>
                <w:color w:val="000000" w:themeColor="text1"/>
                <w:sz w:val="22"/>
                <w:szCs w:val="22"/>
              </w:rPr>
              <w:t xml:space="preserve"> Regulamentul</w:t>
            </w:r>
            <w:r>
              <w:rPr>
                <w:color w:val="000000" w:themeColor="text1"/>
                <w:sz w:val="22"/>
                <w:szCs w:val="22"/>
              </w:rPr>
              <w:t>ui</w:t>
            </w:r>
            <w:r w:rsidRPr="00A62156">
              <w:rPr>
                <w:color w:val="000000" w:themeColor="text1"/>
                <w:sz w:val="22"/>
                <w:szCs w:val="22"/>
              </w:rPr>
              <w:t xml:space="preserve"> (CE) nr. 1223/2009. </w:t>
            </w:r>
            <w:r>
              <w:rPr>
                <w:color w:val="000000" w:themeColor="text1"/>
                <w:sz w:val="22"/>
                <w:szCs w:val="22"/>
              </w:rPr>
              <w:t>În acest sens, men</w:t>
            </w:r>
            <w:r w:rsidR="00C86B7B">
              <w:rPr>
                <w:color w:val="000000" w:themeColor="text1"/>
                <w:sz w:val="22"/>
                <w:szCs w:val="22"/>
              </w:rPr>
              <w:t>ţ</w:t>
            </w:r>
            <w:r>
              <w:rPr>
                <w:color w:val="000000" w:themeColor="text1"/>
                <w:sz w:val="22"/>
                <w:szCs w:val="22"/>
              </w:rPr>
              <w:t>ionăm că</w:t>
            </w:r>
            <w:r w:rsidRPr="00A62156">
              <w:rPr>
                <w:color w:val="000000" w:themeColor="text1"/>
                <w:sz w:val="22"/>
                <w:szCs w:val="22"/>
              </w:rPr>
              <w:t xml:space="preserve"> no</w:t>
            </w:r>
            <w:r w:rsidR="00C86B7B">
              <w:rPr>
                <w:color w:val="000000" w:themeColor="text1"/>
                <w:sz w:val="22"/>
                <w:szCs w:val="22"/>
              </w:rPr>
              <w:t>ţ</w:t>
            </w:r>
            <w:r w:rsidRPr="00A62156">
              <w:rPr>
                <w:color w:val="000000" w:themeColor="text1"/>
                <w:sz w:val="22"/>
                <w:szCs w:val="22"/>
              </w:rPr>
              <w:t xml:space="preserve">iunea „numărul CE”, „XAN” </w:t>
            </w:r>
            <w:r w:rsidR="00C86B7B">
              <w:rPr>
                <w:color w:val="000000" w:themeColor="text1"/>
                <w:sz w:val="22"/>
                <w:szCs w:val="22"/>
              </w:rPr>
              <w:t>ş</w:t>
            </w:r>
            <w:r w:rsidRPr="00A62156">
              <w:rPr>
                <w:color w:val="000000" w:themeColor="text1"/>
                <w:sz w:val="22"/>
                <w:szCs w:val="22"/>
              </w:rPr>
              <w:t>i „denumirea din Glosarul denumirilor comune ale ingredientelor, men</w:t>
            </w:r>
            <w:r w:rsidR="00C86B7B">
              <w:rPr>
                <w:color w:val="000000" w:themeColor="text1"/>
                <w:sz w:val="22"/>
                <w:szCs w:val="22"/>
              </w:rPr>
              <w:t>ţ</w:t>
            </w:r>
            <w:r w:rsidRPr="00A62156">
              <w:rPr>
                <w:color w:val="000000" w:themeColor="text1"/>
                <w:sz w:val="22"/>
                <w:szCs w:val="22"/>
              </w:rPr>
              <w:t>ionat la art. 33 din prezentul regulament”</w:t>
            </w:r>
            <w:r>
              <w:rPr>
                <w:color w:val="000000" w:themeColor="text1"/>
                <w:sz w:val="22"/>
                <w:szCs w:val="22"/>
              </w:rPr>
              <w:t xml:space="preserve">, </w:t>
            </w:r>
            <w:r w:rsidRPr="00A62156">
              <w:rPr>
                <w:color w:val="000000" w:themeColor="text1"/>
                <w:sz w:val="22"/>
                <w:szCs w:val="22"/>
              </w:rPr>
              <w:t>urmează a fi excluse, în măsura în care acestea nu au valoare juridică pentru proiect. Această obiec</w:t>
            </w:r>
            <w:r w:rsidR="00C86B7B">
              <w:rPr>
                <w:color w:val="000000" w:themeColor="text1"/>
                <w:sz w:val="22"/>
                <w:szCs w:val="22"/>
              </w:rPr>
              <w:t>ţ</w:t>
            </w:r>
            <w:r w:rsidRPr="00A62156">
              <w:rPr>
                <w:color w:val="000000" w:themeColor="text1"/>
                <w:sz w:val="22"/>
                <w:szCs w:val="22"/>
              </w:rPr>
              <w:t xml:space="preserve">ie se extinde </w:t>
            </w:r>
            <w:r w:rsidR="00C86B7B">
              <w:rPr>
                <w:color w:val="000000" w:themeColor="text1"/>
                <w:sz w:val="22"/>
                <w:szCs w:val="22"/>
              </w:rPr>
              <w:t>ş</w:t>
            </w:r>
            <w:r w:rsidRPr="00A62156">
              <w:rPr>
                <w:color w:val="000000" w:themeColor="text1"/>
                <w:sz w:val="22"/>
                <w:szCs w:val="22"/>
              </w:rPr>
              <w:t>i la indicii „numărul CE” din tabelul Anexei nr. 3-7 din proiectul Regulamentului sanitar.</w:t>
            </w:r>
          </w:p>
          <w:p w:rsidR="005C0EF5" w:rsidRPr="008C3121" w:rsidRDefault="005C0EF5" w:rsidP="005C0EF5">
            <w:pPr>
              <w:spacing w:line="259" w:lineRule="auto"/>
              <w:jc w:val="both"/>
              <w:rPr>
                <w:sz w:val="22"/>
                <w:szCs w:val="22"/>
              </w:rPr>
            </w:pPr>
          </w:p>
          <w:p w:rsidR="005C0EF5" w:rsidRDefault="005C0EF5" w:rsidP="005C0EF5">
            <w:pPr>
              <w:spacing w:line="259" w:lineRule="auto"/>
              <w:jc w:val="both"/>
              <w:rPr>
                <w:sz w:val="22"/>
                <w:szCs w:val="22"/>
              </w:rPr>
            </w:pPr>
            <w:r>
              <w:rPr>
                <w:sz w:val="22"/>
                <w:szCs w:val="22"/>
              </w:rPr>
              <w:t>Cu privire la sintagma „</w:t>
            </w:r>
            <w:r w:rsidR="00C86B7B">
              <w:rPr>
                <w:sz w:val="22"/>
                <w:szCs w:val="22"/>
              </w:rPr>
              <w:t>ţ</w:t>
            </w:r>
            <w:r>
              <w:rPr>
                <w:sz w:val="22"/>
                <w:szCs w:val="22"/>
              </w:rPr>
              <w:t>ări ter</w:t>
            </w:r>
            <w:r w:rsidR="00C86B7B">
              <w:rPr>
                <w:sz w:val="22"/>
                <w:szCs w:val="22"/>
              </w:rPr>
              <w:t>ţ</w:t>
            </w:r>
            <w:r>
              <w:rPr>
                <w:sz w:val="22"/>
                <w:szCs w:val="22"/>
              </w:rPr>
              <w:t xml:space="preserve">e” din pct. 22, 5) al proiectului Regulamentului, </w:t>
            </w:r>
            <w:r w:rsidRPr="00162973">
              <w:rPr>
                <w:sz w:val="22"/>
                <w:szCs w:val="22"/>
              </w:rPr>
              <w:t>men</w:t>
            </w:r>
            <w:r w:rsidR="00C86B7B">
              <w:rPr>
                <w:sz w:val="22"/>
                <w:szCs w:val="22"/>
              </w:rPr>
              <w:t>ţ</w:t>
            </w:r>
            <w:r w:rsidRPr="00162973">
              <w:rPr>
                <w:sz w:val="22"/>
                <w:szCs w:val="22"/>
              </w:rPr>
              <w:t>ionăm că de</w:t>
            </w:r>
            <w:r w:rsidR="00C86B7B">
              <w:rPr>
                <w:sz w:val="22"/>
                <w:szCs w:val="22"/>
              </w:rPr>
              <w:t>ş</w:t>
            </w:r>
            <w:r w:rsidRPr="00162973">
              <w:rPr>
                <w:sz w:val="22"/>
                <w:szCs w:val="22"/>
              </w:rPr>
              <w:t xml:space="preserve">i acesta a preluat </w:t>
            </w:r>
            <w:proofErr w:type="spellStart"/>
            <w:r w:rsidRPr="00162973">
              <w:rPr>
                <w:i/>
                <w:sz w:val="22"/>
                <w:szCs w:val="22"/>
              </w:rPr>
              <w:t>ad</w:t>
            </w:r>
            <w:proofErr w:type="spellEnd"/>
            <w:r w:rsidRPr="00162973">
              <w:rPr>
                <w:i/>
                <w:sz w:val="22"/>
                <w:szCs w:val="22"/>
              </w:rPr>
              <w:t xml:space="preserve"> </w:t>
            </w:r>
            <w:proofErr w:type="spellStart"/>
            <w:r w:rsidRPr="00162973">
              <w:rPr>
                <w:i/>
                <w:sz w:val="22"/>
                <w:szCs w:val="22"/>
              </w:rPr>
              <w:t>litteram</w:t>
            </w:r>
            <w:proofErr w:type="spellEnd"/>
            <w:r w:rsidRPr="00162973">
              <w:rPr>
                <w:sz w:val="22"/>
                <w:szCs w:val="22"/>
              </w:rPr>
              <w:t xml:space="preserve"> prevederea din </w:t>
            </w:r>
            <w:r>
              <w:rPr>
                <w:sz w:val="22"/>
                <w:szCs w:val="22"/>
              </w:rPr>
              <w:t xml:space="preserve">art. 11, (2), lit. e) din </w:t>
            </w:r>
            <w:r w:rsidRPr="00162973">
              <w:rPr>
                <w:sz w:val="22"/>
                <w:szCs w:val="22"/>
              </w:rPr>
              <w:t xml:space="preserve">Regulamentul (CE) nr. 1223/2009, </w:t>
            </w:r>
            <w:proofErr w:type="spellStart"/>
            <w:r w:rsidRPr="00162973">
              <w:rPr>
                <w:sz w:val="22"/>
                <w:szCs w:val="22"/>
              </w:rPr>
              <w:t>ţinînd</w:t>
            </w:r>
            <w:proofErr w:type="spellEnd"/>
            <w:r w:rsidRPr="00162973">
              <w:rPr>
                <w:sz w:val="22"/>
                <w:szCs w:val="22"/>
              </w:rPr>
              <w:t xml:space="preserve"> seama de faptul că Republica Moldova nu este stat membru UE, considerăm oportună </w:t>
            </w:r>
            <w:r>
              <w:rPr>
                <w:sz w:val="22"/>
                <w:szCs w:val="22"/>
              </w:rPr>
              <w:t>substituirea acesteia cu sintagma „alte state”</w:t>
            </w:r>
            <w:r w:rsidRPr="00162973">
              <w:rPr>
                <w:sz w:val="22"/>
                <w:szCs w:val="22"/>
              </w:rPr>
              <w:t>, or termenul „</w:t>
            </w:r>
            <w:r w:rsidR="00C86B7B">
              <w:rPr>
                <w:sz w:val="22"/>
                <w:szCs w:val="22"/>
              </w:rPr>
              <w:t>ţ</w:t>
            </w:r>
            <w:r>
              <w:rPr>
                <w:sz w:val="22"/>
                <w:szCs w:val="22"/>
              </w:rPr>
              <w:t>ări ter</w:t>
            </w:r>
            <w:r w:rsidR="00C86B7B">
              <w:rPr>
                <w:sz w:val="22"/>
                <w:szCs w:val="22"/>
              </w:rPr>
              <w:t>ţ</w:t>
            </w:r>
            <w:r>
              <w:rPr>
                <w:sz w:val="22"/>
                <w:szCs w:val="22"/>
              </w:rPr>
              <w:t>e</w:t>
            </w:r>
            <w:r w:rsidRPr="00162973">
              <w:rPr>
                <w:sz w:val="22"/>
                <w:szCs w:val="22"/>
              </w:rPr>
              <w:t>” este o no</w:t>
            </w:r>
            <w:r w:rsidR="00C86B7B">
              <w:rPr>
                <w:sz w:val="22"/>
                <w:szCs w:val="22"/>
              </w:rPr>
              <w:t>ţ</w:t>
            </w:r>
            <w:r w:rsidRPr="00162973">
              <w:rPr>
                <w:sz w:val="22"/>
                <w:szCs w:val="22"/>
              </w:rPr>
              <w:t xml:space="preserve">iune specifică </w:t>
            </w:r>
            <w:r>
              <w:rPr>
                <w:sz w:val="22"/>
                <w:szCs w:val="22"/>
              </w:rPr>
              <w:t>pentru</w:t>
            </w:r>
            <w:r w:rsidRPr="00162973">
              <w:rPr>
                <w:sz w:val="22"/>
                <w:szCs w:val="22"/>
              </w:rPr>
              <w:t xml:space="preserve"> UE</w:t>
            </w:r>
            <w:r>
              <w:rPr>
                <w:sz w:val="22"/>
                <w:szCs w:val="22"/>
              </w:rPr>
              <w:t>.</w:t>
            </w:r>
          </w:p>
          <w:p w:rsidR="005C0EF5" w:rsidRDefault="005C0EF5" w:rsidP="005C0EF5">
            <w:pPr>
              <w:spacing w:line="259" w:lineRule="auto"/>
              <w:jc w:val="both"/>
              <w:rPr>
                <w:sz w:val="22"/>
                <w:szCs w:val="22"/>
              </w:rPr>
            </w:pPr>
          </w:p>
          <w:p w:rsidR="005C0EF5" w:rsidRDefault="005C0EF5" w:rsidP="005C0EF5">
            <w:pPr>
              <w:spacing w:line="259" w:lineRule="auto"/>
              <w:jc w:val="both"/>
              <w:rPr>
                <w:sz w:val="22"/>
                <w:szCs w:val="22"/>
              </w:rPr>
            </w:pPr>
            <w:r>
              <w:rPr>
                <w:sz w:val="22"/>
                <w:szCs w:val="22"/>
              </w:rPr>
              <w:t>Proiectul</w:t>
            </w:r>
            <w:r w:rsidRPr="008C3121">
              <w:rPr>
                <w:sz w:val="22"/>
                <w:szCs w:val="22"/>
              </w:rPr>
              <w:t xml:space="preserve"> na</w:t>
            </w:r>
            <w:r w:rsidR="00C86B7B">
              <w:rPr>
                <w:sz w:val="22"/>
                <w:szCs w:val="22"/>
              </w:rPr>
              <w:t>ţ</w:t>
            </w:r>
            <w:r w:rsidRPr="008C3121">
              <w:rPr>
                <w:sz w:val="22"/>
                <w:szCs w:val="22"/>
              </w:rPr>
              <w:t>ional nu a transpus norma prevăzută de Regulamentul (</w:t>
            </w:r>
            <w:r>
              <w:rPr>
                <w:sz w:val="22"/>
                <w:szCs w:val="22"/>
              </w:rPr>
              <w:t>CE) nr. 1223/2009 în art.2, (2)</w:t>
            </w:r>
            <w:r w:rsidRPr="008C3121">
              <w:rPr>
                <w:sz w:val="22"/>
                <w:szCs w:val="22"/>
              </w:rPr>
              <w:t xml:space="preserve"> care prevede că nu sunt considerate produse cosmetice acele substan</w:t>
            </w:r>
            <w:r w:rsidR="00C86B7B">
              <w:rPr>
                <w:sz w:val="22"/>
                <w:szCs w:val="22"/>
              </w:rPr>
              <w:t>ţ</w:t>
            </w:r>
            <w:r w:rsidRPr="008C3121">
              <w:rPr>
                <w:sz w:val="22"/>
                <w:szCs w:val="22"/>
              </w:rPr>
              <w:t xml:space="preserve">e sau amestecuri care sunt destinate a fi ingerate, inhalate, </w:t>
            </w:r>
            <w:proofErr w:type="spellStart"/>
            <w:r w:rsidRPr="008C3121">
              <w:rPr>
                <w:sz w:val="22"/>
                <w:szCs w:val="22"/>
              </w:rPr>
              <w:t>injecatate</w:t>
            </w:r>
            <w:proofErr w:type="spellEnd"/>
            <w:r w:rsidRPr="008C3121">
              <w:rPr>
                <w:sz w:val="22"/>
                <w:szCs w:val="22"/>
              </w:rPr>
              <w:t xml:space="preserve"> sau implantate în corpul uman.</w:t>
            </w:r>
          </w:p>
          <w:p w:rsidR="00710E61" w:rsidRPr="00C64BDB" w:rsidRDefault="00710E61" w:rsidP="00710E61">
            <w:pPr>
              <w:spacing w:line="259" w:lineRule="auto"/>
              <w:jc w:val="both"/>
              <w:rPr>
                <w:b/>
                <w:i/>
                <w:sz w:val="22"/>
                <w:szCs w:val="22"/>
              </w:rPr>
            </w:pPr>
            <w:r w:rsidRPr="00C64BDB">
              <w:rPr>
                <w:b/>
                <w:i/>
                <w:sz w:val="22"/>
                <w:szCs w:val="22"/>
              </w:rPr>
              <w:t>Libera circula</w:t>
            </w:r>
            <w:r w:rsidR="00C86B7B">
              <w:rPr>
                <w:b/>
                <w:i/>
                <w:sz w:val="22"/>
                <w:szCs w:val="22"/>
              </w:rPr>
              <w:t>ţ</w:t>
            </w:r>
            <w:r w:rsidRPr="00C64BDB">
              <w:rPr>
                <w:b/>
                <w:i/>
                <w:sz w:val="22"/>
                <w:szCs w:val="22"/>
              </w:rPr>
              <w:t>ie</w:t>
            </w:r>
          </w:p>
          <w:p w:rsidR="00710E61" w:rsidRPr="008C3121" w:rsidRDefault="00710E61" w:rsidP="00710E61">
            <w:pPr>
              <w:spacing w:line="259" w:lineRule="auto"/>
              <w:jc w:val="both"/>
              <w:rPr>
                <w:sz w:val="22"/>
                <w:szCs w:val="22"/>
              </w:rPr>
            </w:pPr>
            <w:r>
              <w:rPr>
                <w:sz w:val="22"/>
                <w:szCs w:val="22"/>
              </w:rPr>
              <w:t>Cu privire la titlul Capitolului II „Siguran</w:t>
            </w:r>
            <w:r w:rsidR="00C86B7B">
              <w:rPr>
                <w:sz w:val="22"/>
                <w:szCs w:val="22"/>
              </w:rPr>
              <w:t>ţ</w:t>
            </w:r>
            <w:r>
              <w:rPr>
                <w:sz w:val="22"/>
                <w:szCs w:val="22"/>
              </w:rPr>
              <w:t>ă, responsabilitate, liberă circula</w:t>
            </w:r>
            <w:r w:rsidR="00C86B7B">
              <w:rPr>
                <w:sz w:val="22"/>
                <w:szCs w:val="22"/>
              </w:rPr>
              <w:t>ţ</w:t>
            </w:r>
            <w:r>
              <w:rPr>
                <w:sz w:val="22"/>
                <w:szCs w:val="22"/>
              </w:rPr>
              <w:t xml:space="preserve">ie” </w:t>
            </w:r>
            <w:r w:rsidR="00C86B7B">
              <w:rPr>
                <w:sz w:val="22"/>
                <w:szCs w:val="22"/>
              </w:rPr>
              <w:t>ş</w:t>
            </w:r>
            <w:r>
              <w:rPr>
                <w:sz w:val="22"/>
                <w:szCs w:val="22"/>
              </w:rPr>
              <w:t>i pct. 14 a proiectului Regulamentului sanitar, men</w:t>
            </w:r>
            <w:r w:rsidR="00C86B7B">
              <w:rPr>
                <w:sz w:val="22"/>
                <w:szCs w:val="22"/>
              </w:rPr>
              <w:t>ţ</w:t>
            </w:r>
            <w:r>
              <w:rPr>
                <w:sz w:val="22"/>
                <w:szCs w:val="22"/>
              </w:rPr>
              <w:t>ionăm că acestea urmează a fi revizuite, în sensul excluderii sintagmei „libera circula</w:t>
            </w:r>
            <w:r w:rsidR="00C86B7B">
              <w:rPr>
                <w:sz w:val="22"/>
                <w:szCs w:val="22"/>
              </w:rPr>
              <w:t>ţ</w:t>
            </w:r>
            <w:r>
              <w:rPr>
                <w:sz w:val="22"/>
                <w:szCs w:val="22"/>
              </w:rPr>
              <w:t>ie” din con</w:t>
            </w:r>
            <w:r w:rsidR="00C86B7B">
              <w:rPr>
                <w:sz w:val="22"/>
                <w:szCs w:val="22"/>
              </w:rPr>
              <w:t>ţ</w:t>
            </w:r>
            <w:r>
              <w:rPr>
                <w:sz w:val="22"/>
                <w:szCs w:val="22"/>
              </w:rPr>
              <w:t>inutul acestora, în măsura în care această sintagmă este specifică pie</w:t>
            </w:r>
            <w:r w:rsidR="00C86B7B">
              <w:rPr>
                <w:sz w:val="22"/>
                <w:szCs w:val="22"/>
              </w:rPr>
              <w:t>ţ</w:t>
            </w:r>
            <w:r>
              <w:rPr>
                <w:sz w:val="22"/>
                <w:szCs w:val="22"/>
              </w:rPr>
              <w:t xml:space="preserve">ii interne a UE </w:t>
            </w:r>
            <w:r w:rsidR="00C86B7B">
              <w:rPr>
                <w:sz w:val="22"/>
                <w:szCs w:val="22"/>
              </w:rPr>
              <w:t>ş</w:t>
            </w:r>
            <w:r>
              <w:rPr>
                <w:sz w:val="22"/>
                <w:szCs w:val="22"/>
              </w:rPr>
              <w:t xml:space="preserve">i nu este aplicabilă pentru Republica Moldova. Recomandăm utilizarea unor </w:t>
            </w:r>
            <w:proofErr w:type="spellStart"/>
            <w:r>
              <w:rPr>
                <w:sz w:val="22"/>
                <w:szCs w:val="22"/>
              </w:rPr>
              <w:t>unor</w:t>
            </w:r>
            <w:proofErr w:type="spellEnd"/>
            <w:r>
              <w:rPr>
                <w:sz w:val="22"/>
                <w:szCs w:val="22"/>
              </w:rPr>
              <w:t xml:space="preserve"> no</w:t>
            </w:r>
            <w:r w:rsidR="00C86B7B">
              <w:rPr>
                <w:sz w:val="22"/>
                <w:szCs w:val="22"/>
              </w:rPr>
              <w:t>ţ</w:t>
            </w:r>
            <w:r>
              <w:rPr>
                <w:sz w:val="22"/>
                <w:szCs w:val="22"/>
              </w:rPr>
              <w:t>iuni corespondente, cum ar fi: „accesul pe pia</w:t>
            </w:r>
            <w:r w:rsidR="00C86B7B">
              <w:rPr>
                <w:sz w:val="22"/>
                <w:szCs w:val="22"/>
              </w:rPr>
              <w:t>ţ</w:t>
            </w:r>
            <w:r>
              <w:rPr>
                <w:sz w:val="22"/>
                <w:szCs w:val="22"/>
              </w:rPr>
              <w:t xml:space="preserve">ă”, „exportul” etc. </w:t>
            </w:r>
          </w:p>
          <w:p w:rsidR="00710E61" w:rsidRDefault="00710E61" w:rsidP="00710E61">
            <w:pPr>
              <w:spacing w:line="259" w:lineRule="auto"/>
              <w:jc w:val="both"/>
              <w:rPr>
                <w:b/>
                <w:i/>
                <w:sz w:val="22"/>
                <w:szCs w:val="22"/>
              </w:rPr>
            </w:pPr>
          </w:p>
          <w:p w:rsidR="00710E61" w:rsidRPr="008C3121" w:rsidRDefault="00710E61" w:rsidP="00710E61">
            <w:pPr>
              <w:spacing w:line="259" w:lineRule="auto"/>
              <w:jc w:val="both"/>
              <w:rPr>
                <w:b/>
                <w:i/>
                <w:sz w:val="22"/>
                <w:szCs w:val="22"/>
              </w:rPr>
            </w:pPr>
            <w:r w:rsidRPr="008C3121">
              <w:rPr>
                <w:b/>
                <w:i/>
                <w:sz w:val="22"/>
                <w:szCs w:val="22"/>
              </w:rPr>
              <w:lastRenderedPageBreak/>
              <w:t>Termenul de păstrare a dosarului cu informa</w:t>
            </w:r>
            <w:r w:rsidR="00C86B7B">
              <w:rPr>
                <w:b/>
                <w:i/>
                <w:sz w:val="22"/>
                <w:szCs w:val="22"/>
              </w:rPr>
              <w:t>ţ</w:t>
            </w:r>
            <w:r w:rsidRPr="008C3121">
              <w:rPr>
                <w:b/>
                <w:i/>
                <w:sz w:val="22"/>
                <w:szCs w:val="22"/>
              </w:rPr>
              <w:t>ii despre produs</w:t>
            </w:r>
          </w:p>
          <w:p w:rsidR="00710E61" w:rsidRPr="00F626BB" w:rsidRDefault="00710E61" w:rsidP="00710E61">
            <w:pPr>
              <w:spacing w:line="259" w:lineRule="auto"/>
              <w:jc w:val="both"/>
              <w:rPr>
                <w:sz w:val="22"/>
                <w:szCs w:val="22"/>
              </w:rPr>
            </w:pPr>
            <w:r>
              <w:rPr>
                <w:sz w:val="22"/>
                <w:szCs w:val="22"/>
              </w:rPr>
              <w:t>Cu referire la pct. 21 din proiectul Regulamentului sanitar, care reglementează durată</w:t>
            </w:r>
            <w:r w:rsidRPr="001E05B8">
              <w:rPr>
                <w:sz w:val="22"/>
                <w:szCs w:val="22"/>
              </w:rPr>
              <w:t xml:space="preserve"> termenului </w:t>
            </w:r>
            <w:r>
              <w:rPr>
                <w:sz w:val="22"/>
                <w:szCs w:val="22"/>
              </w:rPr>
              <w:t xml:space="preserve">de păstrare a </w:t>
            </w:r>
            <w:r w:rsidRPr="00F626BB">
              <w:rPr>
                <w:sz w:val="22"/>
                <w:szCs w:val="22"/>
              </w:rPr>
              <w:t>dosar</w:t>
            </w:r>
            <w:r>
              <w:rPr>
                <w:sz w:val="22"/>
                <w:szCs w:val="22"/>
              </w:rPr>
              <w:t>ului</w:t>
            </w:r>
            <w:r w:rsidRPr="00F626BB">
              <w:rPr>
                <w:sz w:val="22"/>
                <w:szCs w:val="22"/>
              </w:rPr>
              <w:t xml:space="preserve"> cu informa</w:t>
            </w:r>
            <w:r w:rsidR="00C86B7B">
              <w:rPr>
                <w:sz w:val="22"/>
                <w:szCs w:val="22"/>
              </w:rPr>
              <w:t>ţ</w:t>
            </w:r>
            <w:r w:rsidRPr="00F626BB">
              <w:rPr>
                <w:sz w:val="22"/>
                <w:szCs w:val="22"/>
              </w:rPr>
              <w:t>ii despre produsul cosmetic</w:t>
            </w:r>
            <w:r>
              <w:rPr>
                <w:sz w:val="22"/>
                <w:szCs w:val="22"/>
              </w:rPr>
              <w:t xml:space="preserve"> introdus pe pia</w:t>
            </w:r>
            <w:r w:rsidR="00C86B7B">
              <w:rPr>
                <w:sz w:val="22"/>
                <w:szCs w:val="22"/>
              </w:rPr>
              <w:t>ţ</w:t>
            </w:r>
            <w:r>
              <w:rPr>
                <w:sz w:val="22"/>
                <w:szCs w:val="22"/>
              </w:rPr>
              <w:t>ă, constatăm că acesta nu corespunde prevederii din</w:t>
            </w:r>
            <w:r w:rsidRPr="001E05B8">
              <w:rPr>
                <w:sz w:val="22"/>
                <w:szCs w:val="22"/>
              </w:rPr>
              <w:t xml:space="preserve"> </w:t>
            </w:r>
            <w:r w:rsidRPr="00F626BB">
              <w:rPr>
                <w:sz w:val="22"/>
                <w:szCs w:val="22"/>
              </w:rPr>
              <w:t>art. 11, (1)</w:t>
            </w:r>
            <w:r>
              <w:rPr>
                <w:sz w:val="22"/>
                <w:szCs w:val="22"/>
              </w:rPr>
              <w:t xml:space="preserve"> din </w:t>
            </w:r>
            <w:r w:rsidRPr="00F626BB">
              <w:rPr>
                <w:sz w:val="22"/>
                <w:szCs w:val="22"/>
              </w:rPr>
              <w:t>Regulamentul (CE) nr. 1223/2009</w:t>
            </w:r>
            <w:r>
              <w:rPr>
                <w:sz w:val="22"/>
                <w:szCs w:val="22"/>
              </w:rPr>
              <w:t xml:space="preserve">. Astfel, actul UE prevede că </w:t>
            </w:r>
            <w:r w:rsidRPr="008C3121">
              <w:rPr>
                <w:sz w:val="22"/>
                <w:szCs w:val="22"/>
              </w:rPr>
              <w:t xml:space="preserve">atunci </w:t>
            </w:r>
            <w:proofErr w:type="spellStart"/>
            <w:r w:rsidRPr="008C3121">
              <w:rPr>
                <w:sz w:val="22"/>
                <w:szCs w:val="22"/>
              </w:rPr>
              <w:t>cînd</w:t>
            </w:r>
            <w:proofErr w:type="spellEnd"/>
            <w:r w:rsidRPr="008C3121">
              <w:rPr>
                <w:sz w:val="22"/>
                <w:szCs w:val="22"/>
              </w:rPr>
              <w:t xml:space="preserve"> se introduce pe pia</w:t>
            </w:r>
            <w:r w:rsidR="00C86B7B">
              <w:rPr>
                <w:sz w:val="22"/>
                <w:szCs w:val="22"/>
              </w:rPr>
              <w:t>ţ</w:t>
            </w:r>
            <w:r w:rsidRPr="008C3121">
              <w:rPr>
                <w:sz w:val="22"/>
                <w:szCs w:val="22"/>
              </w:rPr>
              <w:t>ă un produs cosmetic, persoana responsabilă este obligată să păstreze un dosar cu informa</w:t>
            </w:r>
            <w:r w:rsidR="00C86B7B">
              <w:rPr>
                <w:sz w:val="22"/>
                <w:szCs w:val="22"/>
              </w:rPr>
              <w:t>ţ</w:t>
            </w:r>
            <w:r w:rsidRPr="008C3121">
              <w:rPr>
                <w:sz w:val="22"/>
                <w:szCs w:val="22"/>
              </w:rPr>
              <w:t xml:space="preserve">ii despre </w:t>
            </w:r>
            <w:r>
              <w:rPr>
                <w:sz w:val="22"/>
                <w:szCs w:val="22"/>
              </w:rPr>
              <w:t xml:space="preserve">acest </w:t>
            </w:r>
            <w:r w:rsidRPr="008C3121">
              <w:rPr>
                <w:sz w:val="22"/>
                <w:szCs w:val="22"/>
              </w:rPr>
              <w:t xml:space="preserve">produs </w:t>
            </w:r>
            <w:r>
              <w:rPr>
                <w:sz w:val="22"/>
                <w:szCs w:val="22"/>
              </w:rPr>
              <w:t xml:space="preserve">timp </w:t>
            </w:r>
            <w:r w:rsidRPr="008C3121">
              <w:rPr>
                <w:sz w:val="22"/>
                <w:szCs w:val="22"/>
              </w:rPr>
              <w:t>de 10 ani de la data la care ultimul lot al produsului cosmetic a fost introdus pe pia</w:t>
            </w:r>
            <w:r w:rsidR="00C86B7B">
              <w:rPr>
                <w:sz w:val="22"/>
                <w:szCs w:val="22"/>
              </w:rPr>
              <w:t>ţ</w:t>
            </w:r>
            <w:r w:rsidRPr="008C3121">
              <w:rPr>
                <w:sz w:val="22"/>
                <w:szCs w:val="22"/>
              </w:rPr>
              <w:t>ă,</w:t>
            </w:r>
            <w:r w:rsidRPr="008C3121">
              <w:rPr>
                <w:sz w:val="22"/>
                <w:szCs w:val="22"/>
                <w:lang w:val="en-US"/>
              </w:rPr>
              <w:t xml:space="preserve"> </w:t>
            </w:r>
            <w:r w:rsidRPr="008C3121">
              <w:rPr>
                <w:sz w:val="22"/>
                <w:szCs w:val="22"/>
              </w:rPr>
              <w:t>or proiectul na</w:t>
            </w:r>
            <w:r w:rsidR="00C86B7B">
              <w:rPr>
                <w:sz w:val="22"/>
                <w:szCs w:val="22"/>
              </w:rPr>
              <w:t>ţ</w:t>
            </w:r>
            <w:r w:rsidRPr="008C3121">
              <w:rPr>
                <w:sz w:val="22"/>
                <w:szCs w:val="22"/>
              </w:rPr>
              <w:t>ional, în pct. 21 nu instituie un termen expres, ci prevede că acest dosar cu informa</w:t>
            </w:r>
            <w:r w:rsidR="00C86B7B">
              <w:rPr>
                <w:sz w:val="22"/>
                <w:szCs w:val="22"/>
              </w:rPr>
              <w:t>ţ</w:t>
            </w:r>
            <w:r w:rsidRPr="008C3121">
              <w:rPr>
                <w:sz w:val="22"/>
                <w:szCs w:val="22"/>
              </w:rPr>
              <w:t>ii despre produsul cosmetic va fi păstrat pe perioada termenului de garan</w:t>
            </w:r>
            <w:r w:rsidR="00C86B7B">
              <w:rPr>
                <w:sz w:val="22"/>
                <w:szCs w:val="22"/>
              </w:rPr>
              <w:t>ţ</w:t>
            </w:r>
            <w:r w:rsidRPr="008C3121">
              <w:rPr>
                <w:sz w:val="22"/>
                <w:szCs w:val="22"/>
              </w:rPr>
              <w:t>ie a produsului cosmetic care a fost introdus pe pia</w:t>
            </w:r>
            <w:r w:rsidR="00C86B7B">
              <w:rPr>
                <w:sz w:val="22"/>
                <w:szCs w:val="22"/>
              </w:rPr>
              <w:t>ţ</w:t>
            </w:r>
            <w:r w:rsidRPr="008C3121">
              <w:rPr>
                <w:sz w:val="22"/>
                <w:szCs w:val="22"/>
              </w:rPr>
              <w:t xml:space="preserve">ă.  </w:t>
            </w:r>
          </w:p>
          <w:p w:rsidR="00710E61" w:rsidRPr="008C3121" w:rsidRDefault="00710E61" w:rsidP="00710E61">
            <w:pPr>
              <w:spacing w:line="259" w:lineRule="auto"/>
              <w:jc w:val="both"/>
              <w:rPr>
                <w:i/>
                <w:sz w:val="22"/>
                <w:szCs w:val="22"/>
              </w:rPr>
            </w:pPr>
          </w:p>
          <w:p w:rsidR="00710E61" w:rsidRPr="008C3121" w:rsidRDefault="00710E61" w:rsidP="00710E61">
            <w:pPr>
              <w:spacing w:line="259" w:lineRule="auto"/>
              <w:jc w:val="both"/>
              <w:rPr>
                <w:b/>
                <w:i/>
                <w:sz w:val="22"/>
                <w:szCs w:val="22"/>
              </w:rPr>
            </w:pPr>
            <w:r w:rsidRPr="008C3121">
              <w:rPr>
                <w:b/>
                <w:i/>
                <w:sz w:val="22"/>
                <w:szCs w:val="22"/>
              </w:rPr>
              <w:t>Anexele Regulamentului sanitar privind produsele cosmetice</w:t>
            </w:r>
          </w:p>
          <w:p w:rsidR="00710E61" w:rsidRDefault="00710E61" w:rsidP="00710E61">
            <w:pPr>
              <w:spacing w:line="259" w:lineRule="auto"/>
              <w:jc w:val="both"/>
              <w:rPr>
                <w:sz w:val="22"/>
                <w:szCs w:val="22"/>
              </w:rPr>
            </w:pPr>
            <w:r>
              <w:rPr>
                <w:sz w:val="22"/>
                <w:szCs w:val="22"/>
              </w:rPr>
              <w:t>Reie</w:t>
            </w:r>
            <w:r w:rsidR="00C86B7B">
              <w:rPr>
                <w:sz w:val="22"/>
                <w:szCs w:val="22"/>
              </w:rPr>
              <w:t>ş</w:t>
            </w:r>
            <w:r>
              <w:rPr>
                <w:sz w:val="22"/>
                <w:szCs w:val="22"/>
              </w:rPr>
              <w:t>ind din considerentul că proiectul na</w:t>
            </w:r>
            <w:r w:rsidR="00C86B7B">
              <w:rPr>
                <w:sz w:val="22"/>
                <w:szCs w:val="22"/>
              </w:rPr>
              <w:t>ţ</w:t>
            </w:r>
            <w:r>
              <w:rPr>
                <w:sz w:val="22"/>
                <w:szCs w:val="22"/>
              </w:rPr>
              <w:t xml:space="preserve">ional a transpus </w:t>
            </w:r>
            <w:r w:rsidRPr="00F626BB">
              <w:rPr>
                <w:sz w:val="22"/>
                <w:szCs w:val="22"/>
              </w:rPr>
              <w:t>Regulamentul (CE) nr. 1223/2009</w:t>
            </w:r>
            <w:r>
              <w:rPr>
                <w:sz w:val="22"/>
                <w:szCs w:val="22"/>
              </w:rPr>
              <w:t xml:space="preserve"> fără modificările </w:t>
            </w:r>
            <w:r w:rsidR="00C86B7B">
              <w:rPr>
                <w:sz w:val="22"/>
                <w:szCs w:val="22"/>
              </w:rPr>
              <w:t>ş</w:t>
            </w:r>
            <w:r>
              <w:rPr>
                <w:sz w:val="22"/>
                <w:szCs w:val="22"/>
              </w:rPr>
              <w:t>i completările operate acestuia printr-o serie de acte UE succesive, Anexele proiectului Regulamentului sanitar urmează a fi revizuite după cum urmează:</w:t>
            </w:r>
          </w:p>
          <w:p w:rsidR="00710E61" w:rsidRPr="008C3121" w:rsidRDefault="00710E61" w:rsidP="00710E61">
            <w:pPr>
              <w:spacing w:line="259" w:lineRule="auto"/>
              <w:jc w:val="both"/>
              <w:rPr>
                <w:sz w:val="22"/>
                <w:szCs w:val="22"/>
              </w:rPr>
            </w:pPr>
            <w:r w:rsidRPr="008C3121">
              <w:rPr>
                <w:sz w:val="22"/>
                <w:szCs w:val="22"/>
              </w:rPr>
              <w:t xml:space="preserve">– </w:t>
            </w:r>
            <w:r w:rsidRPr="008C3121">
              <w:rPr>
                <w:i/>
                <w:sz w:val="22"/>
                <w:szCs w:val="22"/>
              </w:rPr>
              <w:t>Anexa nr. 3</w:t>
            </w:r>
            <w:r w:rsidRPr="008C3121">
              <w:rPr>
                <w:sz w:val="22"/>
                <w:szCs w:val="22"/>
              </w:rPr>
              <w:t xml:space="preserve"> a proiectului Regulamentului sanitar urmează a fi modificată similar prevederilor Regulamentului (UE) nr. 344/2013 </w:t>
            </w:r>
            <w:r>
              <w:rPr>
                <w:sz w:val="22"/>
                <w:szCs w:val="22"/>
              </w:rPr>
              <w:t>(</w:t>
            </w:r>
            <w:r w:rsidRPr="008C3121">
              <w:rPr>
                <w:sz w:val="22"/>
                <w:szCs w:val="22"/>
              </w:rPr>
              <w:t xml:space="preserve">la Crt. nr. 167; 450 </w:t>
            </w:r>
            <w:r w:rsidR="00C86B7B">
              <w:rPr>
                <w:sz w:val="22"/>
                <w:szCs w:val="22"/>
              </w:rPr>
              <w:t>ş</w:t>
            </w:r>
            <w:r w:rsidRPr="008C3121">
              <w:rPr>
                <w:sz w:val="22"/>
                <w:szCs w:val="22"/>
              </w:rPr>
              <w:t>i crt. nr. 1136</w:t>
            </w:r>
            <w:r>
              <w:rPr>
                <w:sz w:val="22"/>
                <w:szCs w:val="22"/>
              </w:rPr>
              <w:t>)</w:t>
            </w:r>
            <w:r w:rsidRPr="008C3121">
              <w:rPr>
                <w:sz w:val="22"/>
                <w:szCs w:val="22"/>
              </w:rPr>
              <w:t>. Totodată, aceasta se va completa cu noi substan</w:t>
            </w:r>
            <w:r w:rsidR="00C86B7B">
              <w:rPr>
                <w:sz w:val="22"/>
                <w:szCs w:val="22"/>
              </w:rPr>
              <w:t>ţ</w:t>
            </w:r>
            <w:r w:rsidRPr="008C3121">
              <w:rPr>
                <w:sz w:val="22"/>
                <w:szCs w:val="22"/>
              </w:rPr>
              <w:t xml:space="preserve">e interzise în produsele cosmetice, similar prevederilor Regulamentului (UE) nr. 344/2013; Regulamentului (UE) nr. 658/2013 </w:t>
            </w:r>
            <w:r w:rsidR="00C86B7B">
              <w:rPr>
                <w:sz w:val="22"/>
                <w:szCs w:val="22"/>
              </w:rPr>
              <w:t>ş</w:t>
            </w:r>
            <w:r w:rsidRPr="008C3121">
              <w:rPr>
                <w:sz w:val="22"/>
                <w:szCs w:val="22"/>
              </w:rPr>
              <w:t>i a Regulamentului (UE) nr. 358/2014</w:t>
            </w:r>
            <w:r>
              <w:rPr>
                <w:sz w:val="22"/>
                <w:szCs w:val="22"/>
              </w:rPr>
              <w:t xml:space="preserve"> (Crt. nr. 1329-1378)</w:t>
            </w:r>
            <w:r w:rsidRPr="008C3121">
              <w:rPr>
                <w:sz w:val="22"/>
                <w:szCs w:val="22"/>
              </w:rPr>
              <w:t>;</w:t>
            </w:r>
          </w:p>
          <w:p w:rsidR="00710E61" w:rsidRPr="008C3121" w:rsidRDefault="00710E61" w:rsidP="00710E61">
            <w:pPr>
              <w:spacing w:line="259" w:lineRule="auto"/>
              <w:jc w:val="both"/>
              <w:rPr>
                <w:sz w:val="22"/>
                <w:szCs w:val="22"/>
              </w:rPr>
            </w:pPr>
            <w:r w:rsidRPr="008C3121">
              <w:rPr>
                <w:sz w:val="22"/>
                <w:szCs w:val="22"/>
              </w:rPr>
              <w:t xml:space="preserve">– </w:t>
            </w:r>
            <w:r w:rsidRPr="008C3121">
              <w:rPr>
                <w:i/>
                <w:sz w:val="22"/>
                <w:szCs w:val="22"/>
              </w:rPr>
              <w:t xml:space="preserve">Anexa nr. 4 </w:t>
            </w:r>
            <w:r w:rsidRPr="008C3121">
              <w:rPr>
                <w:sz w:val="22"/>
                <w:szCs w:val="22"/>
              </w:rPr>
              <w:t xml:space="preserve">a proiectului Regulamentului sanitar urmează a fi modificată </w:t>
            </w:r>
            <w:r w:rsidR="00C86B7B">
              <w:rPr>
                <w:sz w:val="22"/>
                <w:szCs w:val="22"/>
              </w:rPr>
              <w:t>ş</w:t>
            </w:r>
            <w:r w:rsidRPr="008C3121">
              <w:rPr>
                <w:sz w:val="22"/>
                <w:szCs w:val="22"/>
              </w:rPr>
              <w:t xml:space="preserve">i completată similar prevederilor Regulamentului (UE) nr. 344/2013 (la crt. nr. 8-10; 14; 26; 47; 56; 68; 72; 88; 103; 201; 215; 222; 252 </w:t>
            </w:r>
            <w:r w:rsidR="00C86B7B">
              <w:rPr>
                <w:sz w:val="22"/>
                <w:szCs w:val="22"/>
              </w:rPr>
              <w:t>ş</w:t>
            </w:r>
            <w:r w:rsidRPr="008C3121">
              <w:rPr>
                <w:sz w:val="22"/>
                <w:szCs w:val="22"/>
              </w:rPr>
              <w:t xml:space="preserve">i 254); Regulamentului (UE) nr. 483/2013 (la crt. nr. 257); Regulamentului (UE) nr. 658/2013 (la </w:t>
            </w:r>
            <w:proofErr w:type="spellStart"/>
            <w:r w:rsidRPr="008C3121">
              <w:rPr>
                <w:sz w:val="22"/>
                <w:szCs w:val="22"/>
              </w:rPr>
              <w:t>cr</w:t>
            </w:r>
            <w:proofErr w:type="spellEnd"/>
            <w:r w:rsidRPr="008C3121">
              <w:rPr>
                <w:sz w:val="22"/>
                <w:szCs w:val="22"/>
              </w:rPr>
              <w:t xml:space="preserve">. 16; 22; 198; 206; 221; 240; 251; 253; 255 </w:t>
            </w:r>
            <w:r w:rsidR="00C86B7B">
              <w:rPr>
                <w:sz w:val="22"/>
                <w:szCs w:val="22"/>
              </w:rPr>
              <w:t>ş</w:t>
            </w:r>
            <w:r w:rsidRPr="008C3121">
              <w:rPr>
                <w:sz w:val="22"/>
                <w:szCs w:val="22"/>
              </w:rPr>
              <w:t xml:space="preserve">i 258); Regulamentului (UE) nr. 1197/2013 (8b; 9a; 12; 22; 203; 217; 229; 241-242; 244-245 </w:t>
            </w:r>
            <w:r w:rsidR="00C86B7B">
              <w:rPr>
                <w:sz w:val="22"/>
                <w:szCs w:val="22"/>
              </w:rPr>
              <w:t>ş</w:t>
            </w:r>
            <w:r w:rsidRPr="008C3121">
              <w:rPr>
                <w:sz w:val="22"/>
                <w:szCs w:val="22"/>
              </w:rPr>
              <w:t>i 265); Regulamentul</w:t>
            </w:r>
            <w:r>
              <w:rPr>
                <w:sz w:val="22"/>
                <w:szCs w:val="22"/>
              </w:rPr>
              <w:t>ui</w:t>
            </w:r>
            <w:r w:rsidRPr="008C3121">
              <w:rPr>
                <w:sz w:val="22"/>
                <w:szCs w:val="22"/>
              </w:rPr>
              <w:t xml:space="preserve"> (UE) 2015/1190 (la crt. 2a) </w:t>
            </w:r>
            <w:r w:rsidR="00C86B7B">
              <w:rPr>
                <w:sz w:val="22"/>
                <w:szCs w:val="22"/>
              </w:rPr>
              <w:t>ş</w:t>
            </w:r>
            <w:r w:rsidRPr="008C3121">
              <w:rPr>
                <w:sz w:val="22"/>
                <w:szCs w:val="22"/>
              </w:rPr>
              <w:t xml:space="preserve">i rectificărilor acestora (la crt. 45 </w:t>
            </w:r>
            <w:r w:rsidR="00C86B7B">
              <w:rPr>
                <w:sz w:val="22"/>
                <w:szCs w:val="22"/>
              </w:rPr>
              <w:t>ş</w:t>
            </w:r>
            <w:r w:rsidRPr="008C3121">
              <w:rPr>
                <w:sz w:val="22"/>
                <w:szCs w:val="22"/>
              </w:rPr>
              <w:t xml:space="preserve">i 286). Totodată, această anexă a proiectului Regulamentului sanitar se va completa </w:t>
            </w:r>
            <w:r w:rsidR="00C86B7B">
              <w:rPr>
                <w:sz w:val="22"/>
                <w:szCs w:val="22"/>
              </w:rPr>
              <w:t>ş</w:t>
            </w:r>
            <w:r w:rsidRPr="008C3121">
              <w:rPr>
                <w:sz w:val="22"/>
                <w:szCs w:val="22"/>
              </w:rPr>
              <w:t>i cu notele de subsol prevăzute de actele UE men</w:t>
            </w:r>
            <w:r w:rsidR="00C86B7B">
              <w:rPr>
                <w:sz w:val="22"/>
                <w:szCs w:val="22"/>
              </w:rPr>
              <w:t>ţ</w:t>
            </w:r>
            <w:r w:rsidRPr="008C3121">
              <w:rPr>
                <w:sz w:val="22"/>
                <w:szCs w:val="22"/>
              </w:rPr>
              <w:t xml:space="preserve">ionate </w:t>
            </w:r>
            <w:r w:rsidRPr="008C3121">
              <w:rPr>
                <w:i/>
                <w:sz w:val="22"/>
                <w:szCs w:val="22"/>
              </w:rPr>
              <w:t>supra;</w:t>
            </w:r>
            <w:r w:rsidRPr="008C3121">
              <w:rPr>
                <w:sz w:val="22"/>
                <w:szCs w:val="22"/>
              </w:rPr>
              <w:t xml:space="preserve"> </w:t>
            </w:r>
          </w:p>
          <w:p w:rsidR="00710E61" w:rsidRPr="008C3121" w:rsidRDefault="00710E61" w:rsidP="00710E61">
            <w:pPr>
              <w:spacing w:line="259" w:lineRule="auto"/>
              <w:jc w:val="both"/>
              <w:rPr>
                <w:sz w:val="22"/>
                <w:szCs w:val="22"/>
              </w:rPr>
            </w:pPr>
            <w:r w:rsidRPr="008C3121">
              <w:rPr>
                <w:sz w:val="22"/>
                <w:szCs w:val="22"/>
              </w:rPr>
              <w:t xml:space="preserve">– </w:t>
            </w:r>
            <w:r w:rsidRPr="008C3121">
              <w:rPr>
                <w:i/>
                <w:sz w:val="22"/>
                <w:szCs w:val="22"/>
              </w:rPr>
              <w:t>Anexa nr. 6</w:t>
            </w:r>
            <w:r w:rsidRPr="008C3121">
              <w:rPr>
                <w:sz w:val="22"/>
                <w:szCs w:val="22"/>
              </w:rPr>
              <w:t xml:space="preserve"> a proiectului Regulamentului sanitar</w:t>
            </w:r>
            <w:r w:rsidRPr="008C3121">
              <w:rPr>
                <w:sz w:val="22"/>
                <w:szCs w:val="22"/>
                <w:lang w:val="en-US"/>
              </w:rPr>
              <w:t xml:space="preserve"> </w:t>
            </w:r>
            <w:r w:rsidRPr="008C3121">
              <w:rPr>
                <w:sz w:val="22"/>
                <w:szCs w:val="22"/>
              </w:rPr>
              <w:t xml:space="preserve">urmează a fi modificată similar prevederilor Regulamentului (UE) nr. 344/2013 (la Crt. nr. 34 </w:t>
            </w:r>
            <w:r w:rsidR="00C86B7B">
              <w:rPr>
                <w:sz w:val="22"/>
                <w:szCs w:val="22"/>
              </w:rPr>
              <w:t>ş</w:t>
            </w:r>
            <w:r w:rsidRPr="008C3121">
              <w:rPr>
                <w:sz w:val="22"/>
                <w:szCs w:val="22"/>
              </w:rPr>
              <w:t xml:space="preserve">i introducerea crt. nr. 58); Regulamentului (UE) nr. 358/2014 (la Crt. nr. 25); Regulamentului (UE) nr. 866/2014 (la Crt. nr. 44 </w:t>
            </w:r>
            <w:r w:rsidR="00C86B7B">
              <w:rPr>
                <w:sz w:val="22"/>
                <w:szCs w:val="22"/>
              </w:rPr>
              <w:t>ş</w:t>
            </w:r>
            <w:r w:rsidRPr="008C3121">
              <w:rPr>
                <w:sz w:val="22"/>
                <w:szCs w:val="22"/>
              </w:rPr>
              <w:t xml:space="preserve">i  introducerea crt. nr. 59); Regulamentului (UE) nr. 1003/2014 (la Crt. nr. 39 </w:t>
            </w:r>
            <w:r w:rsidR="00C86B7B">
              <w:rPr>
                <w:sz w:val="22"/>
                <w:szCs w:val="22"/>
              </w:rPr>
              <w:t>ş</w:t>
            </w:r>
            <w:r w:rsidRPr="008C3121">
              <w:rPr>
                <w:sz w:val="22"/>
                <w:szCs w:val="22"/>
              </w:rPr>
              <w:t xml:space="preserve">i 57) </w:t>
            </w:r>
            <w:r w:rsidR="00C86B7B">
              <w:rPr>
                <w:sz w:val="22"/>
                <w:szCs w:val="22"/>
              </w:rPr>
              <w:t>ş</w:t>
            </w:r>
            <w:r w:rsidRPr="008C3121">
              <w:rPr>
                <w:sz w:val="22"/>
                <w:szCs w:val="22"/>
              </w:rPr>
              <w:t xml:space="preserve">i a Regulamentului (UE) nr. 1004/2014 ( la Crt. nr. 12 </w:t>
            </w:r>
            <w:r w:rsidR="00C86B7B">
              <w:rPr>
                <w:sz w:val="22"/>
                <w:szCs w:val="22"/>
              </w:rPr>
              <w:t>ş</w:t>
            </w:r>
            <w:r w:rsidRPr="008C3121">
              <w:rPr>
                <w:sz w:val="22"/>
                <w:szCs w:val="22"/>
              </w:rPr>
              <w:t xml:space="preserve">i 12a). Totodată, această anexă a proiectului Regulamentului sanitar se va completa </w:t>
            </w:r>
            <w:r w:rsidR="00C86B7B">
              <w:rPr>
                <w:sz w:val="22"/>
                <w:szCs w:val="22"/>
              </w:rPr>
              <w:t>ş</w:t>
            </w:r>
            <w:r w:rsidRPr="008C3121">
              <w:rPr>
                <w:sz w:val="22"/>
                <w:szCs w:val="22"/>
              </w:rPr>
              <w:t xml:space="preserve">i cu notele de subsol aferente noilor modificări </w:t>
            </w:r>
            <w:r w:rsidR="00C86B7B">
              <w:rPr>
                <w:sz w:val="22"/>
                <w:szCs w:val="22"/>
              </w:rPr>
              <w:t>ş</w:t>
            </w:r>
            <w:r w:rsidRPr="008C3121">
              <w:rPr>
                <w:sz w:val="22"/>
                <w:szCs w:val="22"/>
              </w:rPr>
              <w:t xml:space="preserve">i completări prevăzute </w:t>
            </w:r>
            <w:r w:rsidRPr="008C3121">
              <w:rPr>
                <w:i/>
                <w:sz w:val="22"/>
                <w:szCs w:val="22"/>
              </w:rPr>
              <w:t>supra;</w:t>
            </w:r>
          </w:p>
          <w:p w:rsidR="00710E61" w:rsidRPr="008C3121" w:rsidRDefault="00710E61" w:rsidP="00710E61">
            <w:pPr>
              <w:spacing w:line="259" w:lineRule="auto"/>
              <w:jc w:val="both"/>
              <w:rPr>
                <w:sz w:val="22"/>
                <w:szCs w:val="22"/>
              </w:rPr>
            </w:pPr>
            <w:r w:rsidRPr="008C3121">
              <w:rPr>
                <w:sz w:val="22"/>
                <w:szCs w:val="22"/>
              </w:rPr>
              <w:t xml:space="preserve">– </w:t>
            </w:r>
            <w:r w:rsidRPr="008C3121">
              <w:rPr>
                <w:i/>
                <w:sz w:val="22"/>
                <w:szCs w:val="22"/>
              </w:rPr>
              <w:t>Anexa nr. 7</w:t>
            </w:r>
            <w:r w:rsidRPr="008C3121">
              <w:rPr>
                <w:sz w:val="22"/>
                <w:szCs w:val="22"/>
              </w:rPr>
              <w:t xml:space="preserve"> a proiectului Regulamentului sanitar urmează a fi modificată similar prevederilor Regulamentului (UE) nr. 344/2013 (la Crt. nr.  1 </w:t>
            </w:r>
            <w:r w:rsidR="00C86B7B">
              <w:rPr>
                <w:sz w:val="22"/>
                <w:szCs w:val="22"/>
              </w:rPr>
              <w:t>ş</w:t>
            </w:r>
            <w:r w:rsidRPr="008C3121">
              <w:rPr>
                <w:sz w:val="22"/>
                <w:szCs w:val="22"/>
              </w:rPr>
              <w:t xml:space="preserve">i 28) </w:t>
            </w:r>
            <w:r w:rsidR="00C86B7B">
              <w:rPr>
                <w:sz w:val="22"/>
                <w:szCs w:val="22"/>
              </w:rPr>
              <w:t>ş</w:t>
            </w:r>
            <w:r w:rsidRPr="008C3121">
              <w:rPr>
                <w:sz w:val="22"/>
                <w:szCs w:val="22"/>
              </w:rPr>
              <w:t>i completată similar Regulamentul</w:t>
            </w:r>
            <w:r>
              <w:rPr>
                <w:sz w:val="22"/>
                <w:szCs w:val="22"/>
              </w:rPr>
              <w:t>ui</w:t>
            </w:r>
            <w:r w:rsidRPr="008C3121">
              <w:rPr>
                <w:sz w:val="22"/>
                <w:szCs w:val="22"/>
              </w:rPr>
              <w:t xml:space="preserve"> (UE) nr. 866/2014 (cu un nou crt. – Crt. nr. 29).</w:t>
            </w:r>
          </w:p>
          <w:p w:rsidR="00710E61" w:rsidRPr="008C3121" w:rsidRDefault="00710E61" w:rsidP="00710E61">
            <w:pPr>
              <w:spacing w:line="259" w:lineRule="auto"/>
              <w:jc w:val="both"/>
              <w:rPr>
                <w:sz w:val="22"/>
                <w:szCs w:val="22"/>
              </w:rPr>
            </w:pPr>
          </w:p>
          <w:p w:rsidR="00710E61" w:rsidRPr="00980CF5" w:rsidRDefault="00710E61" w:rsidP="00710E61">
            <w:pPr>
              <w:spacing w:line="259" w:lineRule="auto"/>
              <w:jc w:val="both"/>
              <w:rPr>
                <w:b/>
                <w:i/>
                <w:color w:val="000000" w:themeColor="text1"/>
                <w:sz w:val="22"/>
                <w:szCs w:val="22"/>
              </w:rPr>
            </w:pPr>
            <w:r w:rsidRPr="00980CF5">
              <w:rPr>
                <w:b/>
                <w:i/>
                <w:color w:val="000000" w:themeColor="text1"/>
                <w:sz w:val="22"/>
                <w:szCs w:val="22"/>
              </w:rPr>
              <w:t>Anexele Metodelor de analiză necesare pentru verificarea compozi</w:t>
            </w:r>
            <w:r w:rsidR="00C86B7B">
              <w:rPr>
                <w:b/>
                <w:i/>
                <w:color w:val="000000" w:themeColor="text1"/>
                <w:sz w:val="22"/>
                <w:szCs w:val="22"/>
              </w:rPr>
              <w:t>ţ</w:t>
            </w:r>
            <w:r w:rsidRPr="00980CF5">
              <w:rPr>
                <w:b/>
                <w:i/>
                <w:color w:val="000000" w:themeColor="text1"/>
                <w:sz w:val="22"/>
                <w:szCs w:val="22"/>
              </w:rPr>
              <w:t>iei produselor cosmetice (Anexa nr. 2 – 8)</w:t>
            </w:r>
          </w:p>
          <w:p w:rsidR="00710E61" w:rsidRPr="00980CF5" w:rsidRDefault="00710E61" w:rsidP="00710E61">
            <w:pPr>
              <w:jc w:val="both"/>
              <w:rPr>
                <w:iCs/>
                <w:color w:val="000000" w:themeColor="text1"/>
                <w:sz w:val="22"/>
                <w:szCs w:val="22"/>
              </w:rPr>
            </w:pPr>
            <w:r w:rsidRPr="00980CF5">
              <w:rPr>
                <w:iCs/>
                <w:color w:val="000000" w:themeColor="text1"/>
                <w:sz w:val="22"/>
                <w:szCs w:val="22"/>
              </w:rPr>
              <w:t xml:space="preserve">– </w:t>
            </w:r>
            <w:r w:rsidRPr="00980CF5">
              <w:rPr>
                <w:i/>
                <w:iCs/>
                <w:color w:val="000000" w:themeColor="text1"/>
                <w:sz w:val="22"/>
                <w:szCs w:val="22"/>
              </w:rPr>
              <w:t xml:space="preserve">Anexa nr. 2 </w:t>
            </w:r>
            <w:r>
              <w:rPr>
                <w:iCs/>
                <w:color w:val="000000" w:themeColor="text1"/>
                <w:sz w:val="22"/>
                <w:szCs w:val="22"/>
              </w:rPr>
              <w:t>a</w:t>
            </w:r>
            <w:r w:rsidRPr="00980CF5">
              <w:rPr>
                <w:iCs/>
                <w:color w:val="000000" w:themeColor="text1"/>
                <w:sz w:val="22"/>
                <w:szCs w:val="22"/>
              </w:rPr>
              <w:t xml:space="preserve"> proiectului na</w:t>
            </w:r>
            <w:r w:rsidR="00C86B7B">
              <w:rPr>
                <w:iCs/>
                <w:color w:val="000000" w:themeColor="text1"/>
                <w:sz w:val="22"/>
                <w:szCs w:val="22"/>
              </w:rPr>
              <w:t>ţ</w:t>
            </w:r>
            <w:r w:rsidRPr="00980CF5">
              <w:rPr>
                <w:iCs/>
                <w:color w:val="000000" w:themeColor="text1"/>
                <w:sz w:val="22"/>
                <w:szCs w:val="22"/>
              </w:rPr>
              <w:t>ional nu con</w:t>
            </w:r>
            <w:r w:rsidR="00C86B7B">
              <w:rPr>
                <w:iCs/>
                <w:color w:val="000000" w:themeColor="text1"/>
                <w:sz w:val="22"/>
                <w:szCs w:val="22"/>
              </w:rPr>
              <w:t>ţ</w:t>
            </w:r>
            <w:r w:rsidRPr="00980CF5">
              <w:rPr>
                <w:iCs/>
                <w:color w:val="000000" w:themeColor="text1"/>
                <w:sz w:val="22"/>
                <w:szCs w:val="22"/>
              </w:rPr>
              <w:t xml:space="preserve">ine prevederile Capitolului VI „Determinarea zincului”, pct. 6-6.1.2 „Procedura” din Directiva 80/1335/CEE, referitoare la procedura de determinare a zincului în produsul cosmetic; </w:t>
            </w:r>
          </w:p>
          <w:p w:rsidR="00710E61" w:rsidRPr="00980CF5" w:rsidRDefault="00710E61" w:rsidP="00710E61">
            <w:pPr>
              <w:jc w:val="both"/>
              <w:rPr>
                <w:b/>
                <w:i/>
                <w:iCs/>
                <w:color w:val="000000" w:themeColor="text1"/>
              </w:rPr>
            </w:pPr>
            <w:r w:rsidRPr="00980CF5">
              <w:rPr>
                <w:iCs/>
                <w:color w:val="000000" w:themeColor="text1"/>
              </w:rPr>
              <w:t>–</w:t>
            </w:r>
            <w:r w:rsidRPr="00980CF5">
              <w:rPr>
                <w:i/>
                <w:iCs/>
                <w:color w:val="000000" w:themeColor="text1"/>
                <w:sz w:val="22"/>
                <w:szCs w:val="22"/>
              </w:rPr>
              <w:t xml:space="preserve">Anexa nr. 3 </w:t>
            </w:r>
            <w:r>
              <w:rPr>
                <w:iCs/>
                <w:color w:val="000000" w:themeColor="text1"/>
                <w:sz w:val="22"/>
                <w:szCs w:val="22"/>
              </w:rPr>
              <w:t>a</w:t>
            </w:r>
            <w:r w:rsidRPr="00980CF5">
              <w:rPr>
                <w:iCs/>
                <w:color w:val="000000" w:themeColor="text1"/>
                <w:sz w:val="22"/>
                <w:szCs w:val="22"/>
              </w:rPr>
              <w:t xml:space="preserve"> proiectului na</w:t>
            </w:r>
            <w:r w:rsidR="00C86B7B">
              <w:rPr>
                <w:iCs/>
                <w:color w:val="000000" w:themeColor="text1"/>
                <w:sz w:val="22"/>
                <w:szCs w:val="22"/>
              </w:rPr>
              <w:t>ţ</w:t>
            </w:r>
            <w:r w:rsidRPr="00980CF5">
              <w:rPr>
                <w:iCs/>
                <w:color w:val="000000" w:themeColor="text1"/>
                <w:sz w:val="22"/>
                <w:szCs w:val="22"/>
              </w:rPr>
              <w:t xml:space="preserve">ional la Capitolul IV „Identificarea </w:t>
            </w:r>
            <w:r w:rsidR="00C86B7B">
              <w:rPr>
                <w:iCs/>
                <w:color w:val="000000" w:themeColor="text1"/>
                <w:sz w:val="22"/>
                <w:szCs w:val="22"/>
              </w:rPr>
              <w:t>ş</w:t>
            </w:r>
            <w:r w:rsidRPr="00980CF5">
              <w:rPr>
                <w:iCs/>
                <w:color w:val="000000" w:themeColor="text1"/>
                <w:sz w:val="22"/>
                <w:szCs w:val="22"/>
              </w:rPr>
              <w:t>i determinarea formaldehidei libere” a transpus par</w:t>
            </w:r>
            <w:r w:rsidR="00C86B7B">
              <w:rPr>
                <w:iCs/>
                <w:color w:val="000000" w:themeColor="text1"/>
                <w:sz w:val="22"/>
                <w:szCs w:val="22"/>
              </w:rPr>
              <w:t>ţ</w:t>
            </w:r>
            <w:r w:rsidRPr="00980CF5">
              <w:rPr>
                <w:iCs/>
                <w:color w:val="000000" w:themeColor="text1"/>
                <w:sz w:val="22"/>
                <w:szCs w:val="22"/>
              </w:rPr>
              <w:t>ial prevederile Capitolului IV din Directiva 82/434/CEE</w:t>
            </w:r>
            <w:r>
              <w:rPr>
                <w:iCs/>
                <w:color w:val="000000" w:themeColor="text1"/>
                <w:sz w:val="22"/>
                <w:szCs w:val="22"/>
              </w:rPr>
              <w:t xml:space="preserve">. Astfel, nu se regăsesc prevederile pct. 6.3 „Determinare cu bisulfit” </w:t>
            </w:r>
            <w:r w:rsidR="00C86B7B">
              <w:rPr>
                <w:iCs/>
                <w:color w:val="000000" w:themeColor="text1"/>
                <w:sz w:val="22"/>
                <w:szCs w:val="22"/>
              </w:rPr>
              <w:t>ş</w:t>
            </w:r>
            <w:r>
              <w:rPr>
                <w:iCs/>
                <w:color w:val="000000" w:themeColor="text1"/>
                <w:sz w:val="22"/>
                <w:szCs w:val="22"/>
              </w:rPr>
              <w:t xml:space="preserve">i formulele produsului acid </w:t>
            </w:r>
            <w:r w:rsidR="00C86B7B">
              <w:rPr>
                <w:iCs/>
                <w:color w:val="000000" w:themeColor="text1"/>
                <w:sz w:val="22"/>
                <w:szCs w:val="22"/>
              </w:rPr>
              <w:t>ş</w:t>
            </w:r>
            <w:r>
              <w:rPr>
                <w:iCs/>
                <w:color w:val="000000" w:themeColor="text1"/>
                <w:sz w:val="22"/>
                <w:szCs w:val="22"/>
              </w:rPr>
              <w:t>i alcalin din pct. 7 „Prezentarea rezultatelor” din capitolul IV al Directivei</w:t>
            </w:r>
            <w:r w:rsidRPr="0034697E">
              <w:rPr>
                <w:iCs/>
                <w:color w:val="000000" w:themeColor="text1"/>
                <w:sz w:val="22"/>
                <w:szCs w:val="22"/>
              </w:rPr>
              <w:t xml:space="preserve"> 82/434/CEE</w:t>
            </w:r>
            <w:r>
              <w:rPr>
                <w:iCs/>
                <w:color w:val="000000" w:themeColor="text1"/>
                <w:sz w:val="22"/>
                <w:szCs w:val="22"/>
              </w:rPr>
              <w:t>.</w:t>
            </w:r>
          </w:p>
          <w:p w:rsidR="00710E61" w:rsidRPr="00980CF5" w:rsidRDefault="00710E61" w:rsidP="00710E61">
            <w:pPr>
              <w:pStyle w:val="ab"/>
              <w:tabs>
                <w:tab w:val="left" w:pos="0"/>
              </w:tabs>
              <w:jc w:val="both"/>
              <w:rPr>
                <w:b w:val="0"/>
                <w:color w:val="000000" w:themeColor="text1"/>
                <w:sz w:val="22"/>
                <w:szCs w:val="22"/>
              </w:rPr>
            </w:pPr>
            <w:r w:rsidRPr="00980CF5">
              <w:rPr>
                <w:b w:val="0"/>
                <w:color w:val="000000" w:themeColor="text1"/>
                <w:sz w:val="22"/>
                <w:szCs w:val="22"/>
              </w:rPr>
              <w:t>Cu privire la for</w:t>
            </w:r>
            <w:r>
              <w:rPr>
                <w:b w:val="0"/>
                <w:color w:val="000000" w:themeColor="text1"/>
                <w:sz w:val="22"/>
                <w:szCs w:val="22"/>
              </w:rPr>
              <w:t>mulele prevăzute de Anexa nr. 2</w:t>
            </w:r>
            <w:r w:rsidRPr="00980CF5">
              <w:rPr>
                <w:b w:val="0"/>
                <w:color w:val="000000" w:themeColor="text1"/>
                <w:sz w:val="22"/>
                <w:szCs w:val="22"/>
              </w:rPr>
              <w:t>-8 din proiectul na</w:t>
            </w:r>
            <w:r w:rsidR="00C86B7B">
              <w:rPr>
                <w:b w:val="0"/>
                <w:color w:val="000000" w:themeColor="text1"/>
                <w:sz w:val="22"/>
                <w:szCs w:val="22"/>
              </w:rPr>
              <w:t>ţ</w:t>
            </w:r>
            <w:r w:rsidRPr="00980CF5">
              <w:rPr>
                <w:b w:val="0"/>
                <w:color w:val="000000" w:themeColor="text1"/>
                <w:sz w:val="22"/>
                <w:szCs w:val="22"/>
              </w:rPr>
              <w:t>ional, men</w:t>
            </w:r>
            <w:r w:rsidR="00C86B7B">
              <w:rPr>
                <w:b w:val="0"/>
                <w:color w:val="000000" w:themeColor="text1"/>
                <w:sz w:val="22"/>
                <w:szCs w:val="22"/>
              </w:rPr>
              <w:t>ţ</w:t>
            </w:r>
            <w:r w:rsidRPr="00980CF5">
              <w:rPr>
                <w:b w:val="0"/>
                <w:color w:val="000000" w:themeColor="text1"/>
                <w:sz w:val="22"/>
                <w:szCs w:val="22"/>
              </w:rPr>
              <w:t>ionăm că lipsesc indicii substan</w:t>
            </w:r>
            <w:r w:rsidR="00C86B7B">
              <w:rPr>
                <w:b w:val="0"/>
                <w:color w:val="000000" w:themeColor="text1"/>
                <w:sz w:val="22"/>
                <w:szCs w:val="22"/>
              </w:rPr>
              <w:t>ţ</w:t>
            </w:r>
            <w:r w:rsidRPr="00980CF5">
              <w:rPr>
                <w:b w:val="0"/>
                <w:color w:val="000000" w:themeColor="text1"/>
                <w:sz w:val="22"/>
                <w:szCs w:val="22"/>
              </w:rPr>
              <w:t xml:space="preserve">elor </w:t>
            </w:r>
            <w:r>
              <w:rPr>
                <w:b w:val="0"/>
                <w:color w:val="000000" w:themeColor="text1"/>
                <w:sz w:val="22"/>
                <w:szCs w:val="22"/>
              </w:rPr>
              <w:t>reglementate.</w:t>
            </w:r>
          </w:p>
          <w:p w:rsidR="00710E61" w:rsidRPr="00980CF5" w:rsidRDefault="00710E61" w:rsidP="00710E61">
            <w:pPr>
              <w:pStyle w:val="ab"/>
              <w:tabs>
                <w:tab w:val="left" w:pos="0"/>
              </w:tabs>
              <w:rPr>
                <w:color w:val="000000" w:themeColor="text1"/>
                <w:sz w:val="22"/>
                <w:szCs w:val="22"/>
              </w:rPr>
            </w:pPr>
          </w:p>
          <w:p w:rsidR="00710E61" w:rsidRPr="00197C5C" w:rsidRDefault="00710E61" w:rsidP="00710E61">
            <w:pPr>
              <w:spacing w:line="259" w:lineRule="auto"/>
              <w:jc w:val="both"/>
              <w:rPr>
                <w:sz w:val="22"/>
                <w:szCs w:val="22"/>
              </w:rPr>
            </w:pPr>
            <w:r w:rsidRPr="00197C5C">
              <w:rPr>
                <w:b/>
                <w:i/>
                <w:sz w:val="22"/>
                <w:szCs w:val="22"/>
              </w:rPr>
              <w:t xml:space="preserve">Clauza de armonizare </w:t>
            </w:r>
          </w:p>
          <w:p w:rsidR="00710E61" w:rsidRDefault="00710E61" w:rsidP="00710E61">
            <w:pPr>
              <w:pStyle w:val="ab"/>
              <w:tabs>
                <w:tab w:val="left" w:pos="0"/>
              </w:tabs>
              <w:jc w:val="both"/>
              <w:rPr>
                <w:b w:val="0"/>
                <w:sz w:val="22"/>
                <w:szCs w:val="22"/>
              </w:rPr>
            </w:pPr>
            <w:r w:rsidRPr="00197C5C">
              <w:rPr>
                <w:b w:val="0"/>
                <w:sz w:val="22"/>
                <w:szCs w:val="22"/>
              </w:rPr>
              <w:t>În ceea ce prive</w:t>
            </w:r>
            <w:r w:rsidR="00C86B7B">
              <w:rPr>
                <w:b w:val="0"/>
                <w:sz w:val="22"/>
                <w:szCs w:val="22"/>
              </w:rPr>
              <w:t>ş</w:t>
            </w:r>
            <w:r w:rsidRPr="00197C5C">
              <w:rPr>
                <w:b w:val="0"/>
                <w:sz w:val="22"/>
                <w:szCs w:val="22"/>
              </w:rPr>
              <w:t xml:space="preserve">te clauzele de armonizare indicate pentru fiecare </w:t>
            </w:r>
            <w:r>
              <w:rPr>
                <w:b w:val="0"/>
                <w:sz w:val="22"/>
                <w:szCs w:val="22"/>
              </w:rPr>
              <w:t>anexă în parte, men</w:t>
            </w:r>
            <w:r w:rsidR="00C86B7B">
              <w:rPr>
                <w:b w:val="0"/>
                <w:sz w:val="22"/>
                <w:szCs w:val="22"/>
              </w:rPr>
              <w:t>ţ</w:t>
            </w:r>
            <w:r>
              <w:rPr>
                <w:b w:val="0"/>
                <w:sz w:val="22"/>
                <w:szCs w:val="22"/>
              </w:rPr>
              <w:t>ionăm că p</w:t>
            </w:r>
            <w:r w:rsidRPr="00197C5C">
              <w:rPr>
                <w:b w:val="0"/>
                <w:sz w:val="22"/>
                <w:szCs w:val="22"/>
              </w:rPr>
              <w:t>entru a corespunde exigen</w:t>
            </w:r>
            <w:r w:rsidR="00C86B7B">
              <w:rPr>
                <w:b w:val="0"/>
                <w:sz w:val="22"/>
                <w:szCs w:val="22"/>
              </w:rPr>
              <w:t>ţ</w:t>
            </w:r>
            <w:r w:rsidRPr="00197C5C">
              <w:rPr>
                <w:b w:val="0"/>
                <w:sz w:val="22"/>
                <w:szCs w:val="22"/>
              </w:rPr>
              <w:t xml:space="preserve">elor din </w:t>
            </w:r>
            <w:proofErr w:type="spellStart"/>
            <w:r w:rsidRPr="00197C5C">
              <w:rPr>
                <w:b w:val="0"/>
                <w:sz w:val="22"/>
                <w:szCs w:val="22"/>
              </w:rPr>
              <w:t>Hotărîrea</w:t>
            </w:r>
            <w:proofErr w:type="spellEnd"/>
            <w:r w:rsidRPr="00197C5C">
              <w:rPr>
                <w:b w:val="0"/>
                <w:sz w:val="22"/>
                <w:szCs w:val="22"/>
              </w:rPr>
              <w:t xml:space="preserve"> Guvernului nr. 1345 din 24 noiembrie 2006, </w:t>
            </w:r>
            <w:r>
              <w:rPr>
                <w:b w:val="0"/>
                <w:sz w:val="22"/>
                <w:szCs w:val="22"/>
              </w:rPr>
              <w:t xml:space="preserve">acestea </w:t>
            </w:r>
            <w:r w:rsidRPr="00D7513A">
              <w:rPr>
                <w:b w:val="0"/>
                <w:sz w:val="22"/>
                <w:szCs w:val="22"/>
              </w:rPr>
              <w:t xml:space="preserve">vor fi modificate </w:t>
            </w:r>
            <w:r w:rsidR="00C86B7B">
              <w:rPr>
                <w:b w:val="0"/>
                <w:sz w:val="22"/>
                <w:szCs w:val="22"/>
              </w:rPr>
              <w:t>ş</w:t>
            </w:r>
            <w:r w:rsidRPr="00D7513A">
              <w:rPr>
                <w:b w:val="0"/>
                <w:sz w:val="22"/>
                <w:szCs w:val="22"/>
              </w:rPr>
              <w:t>i expuse în următoarea redac</w:t>
            </w:r>
            <w:r w:rsidR="00C86B7B">
              <w:rPr>
                <w:b w:val="0"/>
                <w:sz w:val="22"/>
                <w:szCs w:val="22"/>
              </w:rPr>
              <w:t>ţ</w:t>
            </w:r>
            <w:r w:rsidRPr="00D7513A">
              <w:rPr>
                <w:b w:val="0"/>
                <w:sz w:val="22"/>
                <w:szCs w:val="22"/>
              </w:rPr>
              <w:t>ie:</w:t>
            </w:r>
          </w:p>
          <w:p w:rsidR="00710E61" w:rsidRDefault="00710E61" w:rsidP="00710E61">
            <w:pPr>
              <w:pStyle w:val="ab"/>
              <w:tabs>
                <w:tab w:val="left" w:pos="0"/>
              </w:tabs>
              <w:jc w:val="both"/>
              <w:rPr>
                <w:b w:val="0"/>
                <w:sz w:val="22"/>
                <w:szCs w:val="22"/>
              </w:rPr>
            </w:pPr>
            <w:r>
              <w:rPr>
                <w:b w:val="0"/>
                <w:sz w:val="22"/>
                <w:szCs w:val="22"/>
              </w:rPr>
              <w:t>– Clauza proiectului Regulamentului sanitar privind produsele cosmetice: „Regulamentul sanitar transpune par</w:t>
            </w:r>
            <w:r w:rsidR="00C86B7B">
              <w:rPr>
                <w:b w:val="0"/>
                <w:sz w:val="22"/>
                <w:szCs w:val="22"/>
              </w:rPr>
              <w:t>ţ</w:t>
            </w:r>
            <w:r>
              <w:rPr>
                <w:b w:val="0"/>
                <w:sz w:val="22"/>
                <w:szCs w:val="22"/>
              </w:rPr>
              <w:t xml:space="preserve">ial </w:t>
            </w:r>
            <w:r w:rsidRPr="00197C5C">
              <w:rPr>
                <w:b w:val="0"/>
                <w:sz w:val="22"/>
                <w:szCs w:val="22"/>
              </w:rPr>
              <w:t xml:space="preserve">Regulamentul (CE) nr. 1223/2009 al Parlamentului European </w:t>
            </w:r>
            <w:r w:rsidR="00C86B7B">
              <w:rPr>
                <w:b w:val="0"/>
                <w:sz w:val="22"/>
                <w:szCs w:val="22"/>
              </w:rPr>
              <w:t>ş</w:t>
            </w:r>
            <w:r w:rsidRPr="00197C5C">
              <w:rPr>
                <w:b w:val="0"/>
                <w:sz w:val="22"/>
                <w:szCs w:val="22"/>
              </w:rPr>
              <w:t>i al Consiliului din 30 noiembrie 2009 privind produsele cosmetice (Text cu relevan</w:t>
            </w:r>
            <w:r w:rsidR="00C86B7B">
              <w:rPr>
                <w:b w:val="0"/>
                <w:sz w:val="22"/>
                <w:szCs w:val="22"/>
              </w:rPr>
              <w:t>ţ</w:t>
            </w:r>
            <w:r w:rsidRPr="00197C5C">
              <w:rPr>
                <w:b w:val="0"/>
                <w:sz w:val="22"/>
                <w:szCs w:val="22"/>
              </w:rPr>
              <w:t>ă pentru SEE), publicat în Jurnalul Oficial al Uniunii Europene L 342 din 22 decembrie 2009</w:t>
            </w:r>
            <w:r>
              <w:rPr>
                <w:b w:val="0"/>
                <w:sz w:val="22"/>
                <w:szCs w:val="22"/>
              </w:rPr>
              <w:t>”. În măsura în care vor fi luate în considerare toate obiec</w:t>
            </w:r>
            <w:r w:rsidR="00C86B7B">
              <w:rPr>
                <w:b w:val="0"/>
                <w:sz w:val="22"/>
                <w:szCs w:val="22"/>
              </w:rPr>
              <w:t>ţ</w:t>
            </w:r>
            <w:r>
              <w:rPr>
                <w:b w:val="0"/>
                <w:sz w:val="22"/>
                <w:szCs w:val="22"/>
              </w:rPr>
              <w:t>iile formulate de prezenta Declara</w:t>
            </w:r>
            <w:r w:rsidR="00C86B7B">
              <w:rPr>
                <w:b w:val="0"/>
                <w:sz w:val="22"/>
                <w:szCs w:val="22"/>
              </w:rPr>
              <w:t>ţ</w:t>
            </w:r>
            <w:r>
              <w:rPr>
                <w:b w:val="0"/>
                <w:sz w:val="22"/>
                <w:szCs w:val="22"/>
              </w:rPr>
              <w:t xml:space="preserve">ie, precum </w:t>
            </w:r>
            <w:r w:rsidR="00C86B7B">
              <w:rPr>
                <w:b w:val="0"/>
                <w:sz w:val="22"/>
                <w:szCs w:val="22"/>
              </w:rPr>
              <w:t>ş</w:t>
            </w:r>
            <w:r>
              <w:rPr>
                <w:b w:val="0"/>
                <w:sz w:val="22"/>
                <w:szCs w:val="22"/>
              </w:rPr>
              <w:t xml:space="preserve">i se va asigura transpunerea modificărilor </w:t>
            </w:r>
            <w:r w:rsidR="00C86B7B">
              <w:rPr>
                <w:b w:val="0"/>
                <w:sz w:val="22"/>
                <w:szCs w:val="22"/>
              </w:rPr>
              <w:t>ş</w:t>
            </w:r>
            <w:r>
              <w:rPr>
                <w:b w:val="0"/>
                <w:sz w:val="22"/>
                <w:szCs w:val="22"/>
              </w:rPr>
              <w:t xml:space="preserve">i completărilor aduse </w:t>
            </w:r>
            <w:r w:rsidRPr="00E976C1">
              <w:rPr>
                <w:b w:val="0"/>
                <w:sz w:val="22"/>
                <w:szCs w:val="22"/>
              </w:rPr>
              <w:t>Regulamentul</w:t>
            </w:r>
            <w:r>
              <w:rPr>
                <w:b w:val="0"/>
                <w:sz w:val="22"/>
                <w:szCs w:val="22"/>
              </w:rPr>
              <w:t>ui (CE) nr. 1223/2009,</w:t>
            </w:r>
            <w:r w:rsidRPr="00E976C1">
              <w:rPr>
                <w:b w:val="0"/>
                <w:sz w:val="22"/>
                <w:szCs w:val="22"/>
              </w:rPr>
              <w:t xml:space="preserve"> </w:t>
            </w:r>
            <w:r>
              <w:rPr>
                <w:b w:val="0"/>
                <w:sz w:val="22"/>
                <w:szCs w:val="22"/>
              </w:rPr>
              <w:t xml:space="preserve">clauza de armonizare va reflecta gradul de transpunere – </w:t>
            </w:r>
            <w:r w:rsidRPr="00D7513A">
              <w:rPr>
                <w:b w:val="0"/>
                <w:sz w:val="22"/>
                <w:szCs w:val="22"/>
              </w:rPr>
              <w:t>„transpune”;</w:t>
            </w:r>
          </w:p>
          <w:p w:rsidR="00710E61" w:rsidRDefault="00710E61" w:rsidP="00710E61">
            <w:pPr>
              <w:pStyle w:val="ab"/>
              <w:tabs>
                <w:tab w:val="left" w:pos="0"/>
              </w:tabs>
              <w:jc w:val="both"/>
              <w:rPr>
                <w:b w:val="0"/>
                <w:sz w:val="22"/>
                <w:szCs w:val="22"/>
              </w:rPr>
            </w:pPr>
            <w:r>
              <w:rPr>
                <w:b w:val="0"/>
                <w:sz w:val="22"/>
                <w:szCs w:val="22"/>
              </w:rPr>
              <w:t xml:space="preserve">– </w:t>
            </w:r>
            <w:r w:rsidRPr="009F47C8">
              <w:rPr>
                <w:b w:val="0"/>
                <w:sz w:val="22"/>
                <w:szCs w:val="22"/>
              </w:rPr>
              <w:t>Metodele de analiză necesare pentru verificarea compozi</w:t>
            </w:r>
            <w:r w:rsidR="00C86B7B">
              <w:rPr>
                <w:b w:val="0"/>
                <w:sz w:val="22"/>
                <w:szCs w:val="22"/>
              </w:rPr>
              <w:t>ţ</w:t>
            </w:r>
            <w:r w:rsidRPr="009F47C8">
              <w:rPr>
                <w:b w:val="0"/>
                <w:sz w:val="22"/>
                <w:szCs w:val="22"/>
              </w:rPr>
              <w:t>i</w:t>
            </w:r>
            <w:r>
              <w:rPr>
                <w:b w:val="0"/>
                <w:sz w:val="22"/>
                <w:szCs w:val="22"/>
              </w:rPr>
              <w:t>ei produselor cosmetice:</w:t>
            </w:r>
          </w:p>
          <w:p w:rsidR="00710E61" w:rsidRPr="008C3121" w:rsidRDefault="00710E61" w:rsidP="00710E61">
            <w:pPr>
              <w:pStyle w:val="ab"/>
              <w:tabs>
                <w:tab w:val="left" w:pos="0"/>
              </w:tabs>
              <w:jc w:val="both"/>
              <w:rPr>
                <w:b w:val="0"/>
                <w:sz w:val="22"/>
                <w:szCs w:val="22"/>
              </w:rPr>
            </w:pPr>
            <w:r>
              <w:rPr>
                <w:b w:val="0"/>
                <w:sz w:val="22"/>
                <w:szCs w:val="22"/>
              </w:rPr>
              <w:t xml:space="preserve"> (I) </w:t>
            </w:r>
            <w:r w:rsidRPr="008C3121">
              <w:rPr>
                <w:sz w:val="22"/>
                <w:szCs w:val="22"/>
              </w:rPr>
              <w:t>Anexa nr. 2</w:t>
            </w:r>
            <w:r>
              <w:rPr>
                <w:b w:val="0"/>
                <w:sz w:val="22"/>
                <w:szCs w:val="22"/>
              </w:rPr>
              <w:t xml:space="preserve"> transpune </w:t>
            </w:r>
            <w:r w:rsidRPr="008C3121">
              <w:rPr>
                <w:b w:val="0"/>
                <w:sz w:val="22"/>
                <w:szCs w:val="22"/>
              </w:rPr>
              <w:t>Prima Directivă a Comisiei din 22 Decembrie 1980 privind apropierea legisla</w:t>
            </w:r>
            <w:r w:rsidR="00C86B7B">
              <w:rPr>
                <w:b w:val="0"/>
                <w:sz w:val="22"/>
                <w:szCs w:val="22"/>
              </w:rPr>
              <w:t>ţ</w:t>
            </w:r>
            <w:r w:rsidRPr="008C3121">
              <w:rPr>
                <w:b w:val="0"/>
                <w:sz w:val="22"/>
                <w:szCs w:val="22"/>
              </w:rPr>
              <w:t>iei statelor membre cu privire la metodele de analiză necesare pentru verificarea compozi</w:t>
            </w:r>
            <w:r w:rsidR="00C86B7B">
              <w:rPr>
                <w:b w:val="0"/>
                <w:sz w:val="22"/>
                <w:szCs w:val="22"/>
              </w:rPr>
              <w:t>ţ</w:t>
            </w:r>
            <w:r w:rsidRPr="008C3121">
              <w:rPr>
                <w:b w:val="0"/>
                <w:sz w:val="22"/>
                <w:szCs w:val="22"/>
              </w:rPr>
              <w:t>iei produselor cosmetice, publicată în Jurnalul Oficial al Uniunii Europene L 383 din 31 decembrie 1980</w:t>
            </w:r>
            <w:r>
              <w:rPr>
                <w:b w:val="0"/>
                <w:sz w:val="22"/>
                <w:szCs w:val="22"/>
              </w:rPr>
              <w:t>”.</w:t>
            </w:r>
          </w:p>
          <w:p w:rsidR="00710E61" w:rsidRPr="008C3121" w:rsidRDefault="00710E61" w:rsidP="00710E61">
            <w:pPr>
              <w:pStyle w:val="ab"/>
              <w:tabs>
                <w:tab w:val="left" w:pos="0"/>
              </w:tabs>
              <w:jc w:val="both"/>
              <w:rPr>
                <w:b w:val="0"/>
                <w:sz w:val="22"/>
                <w:szCs w:val="22"/>
              </w:rPr>
            </w:pPr>
            <w:r w:rsidRPr="008C3121">
              <w:rPr>
                <w:b w:val="0"/>
                <w:sz w:val="22"/>
                <w:szCs w:val="22"/>
              </w:rPr>
              <w:t xml:space="preserve">(II) </w:t>
            </w:r>
            <w:r w:rsidRPr="008C3121">
              <w:rPr>
                <w:sz w:val="22"/>
                <w:szCs w:val="22"/>
              </w:rPr>
              <w:t>Anexa nr. 3</w:t>
            </w:r>
            <w:r>
              <w:rPr>
                <w:b w:val="0"/>
                <w:sz w:val="22"/>
                <w:szCs w:val="22"/>
              </w:rPr>
              <w:t xml:space="preserve"> transpune</w:t>
            </w:r>
            <w:r w:rsidRPr="008C3121">
              <w:rPr>
                <w:b w:val="0"/>
                <w:sz w:val="22"/>
                <w:szCs w:val="22"/>
              </w:rPr>
              <w:t xml:space="preserve"> A doua directivă a Comisiei din 14 mai 1982 privind apropierea legisla</w:t>
            </w:r>
            <w:r w:rsidR="00C86B7B">
              <w:rPr>
                <w:b w:val="0"/>
                <w:sz w:val="22"/>
                <w:szCs w:val="22"/>
              </w:rPr>
              <w:t>ţ</w:t>
            </w:r>
            <w:r w:rsidRPr="008C3121">
              <w:rPr>
                <w:b w:val="0"/>
                <w:sz w:val="22"/>
                <w:szCs w:val="22"/>
              </w:rPr>
              <w:t>iei statelor membre cu privire la metodele de analiză necesare pentru verificarea compozi</w:t>
            </w:r>
            <w:r w:rsidR="00C86B7B">
              <w:rPr>
                <w:b w:val="0"/>
                <w:sz w:val="22"/>
                <w:szCs w:val="22"/>
              </w:rPr>
              <w:t>ţ</w:t>
            </w:r>
            <w:r w:rsidRPr="008C3121">
              <w:rPr>
                <w:b w:val="0"/>
                <w:sz w:val="22"/>
                <w:szCs w:val="22"/>
              </w:rPr>
              <w:t>iei produselor cosmetice, publicată în Jurnalul Oficial al Uniunii Europene L</w:t>
            </w:r>
            <w:r w:rsidRPr="008C3121">
              <w:rPr>
                <w:sz w:val="22"/>
                <w:szCs w:val="22"/>
              </w:rPr>
              <w:t xml:space="preserve"> </w:t>
            </w:r>
            <w:r w:rsidRPr="008C3121">
              <w:rPr>
                <w:b w:val="0"/>
                <w:sz w:val="22"/>
                <w:szCs w:val="22"/>
              </w:rPr>
              <w:t>185 din 30 iunie 1982</w:t>
            </w:r>
            <w:r>
              <w:rPr>
                <w:b w:val="0"/>
                <w:sz w:val="22"/>
                <w:szCs w:val="22"/>
              </w:rPr>
              <w:t>”.</w:t>
            </w:r>
          </w:p>
          <w:p w:rsidR="00710E61" w:rsidRPr="008C3121" w:rsidRDefault="00710E61" w:rsidP="00710E61">
            <w:pPr>
              <w:pStyle w:val="ab"/>
              <w:tabs>
                <w:tab w:val="left" w:pos="0"/>
              </w:tabs>
              <w:jc w:val="both"/>
              <w:rPr>
                <w:b w:val="0"/>
                <w:sz w:val="22"/>
                <w:szCs w:val="22"/>
              </w:rPr>
            </w:pPr>
            <w:r w:rsidRPr="008C3121">
              <w:rPr>
                <w:b w:val="0"/>
                <w:sz w:val="22"/>
                <w:szCs w:val="22"/>
              </w:rPr>
              <w:t xml:space="preserve">(III) </w:t>
            </w:r>
            <w:r w:rsidRPr="008C3121">
              <w:rPr>
                <w:sz w:val="22"/>
                <w:szCs w:val="22"/>
              </w:rPr>
              <w:t>Anexa nr. 4</w:t>
            </w:r>
            <w:r w:rsidRPr="008C3121">
              <w:rPr>
                <w:b w:val="0"/>
                <w:sz w:val="22"/>
                <w:szCs w:val="22"/>
              </w:rPr>
              <w:t xml:space="preserve"> </w:t>
            </w:r>
            <w:r>
              <w:rPr>
                <w:b w:val="0"/>
                <w:sz w:val="22"/>
                <w:szCs w:val="22"/>
              </w:rPr>
              <w:t xml:space="preserve">transpune </w:t>
            </w:r>
            <w:r w:rsidRPr="008C3121">
              <w:rPr>
                <w:b w:val="0"/>
                <w:sz w:val="22"/>
                <w:szCs w:val="22"/>
              </w:rPr>
              <w:t>A treia Directivă a Comisiei din 27 septembrie 1983 privind apropierea legisla</w:t>
            </w:r>
            <w:r w:rsidR="00C86B7B">
              <w:rPr>
                <w:b w:val="0"/>
                <w:sz w:val="22"/>
                <w:szCs w:val="22"/>
              </w:rPr>
              <w:t>ţ</w:t>
            </w:r>
            <w:r w:rsidRPr="008C3121">
              <w:rPr>
                <w:b w:val="0"/>
                <w:sz w:val="22"/>
                <w:szCs w:val="22"/>
              </w:rPr>
              <w:t>iei statelor membre cu privire la metodele de analiză necesare pentru controlul compozi</w:t>
            </w:r>
            <w:r w:rsidR="00C86B7B">
              <w:rPr>
                <w:b w:val="0"/>
                <w:sz w:val="22"/>
                <w:szCs w:val="22"/>
              </w:rPr>
              <w:t>ţ</w:t>
            </w:r>
            <w:r w:rsidRPr="008C3121">
              <w:rPr>
                <w:b w:val="0"/>
                <w:sz w:val="22"/>
                <w:szCs w:val="22"/>
              </w:rPr>
              <w:t>iei produselor cosmetice, publicată în Jurnalul Oficial al Uniunii Europene L 291 din 24 octombrie 1983</w:t>
            </w:r>
            <w:r>
              <w:rPr>
                <w:b w:val="0"/>
                <w:sz w:val="22"/>
                <w:szCs w:val="22"/>
              </w:rPr>
              <w:t>.</w:t>
            </w:r>
          </w:p>
          <w:p w:rsidR="00710E61" w:rsidRPr="008C3121" w:rsidRDefault="00710E61" w:rsidP="00710E61">
            <w:pPr>
              <w:pStyle w:val="ab"/>
              <w:tabs>
                <w:tab w:val="left" w:pos="0"/>
              </w:tabs>
              <w:jc w:val="both"/>
              <w:rPr>
                <w:b w:val="0"/>
                <w:sz w:val="22"/>
                <w:szCs w:val="22"/>
              </w:rPr>
            </w:pPr>
            <w:r w:rsidRPr="008C3121">
              <w:rPr>
                <w:b w:val="0"/>
                <w:sz w:val="22"/>
                <w:szCs w:val="22"/>
              </w:rPr>
              <w:t xml:space="preserve">(IV) </w:t>
            </w:r>
            <w:r w:rsidRPr="008C3121">
              <w:rPr>
                <w:sz w:val="22"/>
                <w:szCs w:val="22"/>
              </w:rPr>
              <w:t>Anexa nr. 5</w:t>
            </w:r>
            <w:r>
              <w:rPr>
                <w:b w:val="0"/>
                <w:sz w:val="22"/>
                <w:szCs w:val="22"/>
              </w:rPr>
              <w:t xml:space="preserve"> transpune</w:t>
            </w:r>
            <w:r w:rsidRPr="008C3121">
              <w:rPr>
                <w:b w:val="0"/>
                <w:sz w:val="22"/>
                <w:szCs w:val="22"/>
              </w:rPr>
              <w:t xml:space="preserve">  A Patra Directivă a Comisiei din 11 octombrie 1985 privind apropierea legisla</w:t>
            </w:r>
            <w:r w:rsidR="00C86B7B">
              <w:rPr>
                <w:b w:val="0"/>
                <w:sz w:val="22"/>
                <w:szCs w:val="22"/>
              </w:rPr>
              <w:t>ţ</w:t>
            </w:r>
            <w:r w:rsidRPr="008C3121">
              <w:rPr>
                <w:b w:val="0"/>
                <w:sz w:val="22"/>
                <w:szCs w:val="22"/>
              </w:rPr>
              <w:t>iei statelor membre cu privire la metodele de analiză necesare pentru controlul compozi</w:t>
            </w:r>
            <w:r w:rsidR="00C86B7B">
              <w:rPr>
                <w:b w:val="0"/>
                <w:sz w:val="22"/>
                <w:szCs w:val="22"/>
              </w:rPr>
              <w:t>ţ</w:t>
            </w:r>
            <w:r w:rsidRPr="008C3121">
              <w:rPr>
                <w:b w:val="0"/>
                <w:sz w:val="22"/>
                <w:szCs w:val="22"/>
              </w:rPr>
              <w:t>iei produselor cosmetice, publicată în Jurnalul Oficial al Uniunii Europene L</w:t>
            </w:r>
            <w:r>
              <w:rPr>
                <w:b w:val="0"/>
                <w:sz w:val="22"/>
                <w:szCs w:val="22"/>
              </w:rPr>
              <w:t xml:space="preserve"> 295 din 7 noiembrie 1985.</w:t>
            </w:r>
          </w:p>
          <w:p w:rsidR="00710E61" w:rsidRPr="008C3121" w:rsidRDefault="00710E61" w:rsidP="00710E61">
            <w:pPr>
              <w:pStyle w:val="ab"/>
              <w:tabs>
                <w:tab w:val="left" w:pos="0"/>
              </w:tabs>
              <w:jc w:val="both"/>
              <w:rPr>
                <w:b w:val="0"/>
                <w:sz w:val="22"/>
                <w:szCs w:val="22"/>
              </w:rPr>
            </w:pPr>
            <w:r w:rsidRPr="008C3121">
              <w:rPr>
                <w:b w:val="0"/>
                <w:sz w:val="22"/>
                <w:szCs w:val="22"/>
              </w:rPr>
              <w:lastRenderedPageBreak/>
              <w:t xml:space="preserve">(V) </w:t>
            </w:r>
            <w:r w:rsidRPr="008C3121">
              <w:rPr>
                <w:sz w:val="22"/>
                <w:szCs w:val="22"/>
              </w:rPr>
              <w:t>Anexa nr. 6</w:t>
            </w:r>
            <w:r>
              <w:rPr>
                <w:b w:val="0"/>
                <w:sz w:val="22"/>
                <w:szCs w:val="22"/>
              </w:rPr>
              <w:t xml:space="preserve"> transpune</w:t>
            </w:r>
            <w:r w:rsidRPr="008C3121">
              <w:rPr>
                <w:b w:val="0"/>
                <w:sz w:val="22"/>
                <w:szCs w:val="22"/>
              </w:rPr>
              <w:t xml:space="preserve"> A </w:t>
            </w:r>
            <w:proofErr w:type="spellStart"/>
            <w:r w:rsidRPr="008C3121">
              <w:rPr>
                <w:b w:val="0"/>
                <w:sz w:val="22"/>
                <w:szCs w:val="22"/>
              </w:rPr>
              <w:t>cincea</w:t>
            </w:r>
            <w:proofErr w:type="spellEnd"/>
            <w:r w:rsidRPr="008C3121">
              <w:rPr>
                <w:b w:val="0"/>
                <w:sz w:val="22"/>
                <w:szCs w:val="22"/>
              </w:rPr>
              <w:t xml:space="preserve"> Directivă 93/73/CEE a Comisiei din 9 septembrie 1993 privind metodele de analiză necesare pentru controlul compozi</w:t>
            </w:r>
            <w:r w:rsidR="00C86B7B">
              <w:rPr>
                <w:b w:val="0"/>
                <w:sz w:val="22"/>
                <w:szCs w:val="22"/>
              </w:rPr>
              <w:t>ţ</w:t>
            </w:r>
            <w:r w:rsidRPr="008C3121">
              <w:rPr>
                <w:b w:val="0"/>
                <w:sz w:val="22"/>
                <w:szCs w:val="22"/>
              </w:rPr>
              <w:t>iei produselor cosmetice, publicată în Jurnalul Oficial al Uniunii Europene L</w:t>
            </w:r>
            <w:r>
              <w:rPr>
                <w:b w:val="0"/>
                <w:sz w:val="22"/>
                <w:szCs w:val="22"/>
              </w:rPr>
              <w:t xml:space="preserve"> 231 din 14 septembrie 1993.</w:t>
            </w:r>
          </w:p>
          <w:p w:rsidR="00710E61" w:rsidRPr="008C3121" w:rsidRDefault="00710E61" w:rsidP="00710E61">
            <w:pPr>
              <w:pStyle w:val="ab"/>
              <w:tabs>
                <w:tab w:val="left" w:pos="0"/>
              </w:tabs>
              <w:jc w:val="both"/>
              <w:rPr>
                <w:b w:val="0"/>
                <w:sz w:val="22"/>
                <w:szCs w:val="22"/>
              </w:rPr>
            </w:pPr>
            <w:r w:rsidRPr="008C3121">
              <w:rPr>
                <w:b w:val="0"/>
                <w:sz w:val="22"/>
                <w:szCs w:val="22"/>
              </w:rPr>
              <w:t xml:space="preserve">(VI) </w:t>
            </w:r>
            <w:r w:rsidRPr="008C3121">
              <w:rPr>
                <w:sz w:val="22"/>
                <w:szCs w:val="22"/>
              </w:rPr>
              <w:t>Anexa nr. 7</w:t>
            </w:r>
            <w:r>
              <w:rPr>
                <w:b w:val="0"/>
                <w:sz w:val="22"/>
                <w:szCs w:val="22"/>
              </w:rPr>
              <w:t xml:space="preserve"> transpune</w:t>
            </w:r>
            <w:r w:rsidRPr="008C3121">
              <w:rPr>
                <w:b w:val="0"/>
                <w:sz w:val="22"/>
                <w:szCs w:val="22"/>
              </w:rPr>
              <w:t xml:space="preserve"> A </w:t>
            </w:r>
            <w:r w:rsidR="00C86B7B">
              <w:rPr>
                <w:b w:val="0"/>
                <w:sz w:val="22"/>
                <w:szCs w:val="22"/>
              </w:rPr>
              <w:t>ş</w:t>
            </w:r>
            <w:r w:rsidRPr="008C3121">
              <w:rPr>
                <w:b w:val="0"/>
                <w:sz w:val="22"/>
                <w:szCs w:val="22"/>
              </w:rPr>
              <w:t>asea Directivă 95/32/CE a Comisiei din 7 iulie 1995 privind metodele de analiză necesare pentru controlul compozi</w:t>
            </w:r>
            <w:r w:rsidR="00C86B7B">
              <w:rPr>
                <w:b w:val="0"/>
                <w:sz w:val="22"/>
                <w:szCs w:val="22"/>
              </w:rPr>
              <w:t>ţ</w:t>
            </w:r>
            <w:r w:rsidRPr="008C3121">
              <w:rPr>
                <w:b w:val="0"/>
                <w:sz w:val="22"/>
                <w:szCs w:val="22"/>
              </w:rPr>
              <w:t>iei produselor cosmetice (Text cu relevan</w:t>
            </w:r>
            <w:r w:rsidR="00C86B7B">
              <w:rPr>
                <w:b w:val="0"/>
                <w:sz w:val="22"/>
                <w:szCs w:val="22"/>
              </w:rPr>
              <w:t>ţ</w:t>
            </w:r>
            <w:r w:rsidRPr="008C3121">
              <w:rPr>
                <w:b w:val="0"/>
                <w:sz w:val="22"/>
                <w:szCs w:val="22"/>
              </w:rPr>
              <w:t>ă pentru SEE),  publicată în Jurnalul Oficial al Uniunii Europene L</w:t>
            </w:r>
            <w:r>
              <w:rPr>
                <w:b w:val="0"/>
                <w:sz w:val="22"/>
                <w:szCs w:val="22"/>
              </w:rPr>
              <w:t xml:space="preserve"> 178 din 28 iulie 1995.</w:t>
            </w:r>
          </w:p>
          <w:p w:rsidR="00710E61" w:rsidRDefault="00710E61" w:rsidP="00710E61">
            <w:pPr>
              <w:pStyle w:val="ab"/>
              <w:tabs>
                <w:tab w:val="left" w:pos="0"/>
              </w:tabs>
              <w:jc w:val="both"/>
              <w:rPr>
                <w:b w:val="0"/>
                <w:sz w:val="22"/>
                <w:szCs w:val="22"/>
              </w:rPr>
            </w:pPr>
            <w:r w:rsidRPr="008C3121">
              <w:rPr>
                <w:b w:val="0"/>
                <w:sz w:val="22"/>
                <w:szCs w:val="22"/>
              </w:rPr>
              <w:t xml:space="preserve">(VII) </w:t>
            </w:r>
            <w:r w:rsidRPr="008C3121">
              <w:rPr>
                <w:sz w:val="22"/>
                <w:szCs w:val="22"/>
              </w:rPr>
              <w:t>Anexa nr. 8</w:t>
            </w:r>
            <w:r>
              <w:rPr>
                <w:b w:val="0"/>
                <w:sz w:val="22"/>
                <w:szCs w:val="22"/>
              </w:rPr>
              <w:t xml:space="preserve"> transpune</w:t>
            </w:r>
            <w:r w:rsidRPr="008C3121">
              <w:rPr>
                <w:b w:val="0"/>
                <w:sz w:val="22"/>
                <w:szCs w:val="22"/>
              </w:rPr>
              <w:t xml:space="preserve"> Directiva a </w:t>
            </w:r>
            <w:r w:rsidR="00C86B7B">
              <w:rPr>
                <w:b w:val="0"/>
                <w:sz w:val="22"/>
                <w:szCs w:val="22"/>
              </w:rPr>
              <w:t>ş</w:t>
            </w:r>
            <w:r w:rsidRPr="008C3121">
              <w:rPr>
                <w:b w:val="0"/>
                <w:sz w:val="22"/>
                <w:szCs w:val="22"/>
              </w:rPr>
              <w:t>aptea 96/45/CE a Comisiei din 2 iulie 1996 privind metodele de analiză necesare pentru controlul compozi</w:t>
            </w:r>
            <w:r w:rsidR="00C86B7B">
              <w:rPr>
                <w:b w:val="0"/>
                <w:sz w:val="22"/>
                <w:szCs w:val="22"/>
              </w:rPr>
              <w:t>ţ</w:t>
            </w:r>
            <w:r w:rsidRPr="008C3121">
              <w:rPr>
                <w:b w:val="0"/>
                <w:sz w:val="22"/>
                <w:szCs w:val="22"/>
              </w:rPr>
              <w:t>iei produselor cosmetice (Text cu relevan</w:t>
            </w:r>
            <w:r w:rsidR="00C86B7B">
              <w:rPr>
                <w:b w:val="0"/>
                <w:sz w:val="22"/>
                <w:szCs w:val="22"/>
              </w:rPr>
              <w:t>ţ</w:t>
            </w:r>
            <w:r w:rsidRPr="008C3121">
              <w:rPr>
                <w:b w:val="0"/>
                <w:sz w:val="22"/>
                <w:szCs w:val="22"/>
              </w:rPr>
              <w:t>ă pentru SEE), publicată în Jurnalul Oficial al Uniunii Europene L 213 din 22 august 1996</w:t>
            </w:r>
            <w:r>
              <w:rPr>
                <w:b w:val="0"/>
                <w:sz w:val="22"/>
                <w:szCs w:val="22"/>
              </w:rPr>
              <w:t>.</w:t>
            </w:r>
          </w:p>
          <w:p w:rsidR="00813E0A" w:rsidRDefault="00813E0A" w:rsidP="00710E61">
            <w:pPr>
              <w:spacing w:after="160" w:line="259" w:lineRule="auto"/>
              <w:contextualSpacing/>
              <w:jc w:val="both"/>
            </w:pPr>
          </w:p>
          <w:p w:rsidR="00632330" w:rsidRDefault="00632330" w:rsidP="00710E61">
            <w:pPr>
              <w:spacing w:after="160" w:line="259" w:lineRule="auto"/>
              <w:contextualSpacing/>
              <w:jc w:val="both"/>
            </w:pPr>
          </w:p>
          <w:p w:rsidR="00632330" w:rsidRPr="00545238" w:rsidRDefault="00632330" w:rsidP="00710E61">
            <w:pPr>
              <w:spacing w:after="160" w:line="259" w:lineRule="auto"/>
              <w:contextualSpacing/>
              <w:jc w:val="both"/>
            </w:pPr>
          </w:p>
        </w:tc>
        <w:tc>
          <w:tcPr>
            <w:tcW w:w="3261" w:type="dxa"/>
          </w:tcPr>
          <w:p w:rsidR="00845482" w:rsidRDefault="00845482"/>
          <w:p w:rsidR="00671A04" w:rsidRDefault="00671A04"/>
          <w:p w:rsidR="00671A04" w:rsidRDefault="00755917" w:rsidP="009E3622">
            <w:pPr>
              <w:pStyle w:val="aa"/>
              <w:numPr>
                <w:ilvl w:val="0"/>
                <w:numId w:val="28"/>
              </w:numPr>
              <w:ind w:left="176" w:hanging="176"/>
            </w:pPr>
            <w:r>
              <w:t>S</w:t>
            </w:r>
            <w:r w:rsidR="003A1C18">
              <w:t>e acceptă</w:t>
            </w:r>
          </w:p>
          <w:p w:rsidR="009E3622" w:rsidRDefault="009E3622" w:rsidP="00870268">
            <w:pPr>
              <w:pStyle w:val="aa"/>
              <w:ind w:left="176"/>
            </w:pPr>
          </w:p>
          <w:p w:rsidR="00755917" w:rsidRDefault="00755917" w:rsidP="00870268">
            <w:pPr>
              <w:pStyle w:val="aa"/>
              <w:ind w:left="176"/>
            </w:pPr>
          </w:p>
          <w:p w:rsidR="00755917" w:rsidRDefault="00755917" w:rsidP="00870268">
            <w:pPr>
              <w:pStyle w:val="aa"/>
              <w:ind w:left="176"/>
            </w:pPr>
          </w:p>
          <w:p w:rsidR="00755917" w:rsidRDefault="00755917" w:rsidP="00870268">
            <w:pPr>
              <w:pStyle w:val="aa"/>
              <w:ind w:left="176"/>
            </w:pPr>
          </w:p>
          <w:p w:rsidR="00755917" w:rsidRDefault="00755917" w:rsidP="00870268">
            <w:pPr>
              <w:pStyle w:val="aa"/>
              <w:ind w:left="176"/>
            </w:pPr>
          </w:p>
          <w:p w:rsidR="00755917" w:rsidRDefault="00755917" w:rsidP="00870268">
            <w:pPr>
              <w:pStyle w:val="aa"/>
              <w:ind w:left="176"/>
            </w:pPr>
          </w:p>
          <w:p w:rsidR="00755917" w:rsidRDefault="00755917" w:rsidP="00870268">
            <w:pPr>
              <w:pStyle w:val="aa"/>
              <w:ind w:left="176"/>
            </w:pPr>
          </w:p>
          <w:p w:rsidR="00755917" w:rsidRDefault="00755917" w:rsidP="00870268">
            <w:pPr>
              <w:pStyle w:val="aa"/>
              <w:ind w:left="176"/>
            </w:pPr>
          </w:p>
          <w:p w:rsidR="00755917" w:rsidRDefault="00755917" w:rsidP="00870268">
            <w:pPr>
              <w:pStyle w:val="aa"/>
              <w:ind w:left="176"/>
            </w:pPr>
          </w:p>
          <w:p w:rsidR="00755917" w:rsidRDefault="00755917" w:rsidP="00870268">
            <w:pPr>
              <w:pStyle w:val="aa"/>
              <w:ind w:left="176"/>
            </w:pPr>
          </w:p>
          <w:p w:rsidR="00755917" w:rsidRDefault="00755917" w:rsidP="00870268">
            <w:pPr>
              <w:pStyle w:val="aa"/>
              <w:ind w:left="176"/>
            </w:pPr>
          </w:p>
          <w:p w:rsidR="00755917" w:rsidRDefault="00755917" w:rsidP="00870268">
            <w:pPr>
              <w:pStyle w:val="aa"/>
              <w:ind w:left="176"/>
            </w:pPr>
          </w:p>
          <w:p w:rsidR="00755917" w:rsidRDefault="00755917" w:rsidP="00870268">
            <w:pPr>
              <w:pStyle w:val="aa"/>
              <w:ind w:left="176"/>
            </w:pPr>
          </w:p>
          <w:p w:rsidR="00755917" w:rsidRDefault="00755917" w:rsidP="00870268">
            <w:pPr>
              <w:pStyle w:val="aa"/>
              <w:ind w:left="176"/>
            </w:pPr>
          </w:p>
          <w:p w:rsidR="00755917" w:rsidRDefault="00755917" w:rsidP="00755917">
            <w:r>
              <w:t>Se acceptă</w:t>
            </w:r>
          </w:p>
          <w:p w:rsidR="00755917" w:rsidRDefault="00755917" w:rsidP="00755917"/>
          <w:p w:rsidR="00755917" w:rsidRDefault="00755917" w:rsidP="00755917"/>
          <w:p w:rsidR="00755917" w:rsidRDefault="00755917" w:rsidP="00755917"/>
          <w:p w:rsidR="00755917" w:rsidRDefault="00755917" w:rsidP="00755917"/>
          <w:p w:rsidR="00755917" w:rsidRDefault="00755917" w:rsidP="00755917"/>
          <w:p w:rsidR="00755917" w:rsidRDefault="00755917" w:rsidP="00755917"/>
          <w:p w:rsidR="00755917" w:rsidRDefault="00755917" w:rsidP="00755917"/>
          <w:p w:rsidR="00755917" w:rsidRDefault="00755917" w:rsidP="00755917">
            <w:r>
              <w:t>Se acceptă</w:t>
            </w:r>
          </w:p>
          <w:p w:rsidR="00755917" w:rsidRDefault="00755917" w:rsidP="00755917"/>
          <w:p w:rsidR="00755917" w:rsidRDefault="00755917" w:rsidP="00755917"/>
          <w:p w:rsidR="00755917" w:rsidRDefault="00755917" w:rsidP="00755917"/>
          <w:p w:rsidR="00755917" w:rsidRDefault="00755917" w:rsidP="00755917"/>
          <w:p w:rsidR="00755917" w:rsidRDefault="00755917" w:rsidP="00755917"/>
          <w:p w:rsidR="00755917" w:rsidRDefault="00755917" w:rsidP="00755917"/>
          <w:p w:rsidR="00755917" w:rsidRDefault="00755917" w:rsidP="00755917"/>
          <w:p w:rsidR="00755917" w:rsidRDefault="00755917" w:rsidP="00755917"/>
          <w:p w:rsidR="00755917" w:rsidRDefault="00755917" w:rsidP="00755917"/>
          <w:p w:rsidR="00755917" w:rsidRDefault="00755917" w:rsidP="00755917"/>
          <w:p w:rsidR="00755917" w:rsidRDefault="00755917" w:rsidP="00755917"/>
          <w:p w:rsidR="00755917" w:rsidRDefault="00755917" w:rsidP="00755917">
            <w:r>
              <w:t>Se acceptă</w:t>
            </w:r>
          </w:p>
          <w:p w:rsidR="00755917" w:rsidRDefault="00755917" w:rsidP="00755917"/>
          <w:p w:rsidR="00755917" w:rsidRDefault="00755917" w:rsidP="00755917"/>
          <w:p w:rsidR="00755917" w:rsidRDefault="00755917" w:rsidP="00755917"/>
          <w:p w:rsidR="00755917" w:rsidRDefault="00755917" w:rsidP="00755917"/>
          <w:p w:rsidR="00755917" w:rsidRDefault="00755917" w:rsidP="00755917"/>
          <w:p w:rsidR="00755917" w:rsidRDefault="00755917" w:rsidP="00755917">
            <w:r>
              <w:t>Se acceptă</w:t>
            </w:r>
          </w:p>
          <w:p w:rsidR="00F2045F" w:rsidRDefault="00F2045F" w:rsidP="00755917"/>
          <w:p w:rsidR="00F2045F" w:rsidRDefault="00F2045F" w:rsidP="00755917"/>
          <w:p w:rsidR="00F2045F" w:rsidRDefault="00F2045F" w:rsidP="00755917"/>
          <w:p w:rsidR="00F2045F" w:rsidRDefault="00F2045F" w:rsidP="00755917"/>
          <w:p w:rsidR="00F2045F" w:rsidRDefault="00F2045F" w:rsidP="00755917"/>
          <w:p w:rsidR="00F2045F" w:rsidRDefault="00F2045F" w:rsidP="00755917"/>
          <w:p w:rsidR="00F2045F" w:rsidRDefault="00F2045F" w:rsidP="00755917">
            <w:r>
              <w:t>Se acceptă</w:t>
            </w:r>
          </w:p>
          <w:p w:rsidR="00F2045F" w:rsidRDefault="00F2045F" w:rsidP="00755917"/>
          <w:p w:rsidR="00F2045F" w:rsidRDefault="00F2045F" w:rsidP="00755917"/>
          <w:p w:rsidR="00F2045F" w:rsidRDefault="00F2045F" w:rsidP="00755917"/>
          <w:p w:rsidR="00F2045F" w:rsidRDefault="00F2045F" w:rsidP="00755917"/>
          <w:p w:rsidR="00F2045F" w:rsidRDefault="00F2045F" w:rsidP="00755917"/>
          <w:p w:rsidR="00F2045F" w:rsidRDefault="00F2045F" w:rsidP="00755917"/>
          <w:p w:rsidR="00F2045F" w:rsidRDefault="00F2045F" w:rsidP="00755917"/>
          <w:p w:rsidR="00F2045F" w:rsidRDefault="00F2045F" w:rsidP="00755917">
            <w:r>
              <w:t>Se acceptă</w:t>
            </w:r>
          </w:p>
          <w:p w:rsidR="00F2045F" w:rsidRDefault="00F2045F" w:rsidP="00755917"/>
          <w:p w:rsidR="00F2045F" w:rsidRDefault="00F2045F" w:rsidP="00755917"/>
          <w:p w:rsidR="00F2045F" w:rsidRDefault="00F2045F" w:rsidP="00755917"/>
          <w:p w:rsidR="00F2045F" w:rsidRDefault="00F2045F" w:rsidP="00755917"/>
          <w:p w:rsidR="00F2045F" w:rsidRDefault="00F2045F" w:rsidP="00755917"/>
          <w:p w:rsidR="00F2045F" w:rsidRDefault="00F2045F" w:rsidP="00755917"/>
          <w:p w:rsidR="00F2045F" w:rsidRDefault="00F2045F" w:rsidP="00755917"/>
          <w:p w:rsidR="00F2045F" w:rsidRDefault="00F2045F" w:rsidP="00755917">
            <w:r>
              <w:t>Se acceptă</w:t>
            </w:r>
          </w:p>
          <w:p w:rsidR="00F2045F" w:rsidRDefault="00F2045F" w:rsidP="00755917"/>
          <w:p w:rsidR="00F2045F" w:rsidRDefault="00F2045F" w:rsidP="00755917"/>
          <w:p w:rsidR="00F2045F" w:rsidRDefault="00F2045F" w:rsidP="00755917"/>
          <w:p w:rsidR="00F2045F" w:rsidRDefault="00F2045F" w:rsidP="00755917"/>
          <w:p w:rsidR="00F2045F" w:rsidRDefault="00F2045F" w:rsidP="00755917"/>
          <w:p w:rsidR="00F2045F" w:rsidRDefault="00F2045F" w:rsidP="00755917">
            <w:r>
              <w:t>Se acceptă,</w:t>
            </w:r>
          </w:p>
          <w:p w:rsidR="00F2045F" w:rsidRDefault="00D7513A" w:rsidP="00755917">
            <w:r>
              <w:t xml:space="preserve">A fost </w:t>
            </w:r>
            <w:r w:rsidR="00F2045F">
              <w:t xml:space="preserve"> introdus un </w:t>
            </w:r>
            <w:r>
              <w:t>alineat nou</w:t>
            </w:r>
          </w:p>
          <w:p w:rsidR="00F2045F" w:rsidRDefault="00F2045F" w:rsidP="00755917"/>
          <w:p w:rsidR="00F2045F" w:rsidRDefault="00F2045F" w:rsidP="00755917"/>
          <w:p w:rsidR="00F2045F" w:rsidRDefault="00F2045F" w:rsidP="00755917"/>
          <w:p w:rsidR="00F2045F" w:rsidRDefault="00F2045F" w:rsidP="00755917">
            <w:r>
              <w:t>Se acceptă</w:t>
            </w:r>
          </w:p>
          <w:p w:rsidR="00F2045F" w:rsidRDefault="00F2045F" w:rsidP="00755917"/>
          <w:p w:rsidR="00F2045F" w:rsidRDefault="00F2045F" w:rsidP="00755917"/>
          <w:p w:rsidR="00F2045F" w:rsidRDefault="00F2045F" w:rsidP="00755917"/>
          <w:p w:rsidR="00F2045F" w:rsidRDefault="00F2045F" w:rsidP="00755917"/>
          <w:p w:rsidR="00F2045F" w:rsidRDefault="00F2045F" w:rsidP="00755917"/>
          <w:p w:rsidR="00F2045F" w:rsidRDefault="00F2045F" w:rsidP="00755917"/>
          <w:p w:rsidR="00F2045F" w:rsidRDefault="00F2045F" w:rsidP="00755917"/>
          <w:p w:rsidR="00F2045F" w:rsidRDefault="00F2045F" w:rsidP="00755917">
            <w:r>
              <w:t>Se acceptă</w:t>
            </w:r>
          </w:p>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r>
              <w:t>Se acceptă</w:t>
            </w:r>
          </w:p>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r>
              <w:t>Se acceptă</w:t>
            </w:r>
          </w:p>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Default="00632330" w:rsidP="00755917"/>
          <w:p w:rsidR="00632330" w:rsidRPr="00545238" w:rsidRDefault="00632330" w:rsidP="00755917">
            <w:r>
              <w:t>Se acceptă</w:t>
            </w:r>
          </w:p>
        </w:tc>
      </w:tr>
      <w:tr w:rsidR="00224574" w:rsidRPr="00545238" w:rsidTr="008126BE">
        <w:tc>
          <w:tcPr>
            <w:tcW w:w="534" w:type="dxa"/>
          </w:tcPr>
          <w:p w:rsidR="00224574" w:rsidRDefault="005965D1" w:rsidP="00A22E1B">
            <w:pPr>
              <w:jc w:val="center"/>
            </w:pPr>
            <w:r>
              <w:lastRenderedPageBreak/>
              <w:t>5</w:t>
            </w:r>
          </w:p>
        </w:tc>
        <w:tc>
          <w:tcPr>
            <w:tcW w:w="2301" w:type="dxa"/>
          </w:tcPr>
          <w:p w:rsidR="00224574" w:rsidRPr="00DF0676" w:rsidRDefault="00A22E1B" w:rsidP="00B439F6">
            <w:pPr>
              <w:rPr>
                <w:b/>
              </w:rPr>
            </w:pPr>
            <w:r>
              <w:rPr>
                <w:b/>
              </w:rPr>
              <w:t xml:space="preserve">Ministerul </w:t>
            </w:r>
            <w:r w:rsidR="00B439F6">
              <w:rPr>
                <w:b/>
              </w:rPr>
              <w:t>Economiei</w:t>
            </w:r>
          </w:p>
        </w:tc>
        <w:tc>
          <w:tcPr>
            <w:tcW w:w="8364" w:type="dxa"/>
          </w:tcPr>
          <w:p w:rsidR="00224574" w:rsidRDefault="00682B2F" w:rsidP="00813E0A">
            <w:pPr>
              <w:jc w:val="both"/>
            </w:pPr>
            <w:r>
              <w:t xml:space="preserve">Propuneri </w:t>
            </w:r>
            <w:r w:rsidR="00C86B7B">
              <w:t>ş</w:t>
            </w:r>
            <w:r>
              <w:t>i obiec</w:t>
            </w:r>
            <w:r w:rsidR="00C86B7B">
              <w:t>ţ</w:t>
            </w:r>
            <w:r>
              <w:t>ii:</w:t>
            </w:r>
          </w:p>
          <w:p w:rsidR="00B439F6" w:rsidRPr="002C00C8" w:rsidRDefault="00B439F6" w:rsidP="00B439F6">
            <w:pPr>
              <w:autoSpaceDE w:val="0"/>
              <w:autoSpaceDN w:val="0"/>
              <w:adjustRightInd w:val="0"/>
              <w:ind w:firstLine="500"/>
              <w:jc w:val="both"/>
              <w:rPr>
                <w:i/>
              </w:rPr>
            </w:pPr>
            <w:r w:rsidRPr="002C00C8">
              <w:rPr>
                <w:i/>
              </w:rPr>
              <w:t xml:space="preserve">La proiectul </w:t>
            </w:r>
            <w:proofErr w:type="spellStart"/>
            <w:r w:rsidRPr="002C00C8">
              <w:rPr>
                <w:i/>
              </w:rPr>
              <w:t>hotărîrii</w:t>
            </w:r>
            <w:proofErr w:type="spellEnd"/>
            <w:r w:rsidRPr="002C00C8">
              <w:rPr>
                <w:i/>
              </w:rPr>
              <w:t xml:space="preserve"> de Guvern:</w:t>
            </w:r>
          </w:p>
          <w:p w:rsidR="00325F0C" w:rsidRDefault="00B439F6" w:rsidP="00B439F6">
            <w:pPr>
              <w:autoSpaceDE w:val="0"/>
              <w:autoSpaceDN w:val="0"/>
              <w:adjustRightInd w:val="0"/>
              <w:ind w:firstLine="500"/>
              <w:jc w:val="both"/>
            </w:pPr>
            <w:r w:rsidRPr="00334A51">
              <w:t xml:space="preserve">Este necesar de concretizat temeiul legal de elaborare a proiectului </w:t>
            </w:r>
            <w:proofErr w:type="spellStart"/>
            <w:r w:rsidRPr="00334A51">
              <w:t>hotărîrii</w:t>
            </w:r>
            <w:proofErr w:type="spellEnd"/>
            <w:r w:rsidRPr="00334A51">
              <w:t xml:space="preserve"> prin indicarea, în textul Regulamentului propriu-zis, a numărului punctului din </w:t>
            </w:r>
            <w:proofErr w:type="spellStart"/>
            <w:r w:rsidRPr="00334A51">
              <w:t>Hotărîrea</w:t>
            </w:r>
            <w:proofErr w:type="spellEnd"/>
            <w:r w:rsidRPr="00334A51">
              <w:t xml:space="preserve"> Guvernului nr. 808 din 07.10.2014 privind asigurarea realizării Planului naţional de acţiuni pentru </w:t>
            </w:r>
            <w:r w:rsidR="00BD70A6" w:rsidRPr="00334A51">
              <w:t>implementarea</w:t>
            </w:r>
            <w:r w:rsidRPr="00334A51">
              <w:t xml:space="preserve"> Acordului de Asociere Republica Moldova – Uniunea Europeană.</w:t>
            </w:r>
            <w:r>
              <w:t xml:space="preserve"> </w:t>
            </w:r>
          </w:p>
          <w:p w:rsidR="00325F0C" w:rsidRDefault="00325F0C" w:rsidP="00B439F6">
            <w:pPr>
              <w:autoSpaceDE w:val="0"/>
              <w:autoSpaceDN w:val="0"/>
              <w:adjustRightInd w:val="0"/>
              <w:ind w:firstLine="500"/>
              <w:jc w:val="both"/>
            </w:pPr>
          </w:p>
          <w:p w:rsidR="00325F0C" w:rsidRDefault="00325F0C" w:rsidP="00B439F6">
            <w:pPr>
              <w:autoSpaceDE w:val="0"/>
              <w:autoSpaceDN w:val="0"/>
              <w:adjustRightInd w:val="0"/>
              <w:ind w:firstLine="500"/>
              <w:jc w:val="both"/>
            </w:pPr>
          </w:p>
          <w:p w:rsidR="00325F0C" w:rsidRDefault="00325F0C" w:rsidP="00B439F6">
            <w:pPr>
              <w:autoSpaceDE w:val="0"/>
              <w:autoSpaceDN w:val="0"/>
              <w:adjustRightInd w:val="0"/>
              <w:ind w:firstLine="500"/>
              <w:jc w:val="both"/>
            </w:pPr>
          </w:p>
          <w:p w:rsidR="00325F0C" w:rsidRDefault="00325F0C" w:rsidP="00B439F6">
            <w:pPr>
              <w:autoSpaceDE w:val="0"/>
              <w:autoSpaceDN w:val="0"/>
              <w:adjustRightInd w:val="0"/>
              <w:ind w:firstLine="500"/>
              <w:jc w:val="both"/>
            </w:pPr>
          </w:p>
          <w:p w:rsidR="00325F0C" w:rsidRDefault="00325F0C" w:rsidP="00B439F6">
            <w:pPr>
              <w:autoSpaceDE w:val="0"/>
              <w:autoSpaceDN w:val="0"/>
              <w:adjustRightInd w:val="0"/>
              <w:ind w:firstLine="500"/>
              <w:jc w:val="both"/>
            </w:pPr>
          </w:p>
          <w:p w:rsidR="00325F0C" w:rsidRDefault="00325F0C" w:rsidP="00B439F6">
            <w:pPr>
              <w:autoSpaceDE w:val="0"/>
              <w:autoSpaceDN w:val="0"/>
              <w:adjustRightInd w:val="0"/>
              <w:ind w:firstLine="500"/>
              <w:jc w:val="both"/>
            </w:pPr>
          </w:p>
          <w:p w:rsidR="00325F0C" w:rsidRDefault="00325F0C" w:rsidP="00B439F6">
            <w:pPr>
              <w:autoSpaceDE w:val="0"/>
              <w:autoSpaceDN w:val="0"/>
              <w:adjustRightInd w:val="0"/>
              <w:ind w:firstLine="500"/>
              <w:jc w:val="both"/>
            </w:pPr>
          </w:p>
          <w:p w:rsidR="00325F0C" w:rsidRDefault="00325F0C" w:rsidP="00B439F6">
            <w:pPr>
              <w:autoSpaceDE w:val="0"/>
              <w:autoSpaceDN w:val="0"/>
              <w:adjustRightInd w:val="0"/>
              <w:ind w:firstLine="500"/>
              <w:jc w:val="both"/>
            </w:pPr>
          </w:p>
          <w:p w:rsidR="00325F0C" w:rsidRDefault="00325F0C" w:rsidP="00B439F6">
            <w:pPr>
              <w:autoSpaceDE w:val="0"/>
              <w:autoSpaceDN w:val="0"/>
              <w:adjustRightInd w:val="0"/>
              <w:ind w:firstLine="500"/>
              <w:jc w:val="both"/>
            </w:pPr>
          </w:p>
          <w:p w:rsidR="00325F0C" w:rsidRDefault="00325F0C" w:rsidP="00B439F6">
            <w:pPr>
              <w:autoSpaceDE w:val="0"/>
              <w:autoSpaceDN w:val="0"/>
              <w:adjustRightInd w:val="0"/>
              <w:ind w:firstLine="500"/>
              <w:jc w:val="both"/>
            </w:pPr>
          </w:p>
          <w:p w:rsidR="00325F0C" w:rsidRDefault="00325F0C" w:rsidP="00B439F6">
            <w:pPr>
              <w:autoSpaceDE w:val="0"/>
              <w:autoSpaceDN w:val="0"/>
              <w:adjustRightInd w:val="0"/>
              <w:ind w:firstLine="500"/>
              <w:jc w:val="both"/>
            </w:pPr>
          </w:p>
          <w:p w:rsidR="00325F0C" w:rsidRDefault="00325F0C" w:rsidP="00B439F6">
            <w:pPr>
              <w:autoSpaceDE w:val="0"/>
              <w:autoSpaceDN w:val="0"/>
              <w:adjustRightInd w:val="0"/>
              <w:ind w:firstLine="500"/>
              <w:jc w:val="both"/>
            </w:pPr>
          </w:p>
          <w:p w:rsidR="00B439F6" w:rsidRPr="00334A51" w:rsidRDefault="00B439F6" w:rsidP="00B439F6">
            <w:pPr>
              <w:autoSpaceDE w:val="0"/>
              <w:autoSpaceDN w:val="0"/>
              <w:adjustRightInd w:val="0"/>
              <w:ind w:firstLine="500"/>
              <w:jc w:val="both"/>
            </w:pPr>
            <w:r w:rsidRPr="00334A51">
              <w:t>Urmează de specificat tipul transpunerii actelor normative europene: transpunere totală sau parţială.</w:t>
            </w:r>
          </w:p>
          <w:p w:rsidR="00325F0C" w:rsidRDefault="00325F0C" w:rsidP="00325F0C">
            <w:pPr>
              <w:autoSpaceDE w:val="0"/>
              <w:autoSpaceDN w:val="0"/>
              <w:adjustRightInd w:val="0"/>
              <w:jc w:val="both"/>
            </w:pPr>
          </w:p>
          <w:p w:rsidR="00B439F6" w:rsidRPr="006337C0" w:rsidRDefault="00B439F6" w:rsidP="006337C0">
            <w:pPr>
              <w:autoSpaceDE w:val="0"/>
              <w:autoSpaceDN w:val="0"/>
              <w:adjustRightInd w:val="0"/>
              <w:ind w:firstLine="500"/>
              <w:jc w:val="both"/>
              <w:rPr>
                <w:i/>
              </w:rPr>
            </w:pPr>
            <w:r w:rsidRPr="00334A51">
              <w:t>Întru respectarea alin. (3), art. 47 al Legii nr.317 din 18.07.2003 privind actele normative ale Guvernului şi ale altor autorităţi ale administraţiei publice centrale şi locale: (</w:t>
            </w:r>
            <w:r w:rsidRPr="00334A51">
              <w:rPr>
                <w:i/>
              </w:rPr>
              <w:t xml:space="preserve">Titlul actului normativ, denumirile părţilor, titlurilor, capitolelor şi ale secţiunilor se formulează laconic, astfel </w:t>
            </w:r>
            <w:proofErr w:type="spellStart"/>
            <w:r w:rsidRPr="00334A51">
              <w:rPr>
                <w:i/>
              </w:rPr>
              <w:t>încît</w:t>
            </w:r>
            <w:proofErr w:type="spellEnd"/>
            <w:r w:rsidRPr="00334A51">
              <w:rPr>
                <w:i/>
              </w:rPr>
              <w:t xml:space="preserve"> să reflecte esenţa reglementărilor.), </w:t>
            </w:r>
            <w:r w:rsidRPr="00334A51">
              <w:lastRenderedPageBreak/>
              <w:t xml:space="preserve">este necesară modificarea titlului anexelor prevăzute la </w:t>
            </w:r>
            <w:proofErr w:type="spellStart"/>
            <w:r w:rsidRPr="00334A51">
              <w:t>subpct</w:t>
            </w:r>
            <w:proofErr w:type="spellEnd"/>
            <w:r w:rsidRPr="00334A51">
              <w:t xml:space="preserve">. </w:t>
            </w:r>
            <w:r w:rsidRPr="00334A51">
              <w:rPr>
                <w:b/>
              </w:rPr>
              <w:t>2, 3, 4, 5, 6, 7, 8</w:t>
            </w:r>
            <w:r w:rsidRPr="00334A51">
              <w:t xml:space="preserve"> al </w:t>
            </w:r>
            <w:r w:rsidRPr="00334A51">
              <w:rPr>
                <w:b/>
              </w:rPr>
              <w:t>pct. 1</w:t>
            </w:r>
            <w:r w:rsidRPr="00334A51">
              <w:t xml:space="preserve"> din proiectul </w:t>
            </w:r>
            <w:proofErr w:type="spellStart"/>
            <w:r w:rsidRPr="00334A51">
              <w:t>hotărîrii</w:t>
            </w:r>
            <w:proofErr w:type="spellEnd"/>
            <w:r w:rsidRPr="00334A51">
              <w:t>.</w:t>
            </w:r>
          </w:p>
          <w:p w:rsidR="00063B9D" w:rsidRDefault="00063B9D" w:rsidP="00B439F6">
            <w:pPr>
              <w:autoSpaceDE w:val="0"/>
              <w:autoSpaceDN w:val="0"/>
              <w:adjustRightInd w:val="0"/>
              <w:ind w:firstLine="500"/>
              <w:jc w:val="both"/>
            </w:pPr>
          </w:p>
          <w:p w:rsidR="00063B9D" w:rsidRDefault="00063B9D" w:rsidP="00B439F6">
            <w:pPr>
              <w:autoSpaceDE w:val="0"/>
              <w:autoSpaceDN w:val="0"/>
              <w:adjustRightInd w:val="0"/>
              <w:ind w:firstLine="500"/>
              <w:jc w:val="both"/>
            </w:pPr>
          </w:p>
          <w:p w:rsidR="00063B9D" w:rsidRDefault="00063B9D" w:rsidP="00B439F6">
            <w:pPr>
              <w:autoSpaceDE w:val="0"/>
              <w:autoSpaceDN w:val="0"/>
              <w:adjustRightInd w:val="0"/>
              <w:ind w:firstLine="500"/>
              <w:jc w:val="both"/>
            </w:pPr>
          </w:p>
          <w:p w:rsidR="00063B9D" w:rsidRDefault="00B439F6" w:rsidP="00063B9D">
            <w:pPr>
              <w:autoSpaceDE w:val="0"/>
              <w:autoSpaceDN w:val="0"/>
              <w:adjustRightInd w:val="0"/>
              <w:ind w:firstLine="500"/>
              <w:jc w:val="both"/>
            </w:pPr>
            <w:r w:rsidRPr="00334A51">
              <w:t xml:space="preserve">La </w:t>
            </w:r>
            <w:r w:rsidRPr="00334A51">
              <w:rPr>
                <w:b/>
              </w:rPr>
              <w:t>pct.2</w:t>
            </w:r>
            <w:r w:rsidRPr="00334A51">
              <w:t xml:space="preserve"> al proiectului </w:t>
            </w:r>
            <w:proofErr w:type="spellStart"/>
            <w:r w:rsidRPr="00334A51">
              <w:t>Hotărîrii</w:t>
            </w:r>
            <w:proofErr w:type="spellEnd"/>
            <w:r w:rsidRPr="00334A51">
              <w:t xml:space="preserve"> de Guvern - la definitivare se vor considera prevederile art.1 alin.(5) al Legii nr.173-XIII din 06.07.1994 privind modul de publicare şi intrare în vigoare a actelor oficiale, potrivit cărora actele oficiale intră în vigoare la data publicării în Monitorul Oficial sau la data indicată în text, dar care nu poate preceda data publicării în Monitorul Oficial.</w:t>
            </w:r>
          </w:p>
          <w:p w:rsidR="00B439F6" w:rsidRPr="00334A51" w:rsidRDefault="00B439F6" w:rsidP="00B439F6">
            <w:pPr>
              <w:autoSpaceDE w:val="0"/>
              <w:autoSpaceDN w:val="0"/>
              <w:adjustRightInd w:val="0"/>
              <w:ind w:firstLine="500"/>
              <w:jc w:val="both"/>
            </w:pPr>
            <w:r w:rsidRPr="00334A51">
              <w:t>Totodată, punctul enun</w:t>
            </w:r>
            <w:r w:rsidR="00C86B7B">
              <w:t>ţ</w:t>
            </w:r>
            <w:r w:rsidRPr="00334A51">
              <w:t>at, urmează a fi completat cu data intrării în vigoare a Metodelor de analiză necesare pentru verificarea compoziţiei produselor cosmetice.</w:t>
            </w:r>
          </w:p>
          <w:p w:rsidR="00063B9D" w:rsidRDefault="00063B9D" w:rsidP="00B439F6">
            <w:pPr>
              <w:autoSpaceDE w:val="0"/>
              <w:autoSpaceDN w:val="0"/>
              <w:adjustRightInd w:val="0"/>
              <w:ind w:firstLine="500"/>
              <w:jc w:val="both"/>
            </w:pPr>
          </w:p>
          <w:p w:rsidR="00063B9D" w:rsidRDefault="00063B9D" w:rsidP="00B439F6">
            <w:pPr>
              <w:autoSpaceDE w:val="0"/>
              <w:autoSpaceDN w:val="0"/>
              <w:adjustRightInd w:val="0"/>
              <w:ind w:firstLine="500"/>
              <w:jc w:val="both"/>
            </w:pPr>
          </w:p>
          <w:p w:rsidR="00063B9D" w:rsidRDefault="00063B9D" w:rsidP="00B439F6">
            <w:pPr>
              <w:autoSpaceDE w:val="0"/>
              <w:autoSpaceDN w:val="0"/>
              <w:adjustRightInd w:val="0"/>
              <w:ind w:firstLine="500"/>
              <w:jc w:val="both"/>
            </w:pPr>
          </w:p>
          <w:p w:rsidR="00B439F6" w:rsidRPr="00334A51" w:rsidRDefault="00B439F6" w:rsidP="00B439F6">
            <w:pPr>
              <w:autoSpaceDE w:val="0"/>
              <w:autoSpaceDN w:val="0"/>
              <w:adjustRightInd w:val="0"/>
              <w:ind w:firstLine="500"/>
              <w:jc w:val="both"/>
            </w:pPr>
            <w:r w:rsidRPr="00334A51">
              <w:t xml:space="preserve">La </w:t>
            </w:r>
            <w:r w:rsidRPr="00334A51">
              <w:rPr>
                <w:b/>
              </w:rPr>
              <w:t>pct.4</w:t>
            </w:r>
            <w:r w:rsidRPr="00334A51">
              <w:t xml:space="preserve"> al proiectului </w:t>
            </w:r>
            <w:proofErr w:type="spellStart"/>
            <w:r w:rsidRPr="00334A51">
              <w:t>Hotărîrii</w:t>
            </w:r>
            <w:proofErr w:type="spellEnd"/>
            <w:r w:rsidRPr="00334A51">
              <w:t xml:space="preserve"> de Guvern </w:t>
            </w:r>
            <w:r w:rsidRPr="0041384F">
              <w:t xml:space="preserve">necesită a fi exclus Ministerul Economiei ca fiind autoritate în sarcina căreia se pune controlul asupra executării </w:t>
            </w:r>
            <w:proofErr w:type="spellStart"/>
            <w:r w:rsidRPr="0041384F">
              <w:t>hotărîrii</w:t>
            </w:r>
            <w:proofErr w:type="spellEnd"/>
            <w:r w:rsidRPr="0041384F">
              <w:t xml:space="preserve"> vizate. O</w:t>
            </w:r>
            <w:r w:rsidRPr="00334A51">
              <w:t xml:space="preserve">r în condiţiile pct. 5-7 al </w:t>
            </w:r>
            <w:r w:rsidRPr="00334A51">
              <w:rPr>
                <w:i/>
              </w:rPr>
              <w:t>Regulamentului privind organizarea  şi funcţionarea Ministerului Economiei, structurii şi efectivului-limită ale aparatului central al acestuia,</w:t>
            </w:r>
            <w:r w:rsidRPr="00334A51">
              <w:t xml:space="preserve"> </w:t>
            </w:r>
            <w:r w:rsidRPr="00334A51">
              <w:rPr>
                <w:i/>
              </w:rPr>
              <w:t xml:space="preserve">aprobat prin </w:t>
            </w:r>
            <w:proofErr w:type="spellStart"/>
            <w:r w:rsidRPr="00334A51">
              <w:rPr>
                <w:i/>
              </w:rPr>
              <w:t>Hotărîrea</w:t>
            </w:r>
            <w:proofErr w:type="spellEnd"/>
            <w:r w:rsidRPr="00334A51">
              <w:rPr>
                <w:i/>
              </w:rPr>
              <w:t xml:space="preserve"> Guvernului Nr. 690 din 13.11.2009 pentru aprobarea </w:t>
            </w:r>
            <w:r w:rsidRPr="00334A51">
              <w:t>obiectul de reglementare al Regulamentului sanitar privind produsele cosmetice şi a Metodelor de analiză necesare pentru verificarea compoziţiei produselor cosmetice, de a excede atribuţiile  Ministerului Economiei.</w:t>
            </w:r>
          </w:p>
          <w:p w:rsidR="00B439F6" w:rsidRPr="00334A51" w:rsidRDefault="00B439F6" w:rsidP="00B439F6">
            <w:pPr>
              <w:autoSpaceDE w:val="0"/>
              <w:autoSpaceDN w:val="0"/>
              <w:adjustRightInd w:val="0"/>
              <w:ind w:firstLine="500"/>
              <w:jc w:val="both"/>
            </w:pPr>
            <w:r w:rsidRPr="00334A51">
              <w:t>Conform art. 30 al Legii nr. 64 din 31.05.90 cu privire la Guvern: “</w:t>
            </w:r>
            <w:proofErr w:type="spellStart"/>
            <w:r w:rsidRPr="00334A51">
              <w:rPr>
                <w:i/>
              </w:rPr>
              <w:t>hotărîrile</w:t>
            </w:r>
            <w:proofErr w:type="spellEnd"/>
            <w:r w:rsidRPr="00334A51">
              <w:rPr>
                <w:i/>
              </w:rPr>
              <w:t xml:space="preserve"> se contrasemnează de miniştrii, care au obligaţia punerii lor în aplicare”</w:t>
            </w:r>
            <w:r w:rsidRPr="00334A51">
              <w:t xml:space="preserve">. Dat fiind faptul că aplicarea prezentei </w:t>
            </w:r>
            <w:proofErr w:type="spellStart"/>
            <w:r w:rsidRPr="00334A51">
              <w:t>hotărîri</w:t>
            </w:r>
            <w:proofErr w:type="spellEnd"/>
            <w:r w:rsidRPr="00334A51">
              <w:t xml:space="preserve"> nu poate fi pusă în sarcina Ministerului Economiei, solicităm excluderea Viceprim-ministrului, ministrului economiei din formula de atestare a autenticităţii actului normativ.</w:t>
            </w:r>
          </w:p>
          <w:p w:rsidR="00B439F6" w:rsidRPr="0041384F" w:rsidRDefault="00B439F6" w:rsidP="00B439F6">
            <w:pPr>
              <w:autoSpaceDE w:val="0"/>
              <w:autoSpaceDN w:val="0"/>
              <w:adjustRightInd w:val="0"/>
              <w:ind w:firstLine="720"/>
              <w:jc w:val="both"/>
              <w:rPr>
                <w:i/>
              </w:rPr>
            </w:pPr>
            <w:r w:rsidRPr="0041384F">
              <w:rPr>
                <w:i/>
              </w:rPr>
              <w:t>La Regulamentul sanitar privind produsele cosmetice:</w:t>
            </w:r>
          </w:p>
          <w:p w:rsidR="00B439F6" w:rsidRPr="00334A51" w:rsidRDefault="00B439F6" w:rsidP="00B439F6">
            <w:pPr>
              <w:autoSpaceDE w:val="0"/>
              <w:autoSpaceDN w:val="0"/>
              <w:adjustRightInd w:val="0"/>
              <w:ind w:firstLine="720"/>
              <w:jc w:val="both"/>
            </w:pPr>
            <w:r w:rsidRPr="00334A51">
              <w:t xml:space="preserve">Întru respectarea prevederilor pct. 16 al Regulamentul privind mecanismul de armonizare a legislaţiei Republicii Moldova cu legislaţia comunitară adoptat prin </w:t>
            </w:r>
            <w:proofErr w:type="spellStart"/>
            <w:r w:rsidRPr="00334A51">
              <w:t>Hotărîrea</w:t>
            </w:r>
            <w:proofErr w:type="spellEnd"/>
            <w:r w:rsidRPr="00334A51">
              <w:t xml:space="preserve"> Guvernului 1345 din  24.11.2006 cu privire la  armonizarea legislaţiei Republicii Moldova cu legislaţia comunitară (în continuare Regulament), partea introductivă a Anexelor, urmează a fi expusă după cum urmează: „</w:t>
            </w:r>
            <w:r w:rsidRPr="00334A51">
              <w:rPr>
                <w:i/>
              </w:rPr>
              <w:t>Prezenta Normă transpune total/parţial Regulamentului (CE) nr. 1223/2009 al Parlamentului European şi al Consiliului din 30 noiembrie 2009 privind produsele cosmetice. publicat în Jurnalul Oficial al Comunităţilor Europene (JOCE seria L nr.____  din ____________,”.</w:t>
            </w:r>
            <w:r w:rsidRPr="00334A51">
              <w:t xml:space="preserve">  </w:t>
            </w:r>
          </w:p>
          <w:p w:rsidR="003C41D9" w:rsidRDefault="003C41D9" w:rsidP="00B439F6">
            <w:pPr>
              <w:autoSpaceDE w:val="0"/>
              <w:autoSpaceDN w:val="0"/>
              <w:adjustRightInd w:val="0"/>
              <w:ind w:firstLine="500"/>
              <w:jc w:val="both"/>
            </w:pPr>
          </w:p>
          <w:p w:rsidR="003C41D9" w:rsidRDefault="003C41D9" w:rsidP="00B439F6">
            <w:pPr>
              <w:autoSpaceDE w:val="0"/>
              <w:autoSpaceDN w:val="0"/>
              <w:adjustRightInd w:val="0"/>
              <w:ind w:firstLine="500"/>
              <w:jc w:val="both"/>
            </w:pPr>
          </w:p>
          <w:p w:rsidR="003C41D9" w:rsidRDefault="003C41D9" w:rsidP="00B439F6">
            <w:pPr>
              <w:autoSpaceDE w:val="0"/>
              <w:autoSpaceDN w:val="0"/>
              <w:adjustRightInd w:val="0"/>
              <w:ind w:firstLine="500"/>
              <w:jc w:val="both"/>
            </w:pPr>
          </w:p>
          <w:p w:rsidR="00B439F6" w:rsidRPr="00334A51" w:rsidRDefault="00B439F6" w:rsidP="00B439F6">
            <w:pPr>
              <w:autoSpaceDE w:val="0"/>
              <w:autoSpaceDN w:val="0"/>
              <w:adjustRightInd w:val="0"/>
              <w:ind w:firstLine="500"/>
              <w:jc w:val="both"/>
              <w:rPr>
                <w:i/>
              </w:rPr>
            </w:pPr>
            <w:r w:rsidRPr="00334A51">
              <w:t xml:space="preserve">La </w:t>
            </w:r>
            <w:r w:rsidRPr="00334A51">
              <w:rPr>
                <w:b/>
              </w:rPr>
              <w:t>pct.1, subpct.2</w:t>
            </w:r>
            <w:r w:rsidRPr="00334A51">
              <w:t xml:space="preserve"> - pentru a asigura respectarea principiului previzibilită</w:t>
            </w:r>
            <w:r w:rsidR="00C86B7B">
              <w:t>ţ</w:t>
            </w:r>
            <w:r w:rsidRPr="00334A51">
              <w:t>ii şi transparen</w:t>
            </w:r>
            <w:r w:rsidR="00C86B7B">
              <w:t>ţ</w:t>
            </w:r>
            <w:r w:rsidRPr="00334A51">
              <w:t xml:space="preserve">ei reglementării activităţii de întreprinzător, consacrat de art.4 al Legii nr.235-XVI din 20 iulie 2006 cu privire la principiile de bază de reglementare a activităţii de întreprinzător şi art.4 al Legii nr.317-XV din 18.07.2003 privind actele normative ale Guvernului şi alte altor autorităţi ale administraţiei publice centrale şi locale, </w:t>
            </w:r>
            <w:r w:rsidRPr="00334A51">
              <w:rPr>
                <w:i/>
              </w:rPr>
              <w:t>de a concretiza semnifica</w:t>
            </w:r>
            <w:r w:rsidR="00C86B7B">
              <w:rPr>
                <w:i/>
              </w:rPr>
              <w:t>ţ</w:t>
            </w:r>
            <w:r w:rsidRPr="00334A51">
              <w:rPr>
                <w:i/>
              </w:rPr>
              <w:t>ia sintagmei „testări oficiale” cu indicarea concomitentă a entită</w:t>
            </w:r>
            <w:r w:rsidR="00C86B7B">
              <w:rPr>
                <w:i/>
              </w:rPr>
              <w:t>ţ</w:t>
            </w:r>
            <w:r w:rsidRPr="00334A51">
              <w:rPr>
                <w:i/>
              </w:rPr>
              <w:t>ii ce va efectua respectivele testări.</w:t>
            </w:r>
          </w:p>
          <w:p w:rsidR="006337C0" w:rsidRDefault="006337C0" w:rsidP="00B439F6">
            <w:pPr>
              <w:ind w:firstLine="567"/>
              <w:jc w:val="both"/>
            </w:pPr>
          </w:p>
          <w:p w:rsidR="00B439F6" w:rsidRPr="00334A51" w:rsidRDefault="00B439F6" w:rsidP="00B439F6">
            <w:pPr>
              <w:ind w:firstLine="567"/>
              <w:jc w:val="both"/>
            </w:pPr>
            <w:r w:rsidRPr="00334A51">
              <w:t xml:space="preserve">La </w:t>
            </w:r>
            <w:r w:rsidRPr="00334A51">
              <w:rPr>
                <w:b/>
              </w:rPr>
              <w:t>pct.3</w:t>
            </w:r>
            <w:r w:rsidRPr="00334A51">
              <w:t>, defini</w:t>
            </w:r>
            <w:r w:rsidR="00C86B7B">
              <w:t>ţ</w:t>
            </w:r>
            <w:r w:rsidRPr="00334A51">
              <w:t>ia no</w:t>
            </w:r>
            <w:r w:rsidR="00C86B7B">
              <w:t>ţ</w:t>
            </w:r>
            <w:r w:rsidRPr="00334A51">
              <w:t xml:space="preserve">iunii </w:t>
            </w:r>
            <w:r w:rsidRPr="00334A51">
              <w:rPr>
                <w:i/>
              </w:rPr>
              <w:t>„distribuitor” -</w:t>
            </w:r>
            <w:r w:rsidRPr="00334A51">
              <w:t xml:space="preserve"> prezenţa textului „pe pia</w:t>
            </w:r>
            <w:r w:rsidR="00C86B7B">
              <w:t>ţ</w:t>
            </w:r>
            <w:r w:rsidRPr="00334A51">
              <w:t>a comunitară” creează situa</w:t>
            </w:r>
            <w:r w:rsidR="00C86B7B">
              <w:t>ţ</w:t>
            </w:r>
            <w:r w:rsidRPr="00334A51">
              <w:t>ia conform căreia produsele cosmetice vor fi puse la dispozi</w:t>
            </w:r>
            <w:r w:rsidR="00C86B7B">
              <w:t>ţ</w:t>
            </w:r>
            <w:r w:rsidRPr="00334A51">
              <w:t>ie de către un distribuitor, doar pe pia</w:t>
            </w:r>
            <w:r w:rsidR="00C86B7B">
              <w:t>ţ</w:t>
            </w:r>
            <w:r w:rsidRPr="00334A51">
              <w:t>a comunitară, fiind exclusă astfel plasarea pe pia</w:t>
            </w:r>
            <w:r w:rsidR="00C86B7B">
              <w:t>ţ</w:t>
            </w:r>
            <w:r w:rsidRPr="00334A51">
              <w:t>a internă a acestor categorii de mărfuri. Or, scopul proiectului, potrivit pct.1 al Regulamentului, rezidă în plasarea pe pia</w:t>
            </w:r>
            <w:r w:rsidR="00C86B7B">
              <w:t>ţ</w:t>
            </w:r>
            <w:r w:rsidRPr="00334A51">
              <w:t>a internă a acestor produse.</w:t>
            </w:r>
          </w:p>
          <w:p w:rsidR="00B439F6" w:rsidRPr="00334A51" w:rsidRDefault="00B439F6" w:rsidP="00B439F6">
            <w:pPr>
              <w:ind w:firstLine="567"/>
              <w:jc w:val="both"/>
            </w:pPr>
            <w:r w:rsidRPr="00334A51">
              <w:t>La no</w:t>
            </w:r>
            <w:r w:rsidR="00C86B7B">
              <w:t>ţ</w:t>
            </w:r>
            <w:r w:rsidRPr="00334A51">
              <w:t xml:space="preserve">iunile </w:t>
            </w:r>
            <w:r w:rsidRPr="00334A51">
              <w:rPr>
                <w:i/>
              </w:rPr>
              <w:t>„ingredient” şi „</w:t>
            </w:r>
            <w:proofErr w:type="spellStart"/>
            <w:r w:rsidRPr="00334A51">
              <w:rPr>
                <w:i/>
              </w:rPr>
              <w:t>nanomaterial</w:t>
            </w:r>
            <w:proofErr w:type="spellEnd"/>
            <w:r w:rsidRPr="00334A51">
              <w:rPr>
                <w:i/>
              </w:rPr>
              <w:t>”</w:t>
            </w:r>
            <w:r w:rsidRPr="00334A51">
              <w:t xml:space="preserve"> – considerăm necesară revizuirea textului „în mod inten</w:t>
            </w:r>
            <w:r w:rsidR="00C86B7B">
              <w:t>ţ</w:t>
            </w:r>
            <w:r w:rsidRPr="00334A51">
              <w:t>ionat” întru stabilirea criteriilor ce ar demonstra că, ac</w:t>
            </w:r>
            <w:r w:rsidR="00C86B7B">
              <w:t>ţ</w:t>
            </w:r>
            <w:r w:rsidRPr="00334A51">
              <w:t xml:space="preserve">iunile respective sunt </w:t>
            </w:r>
            <w:proofErr w:type="spellStart"/>
            <w:r w:rsidRPr="00334A51">
              <w:t>săvîrşite</w:t>
            </w:r>
            <w:proofErr w:type="spellEnd"/>
            <w:r w:rsidRPr="00334A51">
              <w:t xml:space="preserve"> cu inten</w:t>
            </w:r>
            <w:r w:rsidR="00C86B7B">
              <w:t>ţ</w:t>
            </w:r>
            <w:r w:rsidRPr="00334A51">
              <w:t>ie sau din impruden</w:t>
            </w:r>
            <w:r w:rsidR="00C86B7B">
              <w:t>ţ</w:t>
            </w:r>
            <w:r w:rsidRPr="00334A51">
              <w:t xml:space="preserve">ă, în caz contrar, există posibilitatea interpretării şi aplicării subiective a normei propuse. </w:t>
            </w:r>
          </w:p>
          <w:p w:rsidR="00B439F6" w:rsidRPr="00334A51" w:rsidRDefault="00B439F6" w:rsidP="00B439F6">
            <w:pPr>
              <w:autoSpaceDE w:val="0"/>
              <w:autoSpaceDN w:val="0"/>
              <w:adjustRightInd w:val="0"/>
              <w:ind w:firstLine="720"/>
              <w:jc w:val="both"/>
            </w:pPr>
            <w:r w:rsidRPr="00334A51">
              <w:t>Întru asigurarea</w:t>
            </w:r>
            <w:r w:rsidRPr="00334A51">
              <w:rPr>
                <w:b/>
              </w:rPr>
              <w:t xml:space="preserve"> </w:t>
            </w:r>
            <w:r w:rsidRPr="00334A51">
              <w:t>respectării principiului previzibilită</w:t>
            </w:r>
            <w:r w:rsidR="00C86B7B">
              <w:t>ţ</w:t>
            </w:r>
            <w:r w:rsidRPr="00334A51">
              <w:t>ii şi transparen</w:t>
            </w:r>
            <w:r w:rsidR="00C86B7B">
              <w:t>ţ</w:t>
            </w:r>
            <w:r w:rsidRPr="00334A51">
              <w:t xml:space="preserve">ei reglementării activităţii de întreprinzător este necesar de a </w:t>
            </w:r>
            <w:r w:rsidRPr="001A1BA0">
              <w:t>concretiza semnifica</w:t>
            </w:r>
            <w:r w:rsidR="00C86B7B">
              <w:t>ţ</w:t>
            </w:r>
            <w:r w:rsidRPr="001A1BA0">
              <w:t>ia sintagmelor:</w:t>
            </w:r>
            <w:r w:rsidRPr="00334A51">
              <w:rPr>
                <w:b/>
              </w:rPr>
              <w:t xml:space="preserve"> </w:t>
            </w:r>
            <w:r w:rsidRPr="00334A51">
              <w:t>„informaţii relevante” (</w:t>
            </w:r>
            <w:r w:rsidRPr="00334A51">
              <w:rPr>
                <w:b/>
              </w:rPr>
              <w:t>pct.3</w:t>
            </w:r>
            <w:r w:rsidRPr="00334A51">
              <w:t xml:space="preserve"> defini</w:t>
            </w:r>
            <w:r w:rsidR="00C86B7B">
              <w:t>ţ</w:t>
            </w:r>
            <w:r w:rsidRPr="00334A51">
              <w:t>ia „formulare-cadru” şi pct.15); „cerin</w:t>
            </w:r>
            <w:r w:rsidR="00C86B7B">
              <w:t>ţ</w:t>
            </w:r>
            <w:r w:rsidRPr="00334A51">
              <w:t>ele aplicabile” (</w:t>
            </w:r>
            <w:r w:rsidRPr="00334A51">
              <w:rPr>
                <w:b/>
              </w:rPr>
              <w:t>pct.7 subpct.3</w:t>
            </w:r>
            <w:r w:rsidRPr="00334A51">
              <w:t>); „transmite imediat” (</w:t>
            </w:r>
            <w:r w:rsidRPr="00334A51">
              <w:rPr>
                <w:b/>
              </w:rPr>
              <w:t>pct.10 subpct.2, pct.67, pct.68</w:t>
            </w:r>
            <w:r w:rsidRPr="00334A51">
              <w:t>); „informa</w:t>
            </w:r>
            <w:r w:rsidR="00C86B7B">
              <w:t>ţ</w:t>
            </w:r>
            <w:r w:rsidRPr="00334A51">
              <w:t>iile şi documenta</w:t>
            </w:r>
            <w:r w:rsidR="00C86B7B">
              <w:t>ţ</w:t>
            </w:r>
            <w:r w:rsidRPr="00334A51">
              <w:t>ia necesară”, „limbă u</w:t>
            </w:r>
            <w:r w:rsidR="00C86B7B">
              <w:t>ş</w:t>
            </w:r>
            <w:r w:rsidRPr="00334A51">
              <w:t>or în</w:t>
            </w:r>
            <w:r w:rsidR="00C86B7B">
              <w:t>ţ</w:t>
            </w:r>
            <w:r w:rsidRPr="00334A51">
              <w:t>eleasă” (</w:t>
            </w:r>
            <w:r w:rsidRPr="00334A51">
              <w:rPr>
                <w:b/>
              </w:rPr>
              <w:t>pct.10 subpct.4 şi pct.11 subpct.6</w:t>
            </w:r>
            <w:r w:rsidRPr="00334A51">
              <w:t>); „legislaţia sanitară” (</w:t>
            </w:r>
            <w:r w:rsidRPr="00334A51">
              <w:rPr>
                <w:b/>
              </w:rPr>
              <w:t>pct.29</w:t>
            </w:r>
            <w:r w:rsidRPr="00334A51">
              <w:t>); „condiţii ra</w:t>
            </w:r>
            <w:r w:rsidR="00C86B7B">
              <w:t>ţ</w:t>
            </w:r>
            <w:r w:rsidRPr="00334A51">
              <w:t>ional previzibile” (</w:t>
            </w:r>
            <w:r w:rsidRPr="00334A51">
              <w:rPr>
                <w:b/>
              </w:rPr>
              <w:t xml:space="preserve">pct.30 subpct.5 </w:t>
            </w:r>
            <w:proofErr w:type="spellStart"/>
            <w:r w:rsidRPr="00334A51">
              <w:rPr>
                <w:b/>
              </w:rPr>
              <w:t>lit.b</w:t>
            </w:r>
            <w:proofErr w:type="spellEnd"/>
            <w:r w:rsidRPr="00334A51">
              <w:t>); „autorităţi competente” (</w:t>
            </w:r>
            <w:r w:rsidRPr="00334A51">
              <w:rPr>
                <w:b/>
              </w:rPr>
              <w:t xml:space="preserve">pct.33, pct.77); </w:t>
            </w:r>
            <w:r w:rsidRPr="00334A51">
              <w:t>„fără întârziere” (</w:t>
            </w:r>
            <w:r w:rsidRPr="00334A51">
              <w:rPr>
                <w:b/>
              </w:rPr>
              <w:t>pct.34 şi pct.66</w:t>
            </w:r>
            <w:r w:rsidRPr="00334A51">
              <w:t>); „substan</w:t>
            </w:r>
            <w:r w:rsidR="00C86B7B">
              <w:t>ţ</w:t>
            </w:r>
            <w:r w:rsidRPr="00334A51">
              <w:t>e alternative adecvate” (</w:t>
            </w:r>
            <w:r w:rsidRPr="00334A51">
              <w:rPr>
                <w:b/>
              </w:rPr>
              <w:t>pct.39 subpct.2</w:t>
            </w:r>
            <w:r w:rsidRPr="00334A51">
              <w:t>); „nivel înalt de protec</w:t>
            </w:r>
            <w:r w:rsidR="00C86B7B">
              <w:t>ţ</w:t>
            </w:r>
            <w:r w:rsidRPr="00334A51">
              <w:t>ie a sănătăţii umane” (</w:t>
            </w:r>
            <w:r w:rsidRPr="00334A51">
              <w:rPr>
                <w:b/>
              </w:rPr>
              <w:t>pct.41</w:t>
            </w:r>
            <w:r w:rsidRPr="00334A51">
              <w:t>); „condiţii previzibile” (</w:t>
            </w:r>
            <w:r w:rsidRPr="00334A51">
              <w:rPr>
                <w:b/>
              </w:rPr>
              <w:t>pct.45 subpct.6</w:t>
            </w:r>
            <w:r w:rsidRPr="00334A51">
              <w:t>); „suspiciuni” (</w:t>
            </w:r>
            <w:r w:rsidRPr="00334A51">
              <w:rPr>
                <w:b/>
              </w:rPr>
              <w:t>pct.48</w:t>
            </w:r>
            <w:r w:rsidRPr="00334A51">
              <w:t>); „probleme speciale” (</w:t>
            </w:r>
            <w:r w:rsidRPr="00334A51">
              <w:rPr>
                <w:b/>
              </w:rPr>
              <w:t>pct.51</w:t>
            </w:r>
            <w:r w:rsidRPr="00334A51">
              <w:t>); „în mod obi</w:t>
            </w:r>
            <w:r w:rsidR="00C86B7B">
              <w:t>ş</w:t>
            </w:r>
            <w:r w:rsidRPr="00334A51">
              <w:t>nuit” (</w:t>
            </w:r>
            <w:r w:rsidRPr="00334A51">
              <w:rPr>
                <w:b/>
              </w:rPr>
              <w:t>pct.52 subpct.2</w:t>
            </w:r>
            <w:r w:rsidRPr="00334A51">
              <w:t>); „condiţii adecvate”, „după caz” (</w:t>
            </w:r>
            <w:r w:rsidRPr="00334A51">
              <w:rPr>
                <w:b/>
              </w:rPr>
              <w:t>pct.52 subpct.3</w:t>
            </w:r>
            <w:r w:rsidRPr="00334A51">
              <w:t>); „acolo unde este cazul” (</w:t>
            </w:r>
            <w:r w:rsidRPr="00334A51">
              <w:rPr>
                <w:b/>
              </w:rPr>
              <w:t>pct.52 spct.11</w:t>
            </w:r>
            <w:r w:rsidRPr="00334A51">
              <w:t>); „nomenclatură general acceptată” (</w:t>
            </w:r>
            <w:r w:rsidRPr="00334A51">
              <w:rPr>
                <w:b/>
              </w:rPr>
              <w:t>pct.57</w:t>
            </w:r>
            <w:r w:rsidRPr="00334A51">
              <w:t>); - „alte autorităţi” (</w:t>
            </w:r>
            <w:r w:rsidRPr="00334A51">
              <w:rPr>
                <w:b/>
              </w:rPr>
              <w:t>pct.59</w:t>
            </w:r>
            <w:r w:rsidRPr="00334A51">
              <w:t>); „îndoieli serioase” (</w:t>
            </w:r>
            <w:r w:rsidRPr="00334A51">
              <w:rPr>
                <w:b/>
              </w:rPr>
              <w:t>pct.71</w:t>
            </w:r>
            <w:r w:rsidRPr="00334A51">
              <w:t>); „măsuri adecvate” (</w:t>
            </w:r>
            <w:r w:rsidRPr="00334A51">
              <w:rPr>
                <w:b/>
              </w:rPr>
              <w:t>pct.73 şi pct.76</w:t>
            </w:r>
            <w:r w:rsidRPr="00334A51">
              <w:t xml:space="preserve">); </w:t>
            </w:r>
            <w:r w:rsidRPr="00513871">
              <w:t>„produsele în cauză”</w:t>
            </w:r>
            <w:r w:rsidRPr="00334A51">
              <w:t xml:space="preserve"> </w:t>
            </w:r>
            <w:r>
              <w:t>(</w:t>
            </w:r>
            <w:r w:rsidRPr="00334A51">
              <w:rPr>
                <w:b/>
              </w:rPr>
              <w:t>pct. 74</w:t>
            </w:r>
            <w:r>
              <w:rPr>
                <w:b/>
              </w:rPr>
              <w:t>),</w:t>
            </w:r>
            <w:r w:rsidRPr="00334A51">
              <w:t xml:space="preserve"> </w:t>
            </w:r>
            <w:r w:rsidRPr="00513871">
              <w:t>„autorităţile competente”</w:t>
            </w:r>
            <w:r w:rsidRPr="00334A51">
              <w:t xml:space="preserve"> </w:t>
            </w:r>
            <w:r>
              <w:t>(</w:t>
            </w:r>
            <w:r w:rsidRPr="00334A51">
              <w:rPr>
                <w:b/>
              </w:rPr>
              <w:t>pct. 77</w:t>
            </w:r>
            <w:r>
              <w:rPr>
                <w:b/>
              </w:rPr>
              <w:t>),</w:t>
            </w:r>
            <w:r w:rsidRPr="00334A51">
              <w:t xml:space="preserve"> „motive întemeiate de suspiciune” (</w:t>
            </w:r>
            <w:r w:rsidRPr="00334A51">
              <w:rPr>
                <w:b/>
              </w:rPr>
              <w:t>pct.78</w:t>
            </w:r>
            <w:r w:rsidRPr="00334A51">
              <w:t>); „măsuri provizorii” (</w:t>
            </w:r>
            <w:r w:rsidRPr="00334A51">
              <w:rPr>
                <w:b/>
              </w:rPr>
              <w:t>pct.78</w:t>
            </w:r>
            <w:r w:rsidRPr="00334A51">
              <w:t>); „de îndată” (</w:t>
            </w:r>
            <w:r w:rsidRPr="00334A51">
              <w:rPr>
                <w:b/>
              </w:rPr>
              <w:t>pct.82</w:t>
            </w:r>
            <w:r w:rsidRPr="00334A51">
              <w:t>); „risc grav pentru sănătatea umană” (</w:t>
            </w:r>
            <w:r w:rsidRPr="00334A51">
              <w:rPr>
                <w:b/>
              </w:rPr>
              <w:t>pct.83</w:t>
            </w:r>
            <w:r w:rsidRPr="00334A51">
              <w:t>); „acolo unde este cazul” (</w:t>
            </w:r>
            <w:r w:rsidRPr="00334A51">
              <w:rPr>
                <w:b/>
              </w:rPr>
              <w:t>pct.84</w:t>
            </w:r>
            <w:r w:rsidRPr="00334A51">
              <w:t xml:space="preserve">). </w:t>
            </w:r>
          </w:p>
          <w:p w:rsidR="00B439F6" w:rsidRPr="00334A51" w:rsidRDefault="00B439F6" w:rsidP="00B439F6">
            <w:pPr>
              <w:ind w:firstLine="567"/>
              <w:jc w:val="both"/>
            </w:pPr>
            <w:r w:rsidRPr="00334A51">
              <w:t xml:space="preserve">La </w:t>
            </w:r>
            <w:r w:rsidRPr="00334A51">
              <w:rPr>
                <w:b/>
              </w:rPr>
              <w:t>pct.4</w:t>
            </w:r>
            <w:r w:rsidRPr="00334A51">
              <w:t xml:space="preserve"> este prezentată Lista categoriilor de produse cosmetice conform Directivei nr.76/768/CEE din 27 iulie 1976 privind apropierea legisla</w:t>
            </w:r>
            <w:r w:rsidR="00C86B7B">
              <w:t>ţ</w:t>
            </w:r>
            <w:r w:rsidRPr="00334A51">
              <w:t xml:space="preserve">iilor statelor </w:t>
            </w:r>
            <w:r w:rsidRPr="00334A51">
              <w:lastRenderedPageBreak/>
              <w:t xml:space="preserve">membre cu privire la produsele cosmetice, care actualmente este abrogată în Uniunea Europeană, fiind substituită prin Regulamentul nr.1223/2009. Această listă </w:t>
            </w:r>
            <w:r w:rsidRPr="00D7513A">
              <w:t>nu con</w:t>
            </w:r>
            <w:r w:rsidR="00C86B7B">
              <w:t>ţ</w:t>
            </w:r>
            <w:r w:rsidRPr="00D7513A">
              <w:t>ine sortimentul tuturor produselor cosmetice comercializate actualmente.</w:t>
            </w:r>
            <w:r w:rsidRPr="00334A51">
              <w:t xml:space="preserve"> De ex, preparatele pentru baie </w:t>
            </w:r>
            <w:r w:rsidR="00C86B7B">
              <w:t>ş</w:t>
            </w:r>
            <w:r w:rsidRPr="00334A51">
              <w:t>i du</w:t>
            </w:r>
            <w:r w:rsidR="00C86B7B">
              <w:t>ş</w:t>
            </w:r>
            <w:r w:rsidRPr="00334A51">
              <w:t xml:space="preserve"> sunt prezentate numai prin săruri, spume, uleiuri, </w:t>
            </w:r>
            <w:proofErr w:type="spellStart"/>
            <w:r w:rsidRPr="00334A51">
              <w:t>geluri</w:t>
            </w:r>
            <w:proofErr w:type="spellEnd"/>
            <w:r w:rsidRPr="00334A51">
              <w:t xml:space="preserve"> etc., cremele-gel nu sunt cuprinse de această listă. Astfel, pentru ca produsele cosmetice să nu să se limiteze numai la o listă exhaustivă, este necesar de a nu stipula care produse cad sub inciden</w:t>
            </w:r>
            <w:r w:rsidR="00C86B7B">
              <w:t>ţ</w:t>
            </w:r>
            <w:r w:rsidRPr="00334A51">
              <w:t>a proiectului Regulamentului în cauză.</w:t>
            </w:r>
          </w:p>
          <w:p w:rsidR="00B439F6" w:rsidRPr="00334A51" w:rsidRDefault="00B439F6" w:rsidP="00B439F6">
            <w:pPr>
              <w:ind w:firstLine="567"/>
              <w:jc w:val="both"/>
            </w:pPr>
            <w:r w:rsidRPr="00334A51">
              <w:t xml:space="preserve">La </w:t>
            </w:r>
            <w:r w:rsidRPr="00334A51">
              <w:rPr>
                <w:b/>
              </w:rPr>
              <w:t>pct. 7</w:t>
            </w:r>
            <w:r w:rsidRPr="00334A51">
              <w:t xml:space="preserve"> – obligaţia impusă importatorului de a fi responsabil de introducerea pe piaţă a produselor cosmetice necesită a fi analizată suplimentar, din considerentul că, potrivit legislaţiei vamale importul şi introducerea pe piaţă sunt no</w:t>
            </w:r>
            <w:r w:rsidR="00C86B7B">
              <w:t>ţ</w:t>
            </w:r>
            <w:r w:rsidRPr="00334A51">
              <w:t>iuni a căror semnifica</w:t>
            </w:r>
            <w:r w:rsidR="00C86B7B">
              <w:t>ţ</w:t>
            </w:r>
            <w:r w:rsidRPr="00334A51">
              <w:t xml:space="preserve">ie este diferită. Prin urmare, importatorul este </w:t>
            </w:r>
            <w:r w:rsidR="00C86B7B">
              <w:t>ţ</w:t>
            </w:r>
            <w:r w:rsidRPr="00334A51">
              <w:t>inut responsabil de importul acestor mărfuri în ţară, dar nu şi de plasarea pe piaţă a acestora.</w:t>
            </w:r>
          </w:p>
          <w:p w:rsidR="00B439F6" w:rsidRPr="00334A51" w:rsidRDefault="00B439F6" w:rsidP="00B439F6">
            <w:pPr>
              <w:autoSpaceDE w:val="0"/>
              <w:autoSpaceDN w:val="0"/>
              <w:adjustRightInd w:val="0"/>
              <w:ind w:firstLine="500"/>
              <w:jc w:val="both"/>
            </w:pPr>
            <w:r w:rsidRPr="00334A51">
              <w:t>În textul Regulamentului deseori se confundă atribu</w:t>
            </w:r>
            <w:r w:rsidR="00C86B7B">
              <w:t>ţ</w:t>
            </w:r>
            <w:r w:rsidRPr="00334A51">
              <w:t>iile autorită</w:t>
            </w:r>
            <w:r w:rsidR="00C86B7B">
              <w:t>ţ</w:t>
            </w:r>
            <w:r w:rsidRPr="00334A51">
              <w:t xml:space="preserve">ii de reglementare </w:t>
            </w:r>
            <w:r w:rsidR="00C86B7B">
              <w:t>ş</w:t>
            </w:r>
            <w:r w:rsidRPr="00334A51">
              <w:t>i a autorită</w:t>
            </w:r>
            <w:r w:rsidR="00C86B7B">
              <w:t>ţ</w:t>
            </w:r>
            <w:r w:rsidRPr="00334A51">
              <w:t xml:space="preserve">ii de supraveghere. </w:t>
            </w:r>
            <w:r w:rsidRPr="00334A51">
              <w:rPr>
                <w:bCs/>
              </w:rPr>
              <w:t xml:space="preserve">Prevederile alin.2) art.10 din Legea nr.10 din 03.02.2009 privind supravegherea de stat a sănătăţii publice </w:t>
            </w:r>
            <w:r w:rsidR="00C86B7B">
              <w:rPr>
                <w:bCs/>
              </w:rPr>
              <w:t>ş</w:t>
            </w:r>
            <w:r w:rsidRPr="00334A51">
              <w:rPr>
                <w:bCs/>
              </w:rPr>
              <w:t xml:space="preserve">i prevederile pct.1 din </w:t>
            </w:r>
            <w:proofErr w:type="spellStart"/>
            <w:r w:rsidRPr="00334A51">
              <w:t>Hotărîrea</w:t>
            </w:r>
            <w:proofErr w:type="spellEnd"/>
            <w:r w:rsidRPr="00334A51">
              <w:t xml:space="preserve"> Guvernului nr.384 din 12.05.2010 cu privire la Serviciul de Supraveghere de Stat a Sănătăţii Publice, delimitează func</w:t>
            </w:r>
            <w:r w:rsidR="00C86B7B">
              <w:t>ţ</w:t>
            </w:r>
            <w:r w:rsidRPr="00334A51">
              <w:t>iile acestor autorită</w:t>
            </w:r>
            <w:r w:rsidR="00C86B7B">
              <w:t>ţ</w:t>
            </w:r>
            <w:r w:rsidRPr="00334A51">
              <w:t xml:space="preserve">i. </w:t>
            </w:r>
          </w:p>
          <w:p w:rsidR="00B439F6" w:rsidRPr="00334A51" w:rsidRDefault="00B439F6" w:rsidP="00B439F6">
            <w:pPr>
              <w:autoSpaceDE w:val="0"/>
              <w:autoSpaceDN w:val="0"/>
              <w:adjustRightInd w:val="0"/>
              <w:ind w:firstLine="500"/>
              <w:jc w:val="both"/>
              <w:rPr>
                <w:b/>
                <w:bCs/>
              </w:rPr>
            </w:pPr>
            <w:r w:rsidRPr="00334A51">
              <w:t>În acest context, în scopul stabilirii concrete a atribu</w:t>
            </w:r>
            <w:r w:rsidR="00C86B7B">
              <w:t>ţ</w:t>
            </w:r>
            <w:r w:rsidRPr="00334A51">
              <w:t>iilor autorită</w:t>
            </w:r>
            <w:r w:rsidR="00C86B7B">
              <w:t>ţ</w:t>
            </w:r>
            <w:r w:rsidRPr="00334A51">
              <w:t>ilor implicate în implementarea actului enun</w:t>
            </w:r>
            <w:r w:rsidR="00C86B7B">
              <w:t>ţ</w:t>
            </w:r>
            <w:r w:rsidRPr="00334A51">
              <w:t xml:space="preserve">at, considerăm oportun de a revizui prevederile proiectului (de ex., </w:t>
            </w:r>
            <w:r w:rsidRPr="00334A51">
              <w:rPr>
                <w:b/>
              </w:rPr>
              <w:t>pct.10 alin.3), 72, 81</w:t>
            </w:r>
            <w:r w:rsidRPr="00334A51">
              <w:t xml:space="preserve">, etc.). </w:t>
            </w:r>
          </w:p>
          <w:p w:rsidR="00B439F6" w:rsidRPr="00334A51" w:rsidRDefault="00B439F6" w:rsidP="00B439F6">
            <w:pPr>
              <w:autoSpaceDE w:val="0"/>
              <w:autoSpaceDN w:val="0"/>
              <w:adjustRightInd w:val="0"/>
              <w:ind w:firstLine="720"/>
              <w:jc w:val="both"/>
            </w:pPr>
            <w:r w:rsidRPr="00334A51">
              <w:t xml:space="preserve">Pe parcursul </w:t>
            </w:r>
            <w:r>
              <w:t>proiectului</w:t>
            </w:r>
            <w:r w:rsidRPr="00334A51">
              <w:t xml:space="preserve"> se utilizează în mai multe contexte (</w:t>
            </w:r>
            <w:r w:rsidRPr="00334A51">
              <w:rPr>
                <w:b/>
              </w:rPr>
              <w:t xml:space="preserve">pct. 10, 12, 15, 16, 20, 23, 30, 34, 46, 52, 61, 66, 67, 71, 74, 83, </w:t>
            </w:r>
            <w:proofErr w:type="spellStart"/>
            <w:r w:rsidRPr="00334A51">
              <w:rPr>
                <w:b/>
              </w:rPr>
              <w:t>ş.a</w:t>
            </w:r>
            <w:proofErr w:type="spellEnd"/>
            <w:r w:rsidRPr="00334A51">
              <w:rPr>
                <w:b/>
              </w:rPr>
              <w:t>)</w:t>
            </w:r>
            <w:r w:rsidRPr="00334A51">
              <w:t xml:space="preserve"> sintagma generică “</w:t>
            </w:r>
            <w:r w:rsidRPr="00334A51">
              <w:rPr>
                <w:i/>
              </w:rPr>
              <w:t>persoana responsabilă</w:t>
            </w:r>
            <w:r w:rsidRPr="00334A51">
              <w:t xml:space="preserve">” care are un caracter incert , astfel poate genera o aplicare discreţionară şi situaţii de coruptibilitate. În fiecare caz concret în parte, recomandăm, în scopul de a asigura aplicarea uniformă şi consecventă a prevederilor actului normativ, de a concretiza termenul în cauză, astfel ca acesta să fie strict identificabil. </w:t>
            </w:r>
          </w:p>
          <w:p w:rsidR="00E619C8" w:rsidRDefault="00E619C8" w:rsidP="00B439F6">
            <w:pPr>
              <w:autoSpaceDE w:val="0"/>
              <w:autoSpaceDN w:val="0"/>
              <w:adjustRightInd w:val="0"/>
              <w:ind w:firstLine="720"/>
              <w:jc w:val="both"/>
            </w:pPr>
          </w:p>
          <w:p w:rsidR="00B439F6" w:rsidRPr="00334A51" w:rsidRDefault="00B439F6" w:rsidP="00B439F6">
            <w:pPr>
              <w:autoSpaceDE w:val="0"/>
              <w:autoSpaceDN w:val="0"/>
              <w:adjustRightInd w:val="0"/>
              <w:ind w:firstLine="720"/>
              <w:jc w:val="both"/>
            </w:pPr>
            <w:r w:rsidRPr="00334A51">
              <w:t xml:space="preserve">Regulile tehnicii legislative prevăd că norma actului normativ trebuie exprimată laconic, </w:t>
            </w:r>
            <w:proofErr w:type="spellStart"/>
            <w:r w:rsidRPr="00334A51">
              <w:t>evitîndu-se</w:t>
            </w:r>
            <w:proofErr w:type="spellEnd"/>
            <w:r w:rsidRPr="00334A51">
              <w:t xml:space="preserve"> </w:t>
            </w:r>
            <w:proofErr w:type="spellStart"/>
            <w:r w:rsidRPr="00334A51">
              <w:t>atît</w:t>
            </w:r>
            <w:proofErr w:type="spellEnd"/>
            <w:r w:rsidRPr="00334A51">
              <w:t xml:space="preserve"> formulările generalizate, vagi, </w:t>
            </w:r>
            <w:proofErr w:type="spellStart"/>
            <w:r w:rsidRPr="00334A51">
              <w:t>cît</w:t>
            </w:r>
            <w:proofErr w:type="spellEnd"/>
            <w:r w:rsidRPr="00334A51">
              <w:t xml:space="preserve"> şi cele excesive. În acest sens recomandăm reformularea </w:t>
            </w:r>
            <w:proofErr w:type="spellStart"/>
            <w:r w:rsidRPr="00334A51">
              <w:t>subpct</w:t>
            </w:r>
            <w:proofErr w:type="spellEnd"/>
            <w:r w:rsidRPr="00334A51">
              <w:t xml:space="preserve">. </w:t>
            </w:r>
            <w:r w:rsidRPr="00334A51">
              <w:rPr>
                <w:b/>
              </w:rPr>
              <w:t>2 al pct. 12</w:t>
            </w:r>
            <w:r w:rsidRPr="00334A51">
              <w:t xml:space="preserve"> în ceea ce ţine de utilizarea sintagmei: “</w:t>
            </w:r>
            <w:r w:rsidRPr="00334A51">
              <w:rPr>
                <w:i/>
              </w:rPr>
              <w:t>distribuitorul identifică distribuitorul</w:t>
            </w:r>
            <w:r w:rsidRPr="00334A51">
              <w:t xml:space="preserve">” şi </w:t>
            </w:r>
            <w:r w:rsidRPr="00334A51">
              <w:rPr>
                <w:b/>
              </w:rPr>
              <w:t>pct. 14</w:t>
            </w:r>
            <w:r w:rsidRPr="00334A51">
              <w:t>, după următorul model: “</w:t>
            </w:r>
            <w:r w:rsidRPr="00334A51">
              <w:rPr>
                <w:i/>
              </w:rPr>
              <w:t>Autorităţile naţionale nu pot refuza libera circulaţie, interzice sau restricţiona punerea la dispoziţie pe piaţă a produselor cosmetice care îndeplinesc cerinţele prezentului Regulament</w:t>
            </w:r>
            <w:r w:rsidRPr="00334A51">
              <w:t xml:space="preserve">.” </w:t>
            </w:r>
          </w:p>
          <w:p w:rsidR="00B439F6" w:rsidRPr="00334A51" w:rsidRDefault="00B439F6" w:rsidP="00B439F6">
            <w:pPr>
              <w:ind w:firstLine="567"/>
              <w:jc w:val="both"/>
            </w:pPr>
            <w:r w:rsidRPr="00334A51">
              <w:t xml:space="preserve">La </w:t>
            </w:r>
            <w:r w:rsidRPr="00334A51">
              <w:rPr>
                <w:b/>
              </w:rPr>
              <w:t>pct.12</w:t>
            </w:r>
            <w:r w:rsidRPr="00334A51">
              <w:t xml:space="preserve"> - norma prevede exercitarea anumitor obligaţii în termen de 3 ani de la data punerii la dispozi</w:t>
            </w:r>
            <w:r w:rsidR="00C86B7B">
              <w:t>ţ</w:t>
            </w:r>
            <w:r w:rsidRPr="00334A51">
              <w:t>ia distribuitorului a produsului cosmetic, fără a specifica consecin</w:t>
            </w:r>
            <w:r w:rsidR="00C86B7B">
              <w:t>ţ</w:t>
            </w:r>
            <w:r w:rsidRPr="00334A51">
              <w:t>ele juridice în care respectivele ac</w:t>
            </w:r>
            <w:r w:rsidR="00C86B7B">
              <w:t>ţ</w:t>
            </w:r>
            <w:r w:rsidRPr="00334A51">
              <w:t>iuni nu vor putea fi efectuate în acest termen, din anumite motive obiective (decesul sau dispari</w:t>
            </w:r>
            <w:r w:rsidR="00C86B7B">
              <w:t>ţ</w:t>
            </w:r>
            <w:r w:rsidRPr="00334A51">
              <w:t xml:space="preserve">ia distribuitorului sau a </w:t>
            </w:r>
            <w:r w:rsidRPr="00334A51">
              <w:lastRenderedPageBreak/>
              <w:t xml:space="preserve">persoanei responsabile). </w:t>
            </w:r>
          </w:p>
          <w:p w:rsidR="00BB1F97" w:rsidRDefault="00BB1F97" w:rsidP="00B439F6">
            <w:pPr>
              <w:pStyle w:val="ad"/>
              <w:ind w:firstLine="426"/>
              <w:jc w:val="both"/>
              <w:rPr>
                <w:lang w:val="ro-RO"/>
              </w:rPr>
            </w:pPr>
          </w:p>
          <w:p w:rsidR="00BB1F97" w:rsidRDefault="00BB1F97" w:rsidP="00B439F6">
            <w:pPr>
              <w:pStyle w:val="ad"/>
              <w:ind w:firstLine="426"/>
              <w:jc w:val="both"/>
              <w:rPr>
                <w:lang w:val="ro-RO"/>
              </w:rPr>
            </w:pPr>
          </w:p>
          <w:p w:rsidR="00BB1F97" w:rsidRDefault="00BB1F97" w:rsidP="00B439F6">
            <w:pPr>
              <w:pStyle w:val="ad"/>
              <w:ind w:firstLine="426"/>
              <w:jc w:val="both"/>
              <w:rPr>
                <w:lang w:val="ro-RO"/>
              </w:rPr>
            </w:pPr>
          </w:p>
          <w:p w:rsidR="00BB1F97" w:rsidRDefault="00BB1F97" w:rsidP="00B439F6">
            <w:pPr>
              <w:pStyle w:val="ad"/>
              <w:ind w:firstLine="426"/>
              <w:jc w:val="both"/>
              <w:rPr>
                <w:lang w:val="ro-RO"/>
              </w:rPr>
            </w:pPr>
          </w:p>
          <w:p w:rsidR="00BB1F97" w:rsidRDefault="00BB1F97" w:rsidP="00B439F6">
            <w:pPr>
              <w:pStyle w:val="ad"/>
              <w:ind w:firstLine="426"/>
              <w:jc w:val="both"/>
              <w:rPr>
                <w:lang w:val="ro-RO"/>
              </w:rPr>
            </w:pPr>
          </w:p>
          <w:p w:rsidR="00BB1F97" w:rsidRDefault="00BB1F97" w:rsidP="00B439F6">
            <w:pPr>
              <w:pStyle w:val="ad"/>
              <w:ind w:firstLine="426"/>
              <w:jc w:val="both"/>
              <w:rPr>
                <w:lang w:val="ro-RO"/>
              </w:rPr>
            </w:pPr>
          </w:p>
          <w:p w:rsidR="00B439F6" w:rsidRPr="00334A51" w:rsidRDefault="00B439F6" w:rsidP="00B439F6">
            <w:pPr>
              <w:pStyle w:val="ad"/>
              <w:ind w:firstLine="426"/>
              <w:jc w:val="both"/>
              <w:rPr>
                <w:i/>
                <w:lang w:val="ro-RO"/>
              </w:rPr>
            </w:pPr>
            <w:r w:rsidRPr="00334A51">
              <w:rPr>
                <w:lang w:val="ro-RO"/>
              </w:rPr>
              <w:t xml:space="preserve">La </w:t>
            </w:r>
            <w:r w:rsidRPr="00334A51">
              <w:rPr>
                <w:b/>
                <w:lang w:val="ro-RO"/>
              </w:rPr>
              <w:t>pct.13</w:t>
            </w:r>
            <w:r w:rsidRPr="00334A51">
              <w:rPr>
                <w:lang w:val="ro-RO"/>
              </w:rPr>
              <w:t xml:space="preserve"> - pentru a asigura aplicarea adecvată a normei, este necesar de completat cu prevederile în următoarea redac</w:t>
            </w:r>
            <w:r w:rsidR="00C86B7B">
              <w:rPr>
                <w:lang w:val="ro-RO"/>
              </w:rPr>
              <w:t>ţ</w:t>
            </w:r>
            <w:r w:rsidRPr="00334A51">
              <w:rPr>
                <w:lang w:val="ro-RO"/>
              </w:rPr>
              <w:t xml:space="preserve">ie </w:t>
            </w:r>
            <w:r w:rsidRPr="00334A51">
              <w:rPr>
                <w:lang w:val="en-US"/>
              </w:rPr>
              <w:t>«</w:t>
            </w:r>
            <w:r w:rsidRPr="00334A51">
              <w:rPr>
                <w:i/>
                <w:lang w:val="ro-RO"/>
              </w:rPr>
              <w:t>Respectarea bunelor practici de fabrica</w:t>
            </w:r>
            <w:r w:rsidR="00C86B7B">
              <w:rPr>
                <w:i/>
                <w:lang w:val="ro-RO"/>
              </w:rPr>
              <w:t>ţ</w:t>
            </w:r>
            <w:r w:rsidRPr="00334A51">
              <w:rPr>
                <w:i/>
                <w:lang w:val="ro-RO"/>
              </w:rPr>
              <w:t>ie presupune că fabricarea este în conformitate cu standardele armonizate relevante, ale căror referin</w:t>
            </w:r>
            <w:r w:rsidR="00C86B7B">
              <w:rPr>
                <w:i/>
                <w:lang w:val="ro-RO"/>
              </w:rPr>
              <w:t>ţ</w:t>
            </w:r>
            <w:r w:rsidRPr="00334A51">
              <w:rPr>
                <w:i/>
                <w:lang w:val="ro-RO"/>
              </w:rPr>
              <w:t xml:space="preserve">e sunt publicate în Jurnalul Oficial al Uniunii Europene </w:t>
            </w:r>
            <w:r w:rsidR="00C86B7B">
              <w:rPr>
                <w:i/>
                <w:lang w:val="ro-RO"/>
              </w:rPr>
              <w:t>ş</w:t>
            </w:r>
            <w:r w:rsidRPr="00334A51">
              <w:rPr>
                <w:i/>
                <w:lang w:val="ro-RO"/>
              </w:rPr>
              <w:t>i care sunt adoptate în calitate de standarde moldovene</w:t>
            </w:r>
            <w:r w:rsidRPr="00334A51">
              <w:rPr>
                <w:i/>
                <w:lang w:val="en-US"/>
              </w:rPr>
              <w:t xml:space="preserve">», </w:t>
            </w:r>
            <w:r w:rsidRPr="00334A51">
              <w:rPr>
                <w:lang w:val="ro-RO"/>
              </w:rPr>
              <w:t>totodată de exclus cuvintele</w:t>
            </w:r>
            <w:r w:rsidRPr="00334A51">
              <w:rPr>
                <w:i/>
                <w:lang w:val="ro-RO"/>
              </w:rPr>
              <w:t xml:space="preserve"> </w:t>
            </w:r>
            <w:r w:rsidRPr="00334A51">
              <w:rPr>
                <w:lang w:val="ro-RO"/>
              </w:rPr>
              <w:t>«</w:t>
            </w:r>
            <w:r w:rsidR="00C86B7B">
              <w:rPr>
                <w:i/>
                <w:lang w:val="ro-RO"/>
              </w:rPr>
              <w:t>ş</w:t>
            </w:r>
            <w:r w:rsidRPr="00334A51">
              <w:rPr>
                <w:i/>
                <w:lang w:val="ro-RO"/>
              </w:rPr>
              <w:t>i este în conformitate cu standardele na</w:t>
            </w:r>
            <w:r w:rsidR="00C86B7B">
              <w:rPr>
                <w:i/>
                <w:lang w:val="ro-RO"/>
              </w:rPr>
              <w:t>ţ</w:t>
            </w:r>
            <w:r w:rsidRPr="00334A51">
              <w:rPr>
                <w:i/>
                <w:lang w:val="ro-RO"/>
              </w:rPr>
              <w:t>ionale».</w:t>
            </w:r>
          </w:p>
          <w:p w:rsidR="00BB1F97" w:rsidRDefault="00BB1F97" w:rsidP="00B439F6">
            <w:pPr>
              <w:ind w:firstLine="567"/>
              <w:jc w:val="both"/>
            </w:pPr>
          </w:p>
          <w:p w:rsidR="00B439F6" w:rsidRPr="00334A51" w:rsidRDefault="00B439F6" w:rsidP="00B439F6">
            <w:pPr>
              <w:ind w:firstLine="567"/>
              <w:jc w:val="both"/>
            </w:pPr>
            <w:r w:rsidRPr="00334A51">
              <w:t xml:space="preserve">La </w:t>
            </w:r>
            <w:r w:rsidRPr="00334A51">
              <w:rPr>
                <w:b/>
              </w:rPr>
              <w:t>pct.17</w:t>
            </w:r>
            <w:r w:rsidRPr="00334A51">
              <w:t xml:space="preserve"> - referinţa la Regulile şi normativele sanitaro-epidemiologice privind etichetarea produselor cosmetice necesită a fi analizată în mod conceptual, din considerentul că respectivele Reguli, în pofida faptului că au fost publicate în Monitorul Oficial, necesită a fi revizuite ulterior aprobării prezentului proiect, întru evitarea prezen</w:t>
            </w:r>
            <w:r w:rsidR="00C86B7B">
              <w:t>ţ</w:t>
            </w:r>
            <w:r w:rsidRPr="00334A51">
              <w:t xml:space="preserve">ei unor norme cu caracter primar, precum şi a unor norme contradictorii cu prezentul proiect. </w:t>
            </w:r>
          </w:p>
          <w:p w:rsidR="00BB1F97" w:rsidRDefault="00BB1F97" w:rsidP="00B439F6">
            <w:pPr>
              <w:pStyle w:val="a6"/>
              <w:rPr>
                <w:lang w:val="ro-RO"/>
              </w:rPr>
            </w:pPr>
          </w:p>
          <w:p w:rsidR="00BB1F97" w:rsidRDefault="00BB1F97" w:rsidP="00B439F6">
            <w:pPr>
              <w:pStyle w:val="a6"/>
              <w:rPr>
                <w:lang w:val="ro-RO"/>
              </w:rPr>
            </w:pPr>
          </w:p>
          <w:p w:rsidR="00BB1F97" w:rsidRDefault="00BB1F97" w:rsidP="00B439F6">
            <w:pPr>
              <w:pStyle w:val="a6"/>
              <w:rPr>
                <w:lang w:val="ro-RO"/>
              </w:rPr>
            </w:pPr>
          </w:p>
          <w:p w:rsidR="00BB1F97" w:rsidRDefault="00BB1F97" w:rsidP="00B439F6">
            <w:pPr>
              <w:pStyle w:val="a6"/>
              <w:rPr>
                <w:lang w:val="ro-RO"/>
              </w:rPr>
            </w:pPr>
          </w:p>
          <w:p w:rsidR="00BB1F97" w:rsidRDefault="00BB1F97" w:rsidP="00B439F6">
            <w:pPr>
              <w:pStyle w:val="a6"/>
              <w:rPr>
                <w:lang w:val="ro-RO"/>
              </w:rPr>
            </w:pPr>
          </w:p>
          <w:p w:rsidR="00BB1F97" w:rsidRDefault="00BB1F97" w:rsidP="00B439F6">
            <w:pPr>
              <w:pStyle w:val="a6"/>
              <w:rPr>
                <w:lang w:val="ro-RO"/>
              </w:rPr>
            </w:pPr>
          </w:p>
          <w:p w:rsidR="00BB1F97" w:rsidRDefault="00BB1F97" w:rsidP="00B439F6">
            <w:pPr>
              <w:pStyle w:val="a6"/>
              <w:rPr>
                <w:lang w:val="ro-RO"/>
              </w:rPr>
            </w:pPr>
          </w:p>
          <w:p w:rsidR="00B439F6" w:rsidRPr="00334A51" w:rsidRDefault="00B439F6" w:rsidP="00B439F6">
            <w:pPr>
              <w:pStyle w:val="a6"/>
              <w:rPr>
                <w:lang w:val="ro-RO"/>
              </w:rPr>
            </w:pPr>
            <w:r w:rsidRPr="00334A51">
              <w:rPr>
                <w:lang w:val="ro-RO"/>
              </w:rPr>
              <w:t xml:space="preserve">La </w:t>
            </w:r>
            <w:r w:rsidRPr="00334A51">
              <w:rPr>
                <w:b/>
                <w:lang w:val="ro-RO"/>
              </w:rPr>
              <w:t>pct.18</w:t>
            </w:r>
            <w:r w:rsidRPr="00334A51">
              <w:rPr>
                <w:lang w:val="ro-RO"/>
              </w:rPr>
              <w:t xml:space="preserve"> - la momentul aprobării de către Ministerul Sănătăţii a unor ghiduri corespunzătoare, menţionăm despre necesitatea respectării stipulărilor art.13 alin.(2) al Legii nr.317 din 18.07.2003, potrivit cărora </w:t>
            </w:r>
            <w:r w:rsidRPr="00334A51">
              <w:rPr>
                <w:i/>
                <w:lang w:val="ro-RO"/>
              </w:rPr>
              <w:t>”Ordinele cu caracter normativ, regulamentele, instrucţiunile, regulile şi alte acte normative se emit numai pe baza şi întru executarea legilor, precum şi a hotărârilor şi ordonanţelor Guvernului”.</w:t>
            </w:r>
            <w:r w:rsidRPr="00334A51">
              <w:rPr>
                <w:lang w:val="ro-RO"/>
              </w:rPr>
              <w:t xml:space="preserve">Obiecţie valabilă şi pentru </w:t>
            </w:r>
            <w:r w:rsidRPr="00334A51">
              <w:rPr>
                <w:b/>
                <w:lang w:val="ro-RO"/>
              </w:rPr>
              <w:t>pct.37</w:t>
            </w:r>
            <w:r w:rsidRPr="00334A51">
              <w:rPr>
                <w:lang w:val="ro-RO"/>
              </w:rPr>
              <w:t xml:space="preserve"> care acordă Ministerului Sănătăţii dreptul de a emite unele decizii care vor extinde domeniul de aplicare a anexei nr.5 aprobată prin intermediul prezentului proiect, pentru </w:t>
            </w:r>
            <w:r w:rsidRPr="00334A51">
              <w:rPr>
                <w:b/>
                <w:lang w:val="ro-RO"/>
              </w:rPr>
              <w:t>pct.38</w:t>
            </w:r>
            <w:r w:rsidRPr="00334A51">
              <w:rPr>
                <w:lang w:val="ro-RO"/>
              </w:rPr>
              <w:t xml:space="preserve"> (dreptul Ministerului Sănătăţii de a aproba măsuri necesare derulării procedurii de evaluare a produselor cosmetice), precum şi pentru </w:t>
            </w:r>
            <w:r w:rsidRPr="00334A51">
              <w:rPr>
                <w:b/>
                <w:lang w:val="ro-RO"/>
              </w:rPr>
              <w:t>pct.55</w:t>
            </w:r>
            <w:r w:rsidRPr="00334A51">
              <w:rPr>
                <w:lang w:val="ro-RO"/>
              </w:rPr>
              <w:t xml:space="preserve"> (Ministerul Sănătăţii va aproba norme de aplicare detaliată pentru indicarea numitor informaţii). </w:t>
            </w:r>
          </w:p>
          <w:p w:rsidR="00B439F6" w:rsidRPr="00334A51" w:rsidRDefault="00B439F6" w:rsidP="00B439F6">
            <w:pPr>
              <w:pStyle w:val="a6"/>
              <w:rPr>
                <w:lang w:val="ro-RO"/>
              </w:rPr>
            </w:pPr>
            <w:r w:rsidRPr="00334A51">
              <w:rPr>
                <w:b/>
                <w:lang w:val="ro-RO"/>
              </w:rPr>
              <w:t>Pct.19,</w:t>
            </w:r>
            <w:r w:rsidRPr="00334A51">
              <w:rPr>
                <w:lang w:val="ro-RO"/>
              </w:rPr>
              <w:t xml:space="preserve"> deoarece evaluarea siguran</w:t>
            </w:r>
            <w:r w:rsidR="00C86B7B">
              <w:rPr>
                <w:lang w:val="ro-RO"/>
              </w:rPr>
              <w:t>ţ</w:t>
            </w:r>
            <w:r w:rsidRPr="00334A51">
              <w:rPr>
                <w:lang w:val="ro-RO"/>
              </w:rPr>
              <w:t xml:space="preserve">ei produsului cosmetic nu este pusă în </w:t>
            </w:r>
            <w:r w:rsidRPr="00334A51">
              <w:rPr>
                <w:lang w:val="ro-RO"/>
              </w:rPr>
              <w:lastRenderedPageBreak/>
              <w:t>sarcina autorită</w:t>
            </w:r>
            <w:r w:rsidR="00C86B7B">
              <w:rPr>
                <w:lang w:val="ro-RO"/>
              </w:rPr>
              <w:t>ţ</w:t>
            </w:r>
            <w:r w:rsidRPr="00334A51">
              <w:rPr>
                <w:lang w:val="ro-RO"/>
              </w:rPr>
              <w:t>ilor de supraveghere sau a organismelor de evaluare a conformită</w:t>
            </w:r>
            <w:r w:rsidR="00C86B7B">
              <w:rPr>
                <w:lang w:val="ro-RO"/>
              </w:rPr>
              <w:t>ţ</w:t>
            </w:r>
            <w:r w:rsidRPr="00334A51">
              <w:rPr>
                <w:lang w:val="ro-RO"/>
              </w:rPr>
              <w:t>ii care de</w:t>
            </w:r>
            <w:r w:rsidR="00C86B7B">
              <w:rPr>
                <w:lang w:val="ro-RO"/>
              </w:rPr>
              <w:t>ţ</w:t>
            </w:r>
            <w:r w:rsidRPr="00334A51">
              <w:rPr>
                <w:lang w:val="ro-RO"/>
              </w:rPr>
              <w:t>in certificat de acreditare, este necesar de a prezenta în altă redac</w:t>
            </w:r>
            <w:r w:rsidR="00C86B7B">
              <w:rPr>
                <w:lang w:val="ro-RO"/>
              </w:rPr>
              <w:t>ţ</w:t>
            </w:r>
            <w:r w:rsidRPr="00334A51">
              <w:rPr>
                <w:lang w:val="ro-RO"/>
              </w:rPr>
              <w:t xml:space="preserve">ie </w:t>
            </w:r>
            <w:r w:rsidR="00C86B7B">
              <w:rPr>
                <w:lang w:val="ro-RO"/>
              </w:rPr>
              <w:t>ş</w:t>
            </w:r>
            <w:r w:rsidRPr="00334A51">
              <w:rPr>
                <w:lang w:val="ro-RO"/>
              </w:rPr>
              <w:t xml:space="preserve">i anume, conform prevederilor Regulamentului care se transpune (art.10 alin.(2)). </w:t>
            </w:r>
          </w:p>
          <w:p w:rsidR="00B439F6" w:rsidRPr="00334A51" w:rsidRDefault="00B439F6" w:rsidP="00B439F6">
            <w:pPr>
              <w:pStyle w:val="a6"/>
              <w:rPr>
                <w:lang w:val="ro-RO"/>
              </w:rPr>
            </w:pPr>
            <w:r w:rsidRPr="00334A51">
              <w:rPr>
                <w:lang w:val="ro-RO"/>
              </w:rPr>
              <w:t xml:space="preserve">La </w:t>
            </w:r>
            <w:r w:rsidRPr="00334A51">
              <w:rPr>
                <w:b/>
                <w:lang w:val="ro-RO"/>
              </w:rPr>
              <w:t>pct.21 alin.(1)</w:t>
            </w:r>
            <w:r w:rsidRPr="00334A51">
              <w:rPr>
                <w:lang w:val="ro-RO"/>
              </w:rPr>
              <w:t xml:space="preserve"> este prevăzut ca </w:t>
            </w:r>
            <w:r w:rsidRPr="00334A51">
              <w:rPr>
                <w:i/>
                <w:lang w:val="ro-RO"/>
              </w:rPr>
              <w:t>Dosarul cu informa</w:t>
            </w:r>
            <w:r w:rsidR="00C86B7B">
              <w:rPr>
                <w:i/>
                <w:lang w:val="ro-RO"/>
              </w:rPr>
              <w:t>ţ</w:t>
            </w:r>
            <w:r w:rsidRPr="00334A51">
              <w:rPr>
                <w:i/>
                <w:lang w:val="ro-RO"/>
              </w:rPr>
              <w:t>ii despre produs trebuie păstrat pe perioada termenului de garan</w:t>
            </w:r>
            <w:r w:rsidR="00C86B7B">
              <w:rPr>
                <w:i/>
                <w:lang w:val="ro-RO"/>
              </w:rPr>
              <w:t>ţ</w:t>
            </w:r>
            <w:r w:rsidRPr="00334A51">
              <w:rPr>
                <w:i/>
                <w:lang w:val="ro-RO"/>
              </w:rPr>
              <w:t>ie a produsului cosmetic care a fost introdus pe pia</w:t>
            </w:r>
            <w:r w:rsidR="00C86B7B">
              <w:rPr>
                <w:i/>
                <w:lang w:val="ro-RO"/>
              </w:rPr>
              <w:t>ţ</w:t>
            </w:r>
            <w:r w:rsidRPr="00334A51">
              <w:rPr>
                <w:i/>
                <w:lang w:val="ro-RO"/>
              </w:rPr>
              <w:t xml:space="preserve">ă. </w:t>
            </w:r>
            <w:proofErr w:type="spellStart"/>
            <w:r w:rsidRPr="00334A51">
              <w:rPr>
                <w:lang w:val="ro-RO"/>
              </w:rPr>
              <w:t>Avînd</w:t>
            </w:r>
            <w:proofErr w:type="spellEnd"/>
            <w:r w:rsidRPr="00334A51">
              <w:rPr>
                <w:lang w:val="ro-RO"/>
              </w:rPr>
              <w:t xml:space="preserve"> în vedere riscurile pe care le poate provoca produsul cosmetic, este necesar de prevăzut termenul pentru păstrarea dosarului cu informa</w:t>
            </w:r>
            <w:r w:rsidR="00C86B7B">
              <w:rPr>
                <w:lang w:val="ro-RO"/>
              </w:rPr>
              <w:t>ţ</w:t>
            </w:r>
            <w:r w:rsidRPr="00334A51">
              <w:rPr>
                <w:lang w:val="ro-RO"/>
              </w:rPr>
              <w:t>ii pe o perioadă de zece ani de la data la care ultimul lot al produsului cosmetic a fost introdus pe pia</w:t>
            </w:r>
            <w:r w:rsidR="00C86B7B">
              <w:rPr>
                <w:lang w:val="ro-RO"/>
              </w:rPr>
              <w:t>ţ</w:t>
            </w:r>
            <w:r w:rsidRPr="00334A51">
              <w:rPr>
                <w:lang w:val="ro-RO"/>
              </w:rPr>
              <w:t>ă, adică în modul stipulat de Regulamentul nr.1223/2009 (art.11 alin. (1).</w:t>
            </w:r>
          </w:p>
          <w:p w:rsidR="00B439F6" w:rsidRPr="00334A51" w:rsidRDefault="00B439F6" w:rsidP="00B439F6">
            <w:pPr>
              <w:autoSpaceDE w:val="0"/>
              <w:autoSpaceDN w:val="0"/>
              <w:adjustRightInd w:val="0"/>
              <w:ind w:firstLine="720"/>
              <w:jc w:val="both"/>
            </w:pPr>
            <w:r w:rsidRPr="00334A51">
              <w:t>Conform art. 46 alin. (4) al Legii nr.317 din 18.07.2003: „</w:t>
            </w:r>
            <w:r w:rsidRPr="00334A51">
              <w:rPr>
                <w:i/>
              </w:rPr>
              <w:t xml:space="preserve">Se utilizează, pe </w:t>
            </w:r>
            <w:proofErr w:type="spellStart"/>
            <w:r w:rsidRPr="00334A51">
              <w:rPr>
                <w:i/>
              </w:rPr>
              <w:t>cît</w:t>
            </w:r>
            <w:proofErr w:type="spellEnd"/>
            <w:r w:rsidRPr="00334A51">
              <w:rPr>
                <w:i/>
              </w:rPr>
              <w:t xml:space="preserve"> este posibil, noţiuni monosemantice, în conformitate cu terminologia juridică. Dacă un termen este polisemantic, sensul în care este folosit trebuie să decurgă cu claritate din text.”</w:t>
            </w:r>
            <w:r w:rsidRPr="00334A51">
              <w:t xml:space="preserve"> Reieşind din aceasta, menţionăm necesitatea ca la </w:t>
            </w:r>
            <w:r w:rsidRPr="00334A51">
              <w:rPr>
                <w:b/>
              </w:rPr>
              <w:t>pct. 26</w:t>
            </w:r>
            <w:r w:rsidRPr="00334A51">
              <w:t>, fie să se explice termenii “fiabil” şi “reproductibil”, fie ca aceşti termeni să fie substituiţi cu alţii concreţi.</w:t>
            </w:r>
          </w:p>
          <w:p w:rsidR="00B439F6" w:rsidRPr="00334A51" w:rsidRDefault="00B439F6" w:rsidP="00B439F6">
            <w:pPr>
              <w:pStyle w:val="a6"/>
              <w:rPr>
                <w:lang w:val="ro-RO"/>
              </w:rPr>
            </w:pPr>
            <w:r w:rsidRPr="00334A51">
              <w:rPr>
                <w:lang w:val="ro-RO"/>
              </w:rPr>
              <w:t xml:space="preserve">La </w:t>
            </w:r>
            <w:r w:rsidRPr="00334A51">
              <w:rPr>
                <w:b/>
                <w:lang w:val="ro-RO"/>
              </w:rPr>
              <w:t>pct.27</w:t>
            </w:r>
            <w:r w:rsidRPr="00334A51">
              <w:rPr>
                <w:lang w:val="ro-RO"/>
              </w:rPr>
              <w:t xml:space="preserve"> - se impune necesară aprobarea de către Guvern, a unor metodologii privind verificarea compozi</w:t>
            </w:r>
            <w:r w:rsidR="00C86B7B">
              <w:rPr>
                <w:lang w:val="ro-RO"/>
              </w:rPr>
              <w:t>ţ</w:t>
            </w:r>
            <w:r w:rsidRPr="00334A51">
              <w:rPr>
                <w:lang w:val="ro-RO"/>
              </w:rPr>
              <w:t>iei produselor cosmetice şi determinarea anumitor proprietă</w:t>
            </w:r>
            <w:r w:rsidR="00C86B7B">
              <w:rPr>
                <w:lang w:val="ro-RO"/>
              </w:rPr>
              <w:t>ţ</w:t>
            </w:r>
            <w:r w:rsidRPr="00334A51">
              <w:rPr>
                <w:lang w:val="ro-RO"/>
              </w:rPr>
              <w:t>i ale acestora, nefiind astfel clară oportunitatea aprobării prin intermediul prezentului proiect a Anexelor nr.2-8 (metode de analiză necesare verificării compozi</w:t>
            </w:r>
            <w:r w:rsidR="00C86B7B">
              <w:rPr>
                <w:lang w:val="ro-RO"/>
              </w:rPr>
              <w:t>ţ</w:t>
            </w:r>
            <w:r w:rsidRPr="00334A51">
              <w:rPr>
                <w:lang w:val="ro-RO"/>
              </w:rPr>
              <w:t xml:space="preserve">iei produselor cosmetice). </w:t>
            </w:r>
          </w:p>
          <w:p w:rsidR="00B439F6" w:rsidRPr="00334A51" w:rsidRDefault="00B439F6" w:rsidP="00B439F6">
            <w:pPr>
              <w:pStyle w:val="a6"/>
              <w:rPr>
                <w:lang w:val="ro-RO"/>
              </w:rPr>
            </w:pPr>
            <w:r w:rsidRPr="00334A51">
              <w:rPr>
                <w:lang w:val="ro-RO"/>
              </w:rPr>
              <w:t xml:space="preserve">La </w:t>
            </w:r>
            <w:r w:rsidRPr="00334A51">
              <w:rPr>
                <w:b/>
                <w:lang w:val="ro-RO"/>
              </w:rPr>
              <w:t>pct.29</w:t>
            </w:r>
            <w:r w:rsidRPr="00334A51">
              <w:rPr>
                <w:lang w:val="ro-RO"/>
              </w:rPr>
              <w:t xml:space="preserve"> - autorizarea sanitară a produselor cosmetice nu este prevăzută ca act permisiv, în textul Nomenclatorului actelor permisive, aprobat prin Legea nr.160 din 22.07.2011, care instituie doar certificatul sanitar pentru loturile de produse. </w:t>
            </w:r>
          </w:p>
          <w:p w:rsidR="00B439F6" w:rsidRPr="00334A51" w:rsidRDefault="00B439F6" w:rsidP="00786CE6">
            <w:pPr>
              <w:pStyle w:val="a6"/>
              <w:ind w:firstLine="0"/>
              <w:rPr>
                <w:lang w:val="ro-RO"/>
              </w:rPr>
            </w:pPr>
            <w:r w:rsidRPr="00334A51">
              <w:rPr>
                <w:lang w:val="ro-RO"/>
              </w:rPr>
              <w:t>În acest context, se impune necesară corelarea textului proiectului cu normele Legii citate, fie amendarea anterioară a acestui act legislativ.</w:t>
            </w:r>
          </w:p>
          <w:p w:rsidR="00B439F6" w:rsidRPr="00334A51" w:rsidRDefault="00B439F6" w:rsidP="00B439F6">
            <w:pPr>
              <w:pStyle w:val="ad"/>
              <w:ind w:firstLine="500"/>
              <w:jc w:val="both"/>
              <w:rPr>
                <w:lang w:val="ro-RO"/>
              </w:rPr>
            </w:pPr>
            <w:r w:rsidRPr="00334A51">
              <w:rPr>
                <w:lang w:val="ro-RO"/>
              </w:rPr>
              <w:t>Pe tot parcursul textului sunt utilizate referin</w:t>
            </w:r>
            <w:r w:rsidR="00C86B7B">
              <w:rPr>
                <w:lang w:val="ro-RO"/>
              </w:rPr>
              <w:t>ţ</w:t>
            </w:r>
            <w:r w:rsidRPr="00334A51">
              <w:rPr>
                <w:lang w:val="ro-RO"/>
              </w:rPr>
              <w:t xml:space="preserve">e la diferite documente legislative ale Uniunii Europene (la </w:t>
            </w:r>
            <w:r w:rsidRPr="00334A51">
              <w:rPr>
                <w:b/>
                <w:lang w:val="ro-RO"/>
              </w:rPr>
              <w:t>pct. 38, 39, 62</w:t>
            </w:r>
            <w:r w:rsidRPr="00334A51">
              <w:rPr>
                <w:lang w:val="ro-RO"/>
              </w:rPr>
              <w:t xml:space="preserve"> - Regulamentul (CE) nr.1272/2008, </w:t>
            </w:r>
            <w:r w:rsidRPr="00334A51">
              <w:rPr>
                <w:b/>
                <w:lang w:val="ro-RO"/>
              </w:rPr>
              <w:t>pct. 50</w:t>
            </w:r>
            <w:r w:rsidRPr="00334A51">
              <w:rPr>
                <w:lang w:val="ro-RO"/>
              </w:rPr>
              <w:t xml:space="preserve"> - Regulamentul (CE) nr.440/2008 al Comisiei din 30 mai 2008 de stabilire a metodelor de testare în temeiul Regulamentului (CE) nr.1907/2006 al Parlamentului European </w:t>
            </w:r>
            <w:r w:rsidR="00C86B7B">
              <w:rPr>
                <w:lang w:val="ro-RO"/>
              </w:rPr>
              <w:t>ş</w:t>
            </w:r>
            <w:r w:rsidRPr="00334A51">
              <w:rPr>
                <w:lang w:val="ro-RO"/>
              </w:rPr>
              <w:t xml:space="preserve">i al Consiliului privind înregistrarea, evaluarea, autorizarea </w:t>
            </w:r>
            <w:r w:rsidR="00C86B7B">
              <w:rPr>
                <w:lang w:val="ro-RO"/>
              </w:rPr>
              <w:t>ş</w:t>
            </w:r>
            <w:r w:rsidRPr="00334A51">
              <w:rPr>
                <w:lang w:val="ro-RO"/>
              </w:rPr>
              <w:t>i restric</w:t>
            </w:r>
            <w:r w:rsidR="00C86B7B">
              <w:rPr>
                <w:lang w:val="ro-RO"/>
              </w:rPr>
              <w:t>ţ</w:t>
            </w:r>
            <w:r w:rsidRPr="00334A51">
              <w:rPr>
                <w:lang w:val="ro-RO"/>
              </w:rPr>
              <w:t>ionarea substan</w:t>
            </w:r>
            <w:r w:rsidR="00C86B7B">
              <w:rPr>
                <w:lang w:val="ro-RO"/>
              </w:rPr>
              <w:t>ţ</w:t>
            </w:r>
            <w:r w:rsidRPr="00334A51">
              <w:rPr>
                <w:lang w:val="ro-RO"/>
              </w:rPr>
              <w:t xml:space="preserve">elor chimice (REACH), </w:t>
            </w:r>
            <w:r w:rsidRPr="00334A51">
              <w:rPr>
                <w:b/>
                <w:lang w:val="ro-RO"/>
              </w:rPr>
              <w:t>pct. 293 din Anexa nr. 3 la Regulamentului sanitar</w:t>
            </w:r>
            <w:r w:rsidRPr="00334A51">
              <w:rPr>
                <w:lang w:val="ro-RO"/>
              </w:rPr>
              <w:t xml:space="preserve"> - Directiva 96/29/</w:t>
            </w:r>
            <w:proofErr w:type="spellStart"/>
            <w:r w:rsidRPr="00334A51">
              <w:rPr>
                <w:lang w:val="ro-RO"/>
              </w:rPr>
              <w:t>Euratom</w:t>
            </w:r>
            <w:proofErr w:type="spellEnd"/>
            <w:r w:rsidRPr="00334A51">
              <w:rPr>
                <w:lang w:val="ro-RO"/>
              </w:rPr>
              <w:t xml:space="preserve">, </w:t>
            </w:r>
            <w:r w:rsidRPr="00334A51">
              <w:rPr>
                <w:b/>
                <w:lang w:val="ro-RO"/>
              </w:rPr>
              <w:t>pct. 323</w:t>
            </w:r>
            <w:r w:rsidRPr="00334A51">
              <w:rPr>
                <w:lang w:val="ro-RO"/>
              </w:rPr>
              <w:t xml:space="preserve"> - Directiva 2001/83/CE, </w:t>
            </w:r>
            <w:r w:rsidRPr="00334A51">
              <w:rPr>
                <w:b/>
                <w:lang w:val="ro-RO"/>
              </w:rPr>
              <w:t>pct. 19 din Anexa nr. 5</w:t>
            </w:r>
            <w:r w:rsidRPr="00334A51">
              <w:rPr>
                <w:lang w:val="ro-RO"/>
              </w:rPr>
              <w:t xml:space="preserve"> - Directiva 95/4</w:t>
            </w:r>
            <w:r w:rsidR="00786CE6">
              <w:rPr>
                <w:lang w:val="ro-RO"/>
              </w:rPr>
              <w:t xml:space="preserve">5/CE a Comisiei (E 122) etc.). </w:t>
            </w:r>
          </w:p>
          <w:p w:rsidR="00B439F6" w:rsidRPr="00334A51" w:rsidRDefault="00B439F6" w:rsidP="00786CE6">
            <w:pPr>
              <w:pStyle w:val="ad"/>
              <w:jc w:val="both"/>
              <w:rPr>
                <w:lang w:val="ro-RO"/>
              </w:rPr>
            </w:pPr>
            <w:r w:rsidRPr="00334A51">
              <w:rPr>
                <w:lang w:val="ro-RO"/>
              </w:rPr>
              <w:t>Aceste referin</w:t>
            </w:r>
            <w:r w:rsidR="00C86B7B">
              <w:rPr>
                <w:lang w:val="ro-RO"/>
              </w:rPr>
              <w:t>ţ</w:t>
            </w:r>
            <w:r w:rsidRPr="00334A51">
              <w:rPr>
                <w:lang w:val="ro-RO"/>
              </w:rPr>
              <w:t xml:space="preserve">e la acte nu sunt corecte, deoarece sunt acte juridice ale altor </w:t>
            </w:r>
            <w:r w:rsidR="00C86B7B">
              <w:rPr>
                <w:lang w:val="ro-RO"/>
              </w:rPr>
              <w:t>ţ</w:t>
            </w:r>
            <w:r w:rsidRPr="00334A51">
              <w:rPr>
                <w:lang w:val="ro-RO"/>
              </w:rPr>
              <w:t xml:space="preserve">ări. Astfel, este necesar or, de transpus actele necesare </w:t>
            </w:r>
            <w:r w:rsidR="00C86B7B">
              <w:rPr>
                <w:lang w:val="ro-RO"/>
              </w:rPr>
              <w:t>ş</w:t>
            </w:r>
            <w:r w:rsidRPr="00334A51">
              <w:rPr>
                <w:lang w:val="ro-RO"/>
              </w:rPr>
              <w:t>i de făcut referin</w:t>
            </w:r>
            <w:r w:rsidR="00C86B7B">
              <w:rPr>
                <w:lang w:val="ro-RO"/>
              </w:rPr>
              <w:t>ţ</w:t>
            </w:r>
            <w:r w:rsidRPr="00334A51">
              <w:rPr>
                <w:lang w:val="ro-RO"/>
              </w:rPr>
              <w:t>ă la actul na</w:t>
            </w:r>
            <w:r w:rsidR="00C86B7B">
              <w:rPr>
                <w:lang w:val="ro-RO"/>
              </w:rPr>
              <w:t>ţ</w:t>
            </w:r>
            <w:r w:rsidRPr="00334A51">
              <w:rPr>
                <w:lang w:val="ro-RO"/>
              </w:rPr>
              <w:t>ional, or de stipulat cerin</w:t>
            </w:r>
            <w:r w:rsidR="00C86B7B">
              <w:rPr>
                <w:lang w:val="ro-RO"/>
              </w:rPr>
              <w:t>ţ</w:t>
            </w:r>
            <w:r w:rsidRPr="00334A51">
              <w:rPr>
                <w:lang w:val="ro-RO"/>
              </w:rPr>
              <w:t>ele din aceste acte chiar în textul Regulamentului.</w:t>
            </w:r>
          </w:p>
          <w:p w:rsidR="00B439F6" w:rsidRPr="00334A51" w:rsidRDefault="00B439F6" w:rsidP="00B439F6">
            <w:pPr>
              <w:pStyle w:val="a6"/>
              <w:rPr>
                <w:lang w:val="ro-RO"/>
              </w:rPr>
            </w:pPr>
            <w:r w:rsidRPr="00334A51">
              <w:rPr>
                <w:lang w:val="ro-RO"/>
              </w:rPr>
              <w:t xml:space="preserve">La </w:t>
            </w:r>
            <w:r w:rsidRPr="00334A51">
              <w:rPr>
                <w:b/>
                <w:lang w:val="ro-RO"/>
              </w:rPr>
              <w:t>pct.51</w:t>
            </w:r>
            <w:r w:rsidRPr="00334A51">
              <w:rPr>
                <w:lang w:val="ro-RO"/>
              </w:rPr>
              <w:t xml:space="preserve"> - norma expusă poartă caracter imprevizibil, în măsura în care nu stabileşte autoritatea precum şi criteriile ce vor sta la temelia emiterii protocolului de </w:t>
            </w:r>
            <w:r w:rsidRPr="00334A51">
              <w:rPr>
                <w:lang w:val="ro-RO"/>
              </w:rPr>
              <w:lastRenderedPageBreak/>
              <w:t xml:space="preserve">cercetare detaliată propus ca bază de evaluare. În caz contrar, există riscul interpretării şi aplicării </w:t>
            </w:r>
            <w:proofErr w:type="spellStart"/>
            <w:r w:rsidRPr="00334A51">
              <w:rPr>
                <w:lang w:val="ro-RO"/>
              </w:rPr>
              <w:t>neunivoce</w:t>
            </w:r>
            <w:proofErr w:type="spellEnd"/>
            <w:r w:rsidRPr="00334A51">
              <w:rPr>
                <w:lang w:val="ro-RO"/>
              </w:rPr>
              <w:t xml:space="preserve"> şi subiective a normei propuse. </w:t>
            </w:r>
          </w:p>
          <w:p w:rsidR="00B439F6" w:rsidRPr="00334A51" w:rsidRDefault="00B439F6" w:rsidP="00B439F6">
            <w:pPr>
              <w:autoSpaceDE w:val="0"/>
              <w:autoSpaceDN w:val="0"/>
              <w:adjustRightInd w:val="0"/>
              <w:ind w:firstLine="720"/>
              <w:jc w:val="both"/>
            </w:pPr>
            <w:r w:rsidRPr="00334A51">
              <w:t>Sintagma “</w:t>
            </w:r>
            <w:r w:rsidRPr="00334A51">
              <w:rPr>
                <w:i/>
              </w:rPr>
              <w:t>nomenclatură general acceptată</w:t>
            </w:r>
            <w:r w:rsidRPr="00334A51">
              <w:t xml:space="preserve">” creează un caracter incert şi interpretabil în aplicarea </w:t>
            </w:r>
            <w:r w:rsidRPr="00334A51">
              <w:rPr>
                <w:b/>
              </w:rPr>
              <w:t>pct. 57</w:t>
            </w:r>
            <w:r w:rsidRPr="00334A51">
              <w:t>. Astfel, propunem ca actele normative pertinente în domeniu să fie expuse nemijlocit în textul proiectului.</w:t>
            </w:r>
          </w:p>
          <w:p w:rsidR="00B439F6" w:rsidRPr="00334A51" w:rsidRDefault="00B439F6" w:rsidP="00B439F6">
            <w:pPr>
              <w:autoSpaceDE w:val="0"/>
              <w:autoSpaceDN w:val="0"/>
              <w:adjustRightInd w:val="0"/>
              <w:ind w:firstLine="720"/>
              <w:jc w:val="both"/>
            </w:pPr>
            <w:r w:rsidRPr="00334A51">
              <w:t xml:space="preserve">Considerăm că norma de blanchetă prevăzută la </w:t>
            </w:r>
            <w:r w:rsidRPr="00334A51">
              <w:rPr>
                <w:b/>
              </w:rPr>
              <w:t>pct. 62</w:t>
            </w:r>
            <w:r w:rsidRPr="00334A51">
              <w:t xml:space="preserve"> urmează a fi revăzută, din considerentul că aceasta face trimitere la un articol dintr-un act juridic internaţional care nu are forţă juridică pe teritoriul Republicii Moldova, ori un act juridic poate fi invocat şi obţine putere juridică în urma publicării acestuia în Monitorul Oficial al Republicii Moldova (</w:t>
            </w:r>
            <w:r w:rsidRPr="00334A51">
              <w:rPr>
                <w:i/>
              </w:rPr>
              <w:t>a se vedea art. 72 şi 102 din Constituţia Republicii Moldova</w:t>
            </w:r>
            <w:r w:rsidRPr="00334A51">
              <w:t xml:space="preserve">), sau ca excepţie în condiţiile art. 4 şi 8 ale Constituţiei Republicii Moldova. </w:t>
            </w:r>
          </w:p>
          <w:p w:rsidR="00B439F6" w:rsidRPr="00334A51" w:rsidRDefault="00B439F6" w:rsidP="00B439F6">
            <w:pPr>
              <w:pStyle w:val="a6"/>
              <w:rPr>
                <w:lang w:val="ro-RO"/>
              </w:rPr>
            </w:pPr>
            <w:r w:rsidRPr="00334A51">
              <w:rPr>
                <w:lang w:val="ro-RO"/>
              </w:rPr>
              <w:t xml:space="preserve">La </w:t>
            </w:r>
            <w:r w:rsidRPr="00334A51">
              <w:rPr>
                <w:b/>
                <w:lang w:val="ro-RO"/>
              </w:rPr>
              <w:t>pct.</w:t>
            </w:r>
            <w:r>
              <w:rPr>
                <w:b/>
                <w:lang w:val="ro-RO"/>
              </w:rPr>
              <w:t xml:space="preserve"> </w:t>
            </w:r>
            <w:r w:rsidRPr="00334A51">
              <w:rPr>
                <w:b/>
                <w:lang w:val="ro-RO"/>
              </w:rPr>
              <w:t>63 - 65</w:t>
            </w:r>
            <w:r w:rsidRPr="00334A51">
              <w:rPr>
                <w:lang w:val="ro-RO"/>
              </w:rPr>
              <w:t xml:space="preserve">, precum şi </w:t>
            </w:r>
            <w:r w:rsidRPr="00334A51">
              <w:rPr>
                <w:b/>
                <w:lang w:val="ro-RO"/>
              </w:rPr>
              <w:t>pct.</w:t>
            </w:r>
            <w:r>
              <w:rPr>
                <w:b/>
                <w:lang w:val="ro-RO"/>
              </w:rPr>
              <w:t xml:space="preserve"> </w:t>
            </w:r>
            <w:r w:rsidRPr="00334A51">
              <w:rPr>
                <w:b/>
                <w:lang w:val="ro-RO"/>
              </w:rPr>
              <w:t>73</w:t>
            </w:r>
            <w:r w:rsidRPr="00334A51">
              <w:rPr>
                <w:lang w:val="ro-RO"/>
              </w:rPr>
              <w:t xml:space="preserve"> – normele expuse necesită a fi revizuite, prin prisma normelor prevăzute în Anexă la Legea privind controlul de stat asupra activităţii de întreprinzător nr.131 din 08.06.2012, potrivit căreia </w:t>
            </w:r>
            <w:r w:rsidRPr="00334A51">
              <w:rPr>
                <w:i/>
                <w:lang w:val="ro-RO"/>
              </w:rPr>
              <w:t>„Controlul corespunderii produselor şi serviciilor plasate pe piaţă cerin</w:t>
            </w:r>
            <w:r w:rsidR="00C86B7B">
              <w:rPr>
                <w:i/>
                <w:lang w:val="ro-RO"/>
              </w:rPr>
              <w:t>ţ</w:t>
            </w:r>
            <w:r w:rsidRPr="00334A51">
              <w:rPr>
                <w:i/>
                <w:lang w:val="ro-RO"/>
              </w:rPr>
              <w:t xml:space="preserve">elor declarate şi/sau prescrise în documentele normative referitoare la produsele şi serviciile date” </w:t>
            </w:r>
            <w:r w:rsidRPr="00334A51">
              <w:rPr>
                <w:lang w:val="ro-RO"/>
              </w:rPr>
              <w:t>este în sarcina Agen</w:t>
            </w:r>
            <w:r w:rsidR="00C86B7B">
              <w:rPr>
                <w:lang w:val="ro-RO"/>
              </w:rPr>
              <w:t>ţ</w:t>
            </w:r>
            <w:r w:rsidRPr="00334A51">
              <w:rPr>
                <w:lang w:val="ro-RO"/>
              </w:rPr>
              <w:t>iei pentru Protec</w:t>
            </w:r>
            <w:r w:rsidR="00C86B7B">
              <w:rPr>
                <w:lang w:val="ro-RO"/>
              </w:rPr>
              <w:t>ţ</w:t>
            </w:r>
            <w:r w:rsidRPr="00334A51">
              <w:rPr>
                <w:lang w:val="ro-RO"/>
              </w:rPr>
              <w:t>ia Consumatorilor.</w:t>
            </w:r>
          </w:p>
          <w:p w:rsidR="00B439F6" w:rsidRPr="00334A51" w:rsidRDefault="00B439F6" w:rsidP="00B439F6">
            <w:pPr>
              <w:autoSpaceDE w:val="0"/>
              <w:autoSpaceDN w:val="0"/>
              <w:adjustRightInd w:val="0"/>
              <w:ind w:firstLine="720"/>
              <w:jc w:val="both"/>
            </w:pPr>
            <w:r w:rsidRPr="00334A51">
              <w:t xml:space="preserve">Se impune necesar revizuirea temeiurilor de retragere a produsului de pe piaţă, prevăzute de </w:t>
            </w:r>
            <w:r w:rsidRPr="00334A51">
              <w:rPr>
                <w:b/>
              </w:rPr>
              <w:t>pct. 73</w:t>
            </w:r>
            <w:r w:rsidRPr="00334A51">
              <w:t xml:space="preserve">. Considerăm că retragerea de pe piaţă urmează a fi aplicată pentru încălcările cu un grad de pericol sporit, pentru cele cu un grad de pericol redus ar fi oportun aplicarea unor măsuri provizorii, pentru înlăturarea neajunsurilor depistate, iar în cazul în care într-un termen rezonabil neajunsurile nu se înlătura, să fie aplicată retragerea de pe piaţă a produsului sau rechemarea acestuia.   </w:t>
            </w:r>
          </w:p>
          <w:p w:rsidR="00B439F6" w:rsidRDefault="00B439F6" w:rsidP="00B439F6">
            <w:pPr>
              <w:autoSpaceDE w:val="0"/>
              <w:autoSpaceDN w:val="0"/>
              <w:adjustRightInd w:val="0"/>
              <w:ind w:firstLine="720"/>
              <w:jc w:val="both"/>
            </w:pPr>
            <w:r w:rsidRPr="00334A51">
              <w:t xml:space="preserve">La </w:t>
            </w:r>
            <w:r w:rsidRPr="00334A51">
              <w:rPr>
                <w:b/>
              </w:rPr>
              <w:t>pct. 78, 79, 80, 81</w:t>
            </w:r>
            <w:r w:rsidRPr="00334A51">
              <w:t xml:space="preserve"> se utilizează termenul „</w:t>
            </w:r>
            <w:r w:rsidRPr="00334A51">
              <w:rPr>
                <w:i/>
              </w:rPr>
              <w:t>măsuri provizorii</w:t>
            </w:r>
            <w:r w:rsidRPr="00334A51">
              <w:t xml:space="preserve">” fără ca acesta să fie detaliat. În acest sens, propunem completarea proiectului cu un punct care ar specifica exhaustiv care sunt măsurile provizorii care pot fi aplicate agenţilor economici. </w:t>
            </w:r>
          </w:p>
          <w:p w:rsidR="00B439F6" w:rsidRPr="00334A51" w:rsidRDefault="00B439F6" w:rsidP="00B439F6">
            <w:pPr>
              <w:autoSpaceDE w:val="0"/>
              <w:autoSpaceDN w:val="0"/>
              <w:adjustRightInd w:val="0"/>
              <w:ind w:firstLine="720"/>
              <w:jc w:val="both"/>
            </w:pPr>
            <w:r w:rsidRPr="00334A51">
              <w:t xml:space="preserve">Ca urmare a celor menţionate, la </w:t>
            </w:r>
            <w:r w:rsidRPr="00334A51">
              <w:rPr>
                <w:b/>
              </w:rPr>
              <w:t>pct. 79</w:t>
            </w:r>
            <w:r w:rsidRPr="00334A51">
              <w:t xml:space="preserve"> sintagma „la alineatul 1” urmează a fi exclusă, </w:t>
            </w:r>
            <w:proofErr w:type="spellStart"/>
            <w:r w:rsidRPr="00334A51">
              <w:t>făcîndu-se</w:t>
            </w:r>
            <w:proofErr w:type="spellEnd"/>
            <w:r w:rsidRPr="00334A51">
              <w:t xml:space="preserve"> ulterior referinţă la punctul în care vor fi prevăzute măsurile provizorii. </w:t>
            </w:r>
          </w:p>
          <w:p w:rsidR="00386A38" w:rsidRPr="00386A38" w:rsidRDefault="00B439F6" w:rsidP="006D4E25">
            <w:pPr>
              <w:autoSpaceDE w:val="0"/>
              <w:autoSpaceDN w:val="0"/>
              <w:adjustRightInd w:val="0"/>
              <w:jc w:val="both"/>
            </w:pPr>
            <w:r w:rsidRPr="00334A51">
              <w:tab/>
            </w:r>
          </w:p>
        </w:tc>
        <w:tc>
          <w:tcPr>
            <w:tcW w:w="3261" w:type="dxa"/>
          </w:tcPr>
          <w:p w:rsidR="00703F46" w:rsidRDefault="00703F46"/>
          <w:p w:rsidR="00987457" w:rsidRDefault="002C00C8" w:rsidP="003C41D9">
            <w:pPr>
              <w:pStyle w:val="aa"/>
              <w:ind w:left="176"/>
            </w:pPr>
            <w:r>
              <w:t>Nu se acceptă,</w:t>
            </w:r>
          </w:p>
          <w:p w:rsidR="002C00C8" w:rsidRDefault="002C00C8" w:rsidP="003C41D9">
            <w:pPr>
              <w:pStyle w:val="aa"/>
              <w:ind w:left="0" w:right="-107" w:firstLine="176"/>
            </w:pPr>
            <w:r>
              <w:t xml:space="preserve"> Conform </w:t>
            </w:r>
            <w:r w:rsidR="00325F0C">
              <w:t>art.102 din Constitu</w:t>
            </w:r>
            <w:r w:rsidR="00C86B7B">
              <w:t>ţ</w:t>
            </w:r>
            <w:r w:rsidR="00325F0C">
              <w:t xml:space="preserve">ia Republicii Moldova, art. 30 din Legea nr. 64-XII din 31.05.1990, art. 11 din Legea nr. 317 –XV din 18.07.2003, </w:t>
            </w:r>
            <w:proofErr w:type="spellStart"/>
            <w:r w:rsidR="00325F0C">
              <w:t>hotărîrile</w:t>
            </w:r>
            <w:proofErr w:type="spellEnd"/>
            <w:r w:rsidR="00325F0C">
              <w:t xml:space="preserve"> Guvernului se adoptă pentru </w:t>
            </w:r>
            <w:proofErr w:type="spellStart"/>
            <w:r w:rsidR="00325F0C">
              <w:t>exercitatrea</w:t>
            </w:r>
            <w:proofErr w:type="spellEnd"/>
            <w:r w:rsidR="00325F0C">
              <w:t xml:space="preserve"> atribu</w:t>
            </w:r>
            <w:r w:rsidR="00C86B7B">
              <w:t>ţ</w:t>
            </w:r>
            <w:r w:rsidR="00325F0C">
              <w:t>iilor constitu</w:t>
            </w:r>
            <w:r w:rsidR="00C86B7B">
              <w:t>ţ</w:t>
            </w:r>
            <w:r w:rsidR="00325F0C">
              <w:t xml:space="preserve">ionale </w:t>
            </w:r>
            <w:r w:rsidR="00C86B7B">
              <w:t>ş</w:t>
            </w:r>
            <w:r w:rsidR="00325F0C">
              <w:t xml:space="preserve">i celor ce decurg din Legea cu privire la Guvern, precum </w:t>
            </w:r>
            <w:r w:rsidR="00C86B7B">
              <w:t>ş</w:t>
            </w:r>
            <w:r w:rsidR="00325F0C">
              <w:t xml:space="preserve">i pentru organizarea executării legilor. Prin urmare, o </w:t>
            </w:r>
            <w:proofErr w:type="spellStart"/>
            <w:r w:rsidR="00325F0C">
              <w:t>hotărîre</w:t>
            </w:r>
            <w:proofErr w:type="spellEnd"/>
            <w:r w:rsidR="00325F0C">
              <w:t xml:space="preserve"> de Guvern nu poate constitui temei juridic pentru emiterea unui alt act normativ al Guvernului.</w:t>
            </w:r>
          </w:p>
          <w:p w:rsidR="00325F0C" w:rsidRDefault="00325F0C" w:rsidP="003C41D9">
            <w:pPr>
              <w:pStyle w:val="aa"/>
              <w:ind w:left="0" w:right="-107" w:firstLine="176"/>
            </w:pPr>
          </w:p>
          <w:p w:rsidR="00632330" w:rsidRDefault="00632330" w:rsidP="003C41D9">
            <w:pPr>
              <w:pStyle w:val="aa"/>
              <w:ind w:left="0" w:right="-107" w:firstLine="176"/>
            </w:pPr>
          </w:p>
          <w:p w:rsidR="00325F0C" w:rsidRDefault="00325F0C" w:rsidP="003C41D9">
            <w:pPr>
              <w:pStyle w:val="aa"/>
              <w:ind w:left="0" w:right="-107" w:firstLine="176"/>
            </w:pPr>
            <w:r>
              <w:t>Se acceptă</w:t>
            </w:r>
          </w:p>
          <w:p w:rsidR="00325F0C" w:rsidRDefault="00325F0C" w:rsidP="003C41D9">
            <w:pPr>
              <w:pStyle w:val="aa"/>
              <w:ind w:left="0" w:right="-107" w:firstLine="176"/>
            </w:pPr>
          </w:p>
          <w:p w:rsidR="00325F0C" w:rsidRDefault="00325F0C" w:rsidP="003C41D9">
            <w:pPr>
              <w:pStyle w:val="aa"/>
              <w:ind w:left="0" w:right="-107" w:firstLine="176"/>
            </w:pPr>
          </w:p>
          <w:p w:rsidR="006337C0" w:rsidRDefault="00325F0C" w:rsidP="00632330">
            <w:pPr>
              <w:ind w:right="-107"/>
            </w:pPr>
            <w:r>
              <w:t xml:space="preserve">Se acceptă, </w:t>
            </w:r>
          </w:p>
          <w:p w:rsidR="00325F0C" w:rsidRDefault="00325F0C" w:rsidP="003C41D9">
            <w:pPr>
              <w:pStyle w:val="aa"/>
              <w:ind w:left="0" w:right="-107" w:firstLine="176"/>
            </w:pPr>
            <w:r>
              <w:t xml:space="preserve">astfel </w:t>
            </w:r>
            <w:proofErr w:type="spellStart"/>
            <w:r>
              <w:t>subpunctele</w:t>
            </w:r>
            <w:proofErr w:type="spellEnd"/>
            <w:r>
              <w:t xml:space="preserve"> 2)-8) ale punctului 1 din proiectul </w:t>
            </w:r>
            <w:proofErr w:type="spellStart"/>
            <w:r>
              <w:t>hotărîrii</w:t>
            </w:r>
            <w:proofErr w:type="spellEnd"/>
            <w:r>
              <w:t xml:space="preserve"> </w:t>
            </w:r>
            <w:r w:rsidR="00D7513A">
              <w:t xml:space="preserve">au fost </w:t>
            </w:r>
            <w:r>
              <w:t xml:space="preserve"> </w:t>
            </w:r>
            <w:r w:rsidR="00063B9D">
              <w:t xml:space="preserve">grupate într-un </w:t>
            </w:r>
            <w:proofErr w:type="spellStart"/>
            <w:r w:rsidR="00063B9D">
              <w:lastRenderedPageBreak/>
              <w:t>subpunct</w:t>
            </w:r>
            <w:proofErr w:type="spellEnd"/>
            <w:r w:rsidR="00063B9D">
              <w:t xml:space="preserve"> cu genericul comun „Metode de analiză necesare pentru verificarea compozi</w:t>
            </w:r>
            <w:r w:rsidR="00C86B7B">
              <w:t>ţ</w:t>
            </w:r>
            <w:r w:rsidR="00063B9D">
              <w:t>iei produselor cosmetice”.</w:t>
            </w:r>
          </w:p>
          <w:p w:rsidR="00063B9D" w:rsidRDefault="00063B9D" w:rsidP="00325F0C">
            <w:pPr>
              <w:pStyle w:val="aa"/>
              <w:ind w:left="0" w:right="-107" w:firstLine="176"/>
            </w:pPr>
          </w:p>
          <w:p w:rsidR="00063B9D" w:rsidRDefault="00063B9D" w:rsidP="0041384F">
            <w:pPr>
              <w:pStyle w:val="aa"/>
              <w:ind w:left="0" w:right="-107" w:firstLine="176"/>
            </w:pPr>
            <w:r>
              <w:t>Se acceptă</w:t>
            </w:r>
            <w:r w:rsidR="0041384F">
              <w:t>.</w:t>
            </w:r>
          </w:p>
          <w:p w:rsidR="0041384F" w:rsidRDefault="00063B9D" w:rsidP="0041384F">
            <w:pPr>
              <w:pStyle w:val="ad"/>
              <w:ind w:firstLine="175"/>
              <w:rPr>
                <w:lang w:val="ro-RO"/>
              </w:rPr>
            </w:pPr>
            <w:r w:rsidRPr="00063B9D">
              <w:rPr>
                <w:lang w:val="ro-RO"/>
              </w:rPr>
              <w:t xml:space="preserve">Pct. 2 din proiectul </w:t>
            </w:r>
            <w:proofErr w:type="spellStart"/>
            <w:r w:rsidRPr="00063B9D">
              <w:rPr>
                <w:lang w:val="ro-RO"/>
              </w:rPr>
              <w:t>hotărîrii</w:t>
            </w:r>
            <w:proofErr w:type="spellEnd"/>
            <w:r w:rsidRPr="00063B9D">
              <w:rPr>
                <w:lang w:val="ro-RO"/>
              </w:rPr>
              <w:t xml:space="preserve"> a fost expus în următoarea redac</w:t>
            </w:r>
            <w:r w:rsidR="00C86B7B">
              <w:rPr>
                <w:lang w:val="ro-RO"/>
              </w:rPr>
              <w:t>ţ</w:t>
            </w:r>
            <w:r w:rsidRPr="00063B9D">
              <w:rPr>
                <w:lang w:val="ro-RO"/>
              </w:rPr>
              <w:t xml:space="preserve">ie: „Prezenta </w:t>
            </w:r>
            <w:proofErr w:type="spellStart"/>
            <w:r w:rsidRPr="00063B9D">
              <w:rPr>
                <w:lang w:val="ro-RO"/>
              </w:rPr>
              <w:t>hotărîre</w:t>
            </w:r>
            <w:proofErr w:type="spellEnd"/>
            <w:r w:rsidRPr="00063B9D">
              <w:rPr>
                <w:lang w:val="ro-RO"/>
              </w:rPr>
              <w:t>,  intră în vigoare în termen de 3 luni de zile din momentul publicării în Monitorul Oficial al Republicii Moldova.</w:t>
            </w:r>
          </w:p>
          <w:p w:rsidR="0041384F" w:rsidRDefault="0041384F" w:rsidP="0041384F">
            <w:pPr>
              <w:pStyle w:val="ad"/>
              <w:ind w:firstLine="175"/>
              <w:rPr>
                <w:lang w:val="ro-RO"/>
              </w:rPr>
            </w:pPr>
          </w:p>
          <w:p w:rsidR="0041384F" w:rsidRDefault="0041384F" w:rsidP="0041384F">
            <w:pPr>
              <w:pStyle w:val="ad"/>
              <w:ind w:firstLine="175"/>
              <w:rPr>
                <w:lang w:val="ro-RO"/>
              </w:rPr>
            </w:pPr>
          </w:p>
          <w:p w:rsidR="0041384F" w:rsidRDefault="0041384F" w:rsidP="0041384F">
            <w:pPr>
              <w:pStyle w:val="ad"/>
              <w:ind w:firstLine="175"/>
              <w:rPr>
                <w:lang w:val="ro-RO"/>
              </w:rPr>
            </w:pPr>
            <w:r>
              <w:rPr>
                <w:lang w:val="ro-RO"/>
              </w:rPr>
              <w:t>Se acceptă.</w:t>
            </w:r>
          </w:p>
          <w:p w:rsidR="0041384F" w:rsidRDefault="0041384F" w:rsidP="0041384F">
            <w:pPr>
              <w:pStyle w:val="ad"/>
              <w:ind w:firstLine="175"/>
              <w:rPr>
                <w:lang w:val="ro-RO"/>
              </w:rPr>
            </w:pPr>
          </w:p>
          <w:p w:rsidR="0041384F" w:rsidRDefault="0041384F" w:rsidP="0041384F">
            <w:pPr>
              <w:pStyle w:val="ad"/>
              <w:ind w:firstLine="175"/>
              <w:rPr>
                <w:lang w:val="ro-RO"/>
              </w:rPr>
            </w:pPr>
          </w:p>
          <w:p w:rsidR="0041384F" w:rsidRDefault="0041384F" w:rsidP="0041384F">
            <w:pPr>
              <w:pStyle w:val="ad"/>
              <w:ind w:firstLine="175"/>
              <w:rPr>
                <w:lang w:val="ro-RO"/>
              </w:rPr>
            </w:pPr>
          </w:p>
          <w:p w:rsidR="0041384F" w:rsidRDefault="0041384F" w:rsidP="0041384F">
            <w:pPr>
              <w:pStyle w:val="ad"/>
              <w:ind w:firstLine="175"/>
              <w:rPr>
                <w:lang w:val="ro-RO"/>
              </w:rPr>
            </w:pPr>
          </w:p>
          <w:p w:rsidR="0041384F" w:rsidRDefault="0041384F" w:rsidP="0041384F">
            <w:pPr>
              <w:pStyle w:val="ad"/>
              <w:ind w:firstLine="175"/>
              <w:rPr>
                <w:lang w:val="ro-RO"/>
              </w:rPr>
            </w:pPr>
          </w:p>
          <w:p w:rsidR="0041384F" w:rsidRDefault="0041384F" w:rsidP="0041384F">
            <w:pPr>
              <w:pStyle w:val="ad"/>
              <w:ind w:firstLine="175"/>
              <w:rPr>
                <w:lang w:val="ro-RO"/>
              </w:rPr>
            </w:pPr>
          </w:p>
          <w:p w:rsidR="0041384F" w:rsidRDefault="0041384F" w:rsidP="0041384F">
            <w:pPr>
              <w:pStyle w:val="ad"/>
              <w:ind w:firstLine="175"/>
              <w:rPr>
                <w:lang w:val="ro-RO"/>
              </w:rPr>
            </w:pPr>
          </w:p>
          <w:p w:rsidR="0041384F" w:rsidRDefault="0041384F" w:rsidP="0041384F">
            <w:pPr>
              <w:pStyle w:val="ad"/>
              <w:ind w:firstLine="175"/>
              <w:rPr>
                <w:lang w:val="ro-RO"/>
              </w:rPr>
            </w:pPr>
          </w:p>
          <w:p w:rsidR="0041384F" w:rsidRDefault="0041384F" w:rsidP="0041384F">
            <w:pPr>
              <w:pStyle w:val="ad"/>
              <w:ind w:firstLine="175"/>
              <w:rPr>
                <w:lang w:val="ro-RO"/>
              </w:rPr>
            </w:pPr>
          </w:p>
          <w:p w:rsidR="0041384F" w:rsidRDefault="0041384F" w:rsidP="0041384F">
            <w:pPr>
              <w:pStyle w:val="ad"/>
              <w:ind w:firstLine="175"/>
              <w:rPr>
                <w:lang w:val="ro-RO"/>
              </w:rPr>
            </w:pPr>
          </w:p>
          <w:p w:rsidR="0041384F" w:rsidRDefault="0041384F" w:rsidP="0041384F">
            <w:pPr>
              <w:pStyle w:val="ad"/>
              <w:ind w:firstLine="175"/>
              <w:rPr>
                <w:lang w:val="ro-RO"/>
              </w:rPr>
            </w:pPr>
          </w:p>
          <w:p w:rsidR="0041384F" w:rsidRDefault="0041384F" w:rsidP="0041384F">
            <w:pPr>
              <w:pStyle w:val="ad"/>
              <w:ind w:firstLine="175"/>
              <w:rPr>
                <w:lang w:val="ro-RO"/>
              </w:rPr>
            </w:pPr>
          </w:p>
          <w:p w:rsidR="0041384F" w:rsidRDefault="0041384F" w:rsidP="0041384F">
            <w:pPr>
              <w:pStyle w:val="ad"/>
              <w:ind w:firstLine="175"/>
              <w:rPr>
                <w:lang w:val="ro-RO"/>
              </w:rPr>
            </w:pPr>
          </w:p>
          <w:p w:rsidR="0041384F" w:rsidRDefault="0041384F" w:rsidP="0041384F">
            <w:pPr>
              <w:pStyle w:val="ad"/>
              <w:rPr>
                <w:lang w:val="ro-RO"/>
              </w:rPr>
            </w:pPr>
            <w:r>
              <w:rPr>
                <w:lang w:val="ro-RO"/>
              </w:rPr>
              <w:t>Se acceptă par</w:t>
            </w:r>
            <w:r w:rsidR="00C86B7B">
              <w:rPr>
                <w:lang w:val="ro-RO"/>
              </w:rPr>
              <w:t>ţ</w:t>
            </w:r>
            <w:r>
              <w:rPr>
                <w:lang w:val="ro-RO"/>
              </w:rPr>
              <w:t>ial,</w:t>
            </w:r>
          </w:p>
          <w:p w:rsidR="0041384F" w:rsidRDefault="003C41D9" w:rsidP="0041384F">
            <w:pPr>
              <w:pStyle w:val="ad"/>
              <w:rPr>
                <w:lang w:val="ro-RO"/>
              </w:rPr>
            </w:pPr>
            <w:r>
              <w:rPr>
                <w:lang w:val="ro-RO"/>
              </w:rPr>
              <w:t>d</w:t>
            </w:r>
            <w:r w:rsidR="0041384F">
              <w:rPr>
                <w:lang w:val="ro-RO"/>
              </w:rPr>
              <w:t xml:space="preserve">eoarece </w:t>
            </w:r>
            <w:proofErr w:type="spellStart"/>
            <w:r w:rsidR="0041384F">
              <w:rPr>
                <w:lang w:val="ro-RO"/>
              </w:rPr>
              <w:t>atît</w:t>
            </w:r>
            <w:proofErr w:type="spellEnd"/>
            <w:r w:rsidR="0041384F">
              <w:rPr>
                <w:lang w:val="ro-RO"/>
              </w:rPr>
              <w:t xml:space="preserve"> Regulamentul expus în anexa nr. 1 la </w:t>
            </w:r>
            <w:proofErr w:type="spellStart"/>
            <w:r w:rsidR="0041384F">
              <w:rPr>
                <w:lang w:val="ro-RO"/>
              </w:rPr>
              <w:t>hotărîre</w:t>
            </w:r>
            <w:proofErr w:type="spellEnd"/>
            <w:r w:rsidR="0041384F">
              <w:rPr>
                <w:lang w:val="ro-RO"/>
              </w:rPr>
              <w:t xml:space="preserve">, </w:t>
            </w:r>
            <w:proofErr w:type="spellStart"/>
            <w:r w:rsidR="0041384F">
              <w:rPr>
                <w:lang w:val="ro-RO"/>
              </w:rPr>
              <w:t>cît</w:t>
            </w:r>
            <w:proofErr w:type="spellEnd"/>
            <w:r w:rsidR="0041384F">
              <w:rPr>
                <w:lang w:val="ro-RO"/>
              </w:rPr>
              <w:t xml:space="preserve"> </w:t>
            </w:r>
            <w:r w:rsidR="00C86B7B">
              <w:rPr>
                <w:lang w:val="ro-RO"/>
              </w:rPr>
              <w:t>ş</w:t>
            </w:r>
            <w:r w:rsidR="0041384F">
              <w:rPr>
                <w:lang w:val="ro-RO"/>
              </w:rPr>
              <w:t>i anexele 2-8, în partea introductivă a fiecărei anexe este indicat actul comunitar care a fost transpus</w:t>
            </w:r>
            <w:r>
              <w:rPr>
                <w:lang w:val="ro-RO"/>
              </w:rPr>
              <w:t xml:space="preserve">. Au fost operate completările ce </w:t>
            </w:r>
            <w:r w:rsidR="00C86B7B">
              <w:rPr>
                <w:lang w:val="ro-RO"/>
              </w:rPr>
              <w:t>ţ</w:t>
            </w:r>
            <w:r>
              <w:rPr>
                <w:lang w:val="ro-RO"/>
              </w:rPr>
              <w:t>in de transpunerea totală sau par</w:t>
            </w:r>
            <w:r w:rsidR="00C86B7B">
              <w:rPr>
                <w:lang w:val="ro-RO"/>
              </w:rPr>
              <w:t>ţ</w:t>
            </w:r>
            <w:r>
              <w:rPr>
                <w:lang w:val="ro-RO"/>
              </w:rPr>
              <w:t xml:space="preserve">ială </w:t>
            </w:r>
            <w:r w:rsidR="00C86B7B">
              <w:rPr>
                <w:lang w:val="ro-RO"/>
              </w:rPr>
              <w:t>ş</w:t>
            </w:r>
            <w:r>
              <w:rPr>
                <w:lang w:val="ro-RO"/>
              </w:rPr>
              <w:t xml:space="preserve">i publicarea in Jurnalul Oficial </w:t>
            </w:r>
            <w:r>
              <w:rPr>
                <w:lang w:val="ro-RO"/>
              </w:rPr>
              <w:lastRenderedPageBreak/>
              <w:t>al UE.</w:t>
            </w:r>
          </w:p>
          <w:p w:rsidR="003C41D9" w:rsidRDefault="003C41D9" w:rsidP="0041384F">
            <w:pPr>
              <w:pStyle w:val="ad"/>
              <w:rPr>
                <w:lang w:val="ro-RO"/>
              </w:rPr>
            </w:pPr>
          </w:p>
          <w:p w:rsidR="006337C0" w:rsidRPr="00D7513A" w:rsidRDefault="006337C0" w:rsidP="0041384F">
            <w:pPr>
              <w:pStyle w:val="ad"/>
              <w:rPr>
                <w:lang w:val="ro-RO"/>
              </w:rPr>
            </w:pPr>
            <w:r w:rsidRPr="00D7513A">
              <w:rPr>
                <w:lang w:val="ro-RO"/>
              </w:rPr>
              <w:t xml:space="preserve">Se acceptă, </w:t>
            </w:r>
          </w:p>
          <w:p w:rsidR="003C41D9" w:rsidRPr="00D7513A" w:rsidRDefault="006337C0" w:rsidP="0041384F">
            <w:pPr>
              <w:pStyle w:val="ad"/>
              <w:rPr>
                <w:lang w:val="ro-RO"/>
              </w:rPr>
            </w:pPr>
            <w:proofErr w:type="spellStart"/>
            <w:r w:rsidRPr="00D7513A">
              <w:rPr>
                <w:lang w:val="ro-RO"/>
              </w:rPr>
              <w:t>cuvîntul</w:t>
            </w:r>
            <w:proofErr w:type="spellEnd"/>
            <w:r w:rsidRPr="00D7513A">
              <w:rPr>
                <w:lang w:val="ro-RO"/>
              </w:rPr>
              <w:t xml:space="preserve"> „oficiale” a fost exclus</w:t>
            </w:r>
          </w:p>
          <w:p w:rsidR="003C41D9" w:rsidRDefault="003C41D9" w:rsidP="0041384F">
            <w:pPr>
              <w:pStyle w:val="ad"/>
              <w:rPr>
                <w:color w:val="FF0000"/>
                <w:lang w:val="ro-RO"/>
              </w:rPr>
            </w:pPr>
          </w:p>
          <w:p w:rsidR="003C41D9" w:rsidRDefault="003C41D9" w:rsidP="0041384F">
            <w:pPr>
              <w:pStyle w:val="ad"/>
              <w:rPr>
                <w:color w:val="FF0000"/>
                <w:lang w:val="ro-RO"/>
              </w:rPr>
            </w:pPr>
          </w:p>
          <w:p w:rsidR="003C41D9" w:rsidRDefault="003C41D9" w:rsidP="0041384F">
            <w:pPr>
              <w:pStyle w:val="ad"/>
              <w:rPr>
                <w:color w:val="FF0000"/>
                <w:lang w:val="ro-RO"/>
              </w:rPr>
            </w:pPr>
          </w:p>
          <w:p w:rsidR="003C41D9" w:rsidRDefault="003C41D9" w:rsidP="0041384F">
            <w:pPr>
              <w:pStyle w:val="ad"/>
              <w:rPr>
                <w:color w:val="FF0000"/>
                <w:lang w:val="ro-RO"/>
              </w:rPr>
            </w:pPr>
          </w:p>
          <w:p w:rsidR="003C41D9" w:rsidRDefault="003C41D9" w:rsidP="0041384F">
            <w:pPr>
              <w:pStyle w:val="ad"/>
              <w:rPr>
                <w:color w:val="FF0000"/>
                <w:lang w:val="ro-RO"/>
              </w:rPr>
            </w:pPr>
          </w:p>
          <w:p w:rsidR="003C41D9" w:rsidRDefault="003C41D9" w:rsidP="0041384F">
            <w:pPr>
              <w:pStyle w:val="ad"/>
              <w:rPr>
                <w:color w:val="FF0000"/>
                <w:lang w:val="ro-RO"/>
              </w:rPr>
            </w:pPr>
          </w:p>
          <w:p w:rsidR="003C41D9" w:rsidRPr="003C41D9" w:rsidRDefault="003C41D9" w:rsidP="00870821">
            <w:pPr>
              <w:pStyle w:val="ad"/>
              <w:rPr>
                <w:lang w:val="ro-RO"/>
              </w:rPr>
            </w:pPr>
            <w:r w:rsidRPr="003C41D9">
              <w:rPr>
                <w:lang w:val="ro-RO"/>
              </w:rPr>
              <w:t xml:space="preserve">Se acceptă, </w:t>
            </w:r>
            <w:proofErr w:type="spellStart"/>
            <w:r w:rsidRPr="003C41D9">
              <w:rPr>
                <w:lang w:val="ro-RO"/>
              </w:rPr>
              <w:t>cuvîntul</w:t>
            </w:r>
            <w:proofErr w:type="spellEnd"/>
            <w:r w:rsidRPr="003C41D9">
              <w:rPr>
                <w:lang w:val="ro-RO"/>
              </w:rPr>
              <w:t xml:space="preserve"> „comunitară” a fost substituit prin </w:t>
            </w:r>
            <w:proofErr w:type="spellStart"/>
            <w:r w:rsidRPr="003C41D9">
              <w:rPr>
                <w:lang w:val="ro-RO"/>
              </w:rPr>
              <w:t>cuvîntul</w:t>
            </w:r>
            <w:proofErr w:type="spellEnd"/>
            <w:r w:rsidRPr="003C41D9">
              <w:rPr>
                <w:lang w:val="ro-RO"/>
              </w:rPr>
              <w:t xml:space="preserve"> „internă”</w:t>
            </w: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870821" w:rsidRDefault="00870821" w:rsidP="00870821">
            <w:pPr>
              <w:pStyle w:val="ad"/>
              <w:ind w:firstLine="175"/>
              <w:rPr>
                <w:lang w:val="ro-RO"/>
              </w:rPr>
            </w:pPr>
            <w:r>
              <w:rPr>
                <w:lang w:val="ro-RO"/>
              </w:rPr>
              <w:t>Se acceptă</w:t>
            </w: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870821" w:rsidRDefault="00870821" w:rsidP="00870821">
            <w:pPr>
              <w:pStyle w:val="ad"/>
              <w:ind w:firstLine="175"/>
              <w:rPr>
                <w:lang w:val="ro-RO"/>
              </w:rPr>
            </w:pPr>
            <w:r>
              <w:rPr>
                <w:lang w:val="ro-RO"/>
              </w:rPr>
              <w:t xml:space="preserve">Se acceptă, </w:t>
            </w:r>
          </w:p>
          <w:p w:rsidR="0041384F" w:rsidRDefault="00870821" w:rsidP="00870821">
            <w:pPr>
              <w:pStyle w:val="ad"/>
              <w:ind w:firstLine="175"/>
              <w:rPr>
                <w:lang w:val="ro-RO"/>
              </w:rPr>
            </w:pPr>
            <w:r>
              <w:rPr>
                <w:lang w:val="ro-RO"/>
              </w:rPr>
              <w:t>au fost operate modificările necesare în textul proiectului</w:t>
            </w: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870821" w:rsidP="00870821">
            <w:pPr>
              <w:pStyle w:val="ad"/>
              <w:ind w:firstLine="175"/>
              <w:rPr>
                <w:lang w:val="ro-RO"/>
              </w:rPr>
            </w:pPr>
            <w:r>
              <w:rPr>
                <w:lang w:val="ro-RO"/>
              </w:rPr>
              <w:t>Nu se a</w:t>
            </w:r>
            <w:r w:rsidR="00534372">
              <w:rPr>
                <w:lang w:val="ro-RO"/>
              </w:rPr>
              <w:t>c</w:t>
            </w:r>
            <w:r>
              <w:rPr>
                <w:lang w:val="ro-RO"/>
              </w:rPr>
              <w:t>ceptă.</w:t>
            </w:r>
          </w:p>
          <w:p w:rsidR="00870821" w:rsidRPr="00464BC4" w:rsidRDefault="00870821" w:rsidP="00870821">
            <w:pPr>
              <w:pStyle w:val="ad"/>
              <w:ind w:firstLine="175"/>
              <w:rPr>
                <w:lang w:val="en-US"/>
              </w:rPr>
            </w:pPr>
            <w:r>
              <w:rPr>
                <w:lang w:val="ro-RO"/>
              </w:rPr>
              <w:t xml:space="preserve">Pct. 4 din proiectul </w:t>
            </w:r>
            <w:r>
              <w:rPr>
                <w:lang w:val="ro-RO"/>
              </w:rPr>
              <w:lastRenderedPageBreak/>
              <w:t xml:space="preserve">Regulamentului a fost preluat din partea </w:t>
            </w:r>
            <w:r w:rsidR="00464BC4">
              <w:rPr>
                <w:lang w:val="ro-RO"/>
              </w:rPr>
              <w:t xml:space="preserve">introductivă (preambulul) , punctul (7) al </w:t>
            </w:r>
            <w:proofErr w:type="spellStart"/>
            <w:r w:rsidR="00464BC4" w:rsidRPr="00464BC4">
              <w:rPr>
                <w:lang w:val="en-US"/>
              </w:rPr>
              <w:t>Regulamentul</w:t>
            </w:r>
            <w:r w:rsidR="00464BC4">
              <w:rPr>
                <w:lang w:val="en-US"/>
              </w:rPr>
              <w:t>ui</w:t>
            </w:r>
            <w:proofErr w:type="spellEnd"/>
            <w:r w:rsidR="00464BC4" w:rsidRPr="00464BC4">
              <w:rPr>
                <w:lang w:val="en-US"/>
              </w:rPr>
              <w:t xml:space="preserve"> nr.1223/2009</w:t>
            </w:r>
            <w:r w:rsidR="00991781">
              <w:rPr>
                <w:lang w:val="en-US"/>
              </w:rPr>
              <w:t>.</w:t>
            </w:r>
          </w:p>
          <w:p w:rsidR="0041384F" w:rsidRDefault="0041384F" w:rsidP="00870821">
            <w:pPr>
              <w:pStyle w:val="ad"/>
              <w:ind w:firstLine="175"/>
              <w:rPr>
                <w:lang w:val="ro-RO"/>
              </w:rPr>
            </w:pPr>
          </w:p>
          <w:p w:rsidR="0041384F" w:rsidRDefault="0041384F" w:rsidP="00870821">
            <w:pPr>
              <w:pStyle w:val="ad"/>
              <w:ind w:firstLine="175"/>
              <w:rPr>
                <w:lang w:val="ro-RO"/>
              </w:rPr>
            </w:pPr>
          </w:p>
          <w:p w:rsidR="0041384F" w:rsidRDefault="0041384F" w:rsidP="00870821">
            <w:pPr>
              <w:pStyle w:val="ad"/>
              <w:ind w:firstLine="175"/>
              <w:rPr>
                <w:lang w:val="ro-RO"/>
              </w:rPr>
            </w:pPr>
          </w:p>
          <w:p w:rsidR="006337C0" w:rsidRDefault="006337C0" w:rsidP="00870821">
            <w:pPr>
              <w:pStyle w:val="ad"/>
              <w:ind w:firstLine="175"/>
              <w:rPr>
                <w:lang w:val="ro-RO"/>
              </w:rPr>
            </w:pPr>
            <w:r>
              <w:rPr>
                <w:lang w:val="ro-RO"/>
              </w:rPr>
              <w:t>Se acceptă,</w:t>
            </w:r>
          </w:p>
          <w:p w:rsidR="00063B9D" w:rsidRDefault="006337C0" w:rsidP="00870821">
            <w:pPr>
              <w:pStyle w:val="ad"/>
              <w:ind w:firstLine="175"/>
              <w:rPr>
                <w:lang w:val="ro-RO"/>
              </w:rPr>
            </w:pPr>
            <w:r w:rsidRPr="006337C0">
              <w:rPr>
                <w:lang w:val="ro-RO"/>
              </w:rPr>
              <w:t>cuvintele „</w:t>
            </w:r>
            <w:r w:rsidR="00C86B7B">
              <w:rPr>
                <w:lang w:val="ro-RO"/>
              </w:rPr>
              <w:t>ş</w:t>
            </w:r>
            <w:r w:rsidRPr="006337C0">
              <w:rPr>
                <w:lang w:val="ro-RO"/>
              </w:rPr>
              <w:t>i pentru produsul cosmetic specific îl introduce pe pia</w:t>
            </w:r>
            <w:r w:rsidR="00C86B7B">
              <w:rPr>
                <w:lang w:val="ro-RO"/>
              </w:rPr>
              <w:t>ţ</w:t>
            </w:r>
            <w:r w:rsidRPr="006337C0">
              <w:rPr>
                <w:lang w:val="ro-RO"/>
              </w:rPr>
              <w:t>ă” au fost excluse</w:t>
            </w:r>
            <w:r w:rsidR="002274F9">
              <w:rPr>
                <w:lang w:val="ro-RO"/>
              </w:rPr>
              <w:t>.</w:t>
            </w:r>
          </w:p>
          <w:p w:rsidR="002274F9" w:rsidRDefault="002274F9" w:rsidP="00870821">
            <w:pPr>
              <w:pStyle w:val="ad"/>
              <w:ind w:firstLine="175"/>
              <w:rPr>
                <w:lang w:val="ro-RO"/>
              </w:rPr>
            </w:pPr>
          </w:p>
          <w:p w:rsidR="002274F9" w:rsidRDefault="002274F9" w:rsidP="00870821">
            <w:pPr>
              <w:pStyle w:val="ad"/>
              <w:ind w:firstLine="175"/>
              <w:rPr>
                <w:lang w:val="ro-RO"/>
              </w:rPr>
            </w:pPr>
          </w:p>
          <w:p w:rsidR="00900AA7" w:rsidRDefault="00900AA7" w:rsidP="00870821">
            <w:pPr>
              <w:pStyle w:val="ad"/>
              <w:ind w:firstLine="175"/>
              <w:rPr>
                <w:lang w:val="ro-RO"/>
              </w:rPr>
            </w:pPr>
          </w:p>
          <w:p w:rsidR="00900AA7" w:rsidRDefault="00900AA7" w:rsidP="00870821">
            <w:pPr>
              <w:pStyle w:val="ad"/>
              <w:ind w:firstLine="175"/>
              <w:rPr>
                <w:lang w:val="ro-RO"/>
              </w:rPr>
            </w:pPr>
          </w:p>
          <w:p w:rsidR="00900AA7" w:rsidRDefault="00900AA7" w:rsidP="00870821">
            <w:pPr>
              <w:pStyle w:val="ad"/>
              <w:ind w:firstLine="175"/>
              <w:rPr>
                <w:lang w:val="ro-RO"/>
              </w:rPr>
            </w:pPr>
          </w:p>
          <w:p w:rsidR="00E619C8" w:rsidRDefault="00E619C8" w:rsidP="00870821">
            <w:pPr>
              <w:pStyle w:val="ad"/>
              <w:ind w:firstLine="175"/>
              <w:rPr>
                <w:lang w:val="ro-RO"/>
              </w:rPr>
            </w:pPr>
          </w:p>
          <w:p w:rsidR="00E619C8" w:rsidRDefault="00D7513A" w:rsidP="00870821">
            <w:pPr>
              <w:pStyle w:val="ad"/>
              <w:ind w:firstLine="175"/>
              <w:rPr>
                <w:lang w:val="ro-RO"/>
              </w:rPr>
            </w:pPr>
            <w:r w:rsidRPr="00D7513A">
              <w:rPr>
                <w:lang w:val="ro-RO"/>
              </w:rPr>
              <w:t>S</w:t>
            </w:r>
            <w:r w:rsidR="00E619C8" w:rsidRPr="00D7513A">
              <w:rPr>
                <w:lang w:val="ro-RO"/>
              </w:rPr>
              <w:t>e acceptă</w:t>
            </w:r>
            <w:r>
              <w:rPr>
                <w:lang w:val="ro-RO"/>
              </w:rPr>
              <w:t>.</w:t>
            </w:r>
          </w:p>
          <w:p w:rsidR="00E619C8" w:rsidRDefault="00E619C8" w:rsidP="00870821">
            <w:pPr>
              <w:pStyle w:val="ad"/>
              <w:ind w:firstLine="175"/>
              <w:rPr>
                <w:lang w:val="ro-RO"/>
              </w:rPr>
            </w:pPr>
          </w:p>
          <w:p w:rsidR="00E619C8" w:rsidRDefault="00E619C8" w:rsidP="00870821">
            <w:pPr>
              <w:pStyle w:val="ad"/>
              <w:ind w:firstLine="175"/>
              <w:rPr>
                <w:lang w:val="ro-RO"/>
              </w:rPr>
            </w:pPr>
          </w:p>
          <w:p w:rsidR="00E619C8" w:rsidRDefault="00E619C8" w:rsidP="00870821">
            <w:pPr>
              <w:pStyle w:val="ad"/>
              <w:ind w:firstLine="175"/>
              <w:rPr>
                <w:lang w:val="ro-RO"/>
              </w:rPr>
            </w:pPr>
            <w:r>
              <w:rPr>
                <w:lang w:val="ro-RO"/>
              </w:rPr>
              <w:t>Nu se acceptă.</w:t>
            </w:r>
          </w:p>
          <w:p w:rsidR="00E619C8" w:rsidRDefault="00E619C8" w:rsidP="00870821">
            <w:pPr>
              <w:pStyle w:val="ad"/>
              <w:ind w:firstLine="175"/>
              <w:rPr>
                <w:lang w:val="ro-RO"/>
              </w:rPr>
            </w:pPr>
            <w:r>
              <w:rPr>
                <w:lang w:val="ro-RO"/>
              </w:rPr>
              <w:t>Pct. 7 din Regulament define</w:t>
            </w:r>
            <w:r w:rsidR="00C86B7B">
              <w:rPr>
                <w:lang w:val="ro-RO"/>
              </w:rPr>
              <w:t>ş</w:t>
            </w:r>
            <w:r>
              <w:rPr>
                <w:lang w:val="ro-RO"/>
              </w:rPr>
              <w:t xml:space="preserve">te clar cine este persoana responsabilă </w:t>
            </w:r>
            <w:r w:rsidR="00C86B7B">
              <w:rPr>
                <w:lang w:val="ro-RO"/>
              </w:rPr>
              <w:t>ş</w:t>
            </w:r>
            <w:r>
              <w:rPr>
                <w:lang w:val="ro-RO"/>
              </w:rPr>
              <w:t xml:space="preserve">i cazurile </w:t>
            </w:r>
            <w:proofErr w:type="spellStart"/>
            <w:r>
              <w:rPr>
                <w:lang w:val="ro-RO"/>
              </w:rPr>
              <w:t>cînd</w:t>
            </w:r>
            <w:proofErr w:type="spellEnd"/>
            <w:r>
              <w:rPr>
                <w:lang w:val="ro-RO"/>
              </w:rPr>
              <w:t xml:space="preserve"> producătorul, importatorul </w:t>
            </w:r>
            <w:r w:rsidR="00C86B7B">
              <w:rPr>
                <w:lang w:val="ro-RO"/>
              </w:rPr>
              <w:t>ş</w:t>
            </w:r>
            <w:r>
              <w:rPr>
                <w:lang w:val="ro-RO"/>
              </w:rPr>
              <w:t>i distribuitorul au această calitate.</w:t>
            </w:r>
          </w:p>
          <w:p w:rsidR="00E619C8" w:rsidRDefault="00E619C8" w:rsidP="00870821">
            <w:pPr>
              <w:pStyle w:val="ad"/>
              <w:ind w:firstLine="175"/>
              <w:rPr>
                <w:lang w:val="ro-RO"/>
              </w:rPr>
            </w:pPr>
          </w:p>
          <w:p w:rsidR="00900AA7" w:rsidRDefault="00E619C8" w:rsidP="00870821">
            <w:pPr>
              <w:pStyle w:val="ad"/>
              <w:ind w:firstLine="175"/>
              <w:rPr>
                <w:lang w:val="ro-RO"/>
              </w:rPr>
            </w:pPr>
            <w:r>
              <w:rPr>
                <w:lang w:val="ro-RO"/>
              </w:rPr>
              <w:t xml:space="preserve">Nu se acceptă, </w:t>
            </w:r>
          </w:p>
          <w:p w:rsidR="00E619C8" w:rsidRDefault="00E619C8" w:rsidP="00870821">
            <w:pPr>
              <w:pStyle w:val="ad"/>
              <w:ind w:firstLine="175"/>
              <w:rPr>
                <w:lang w:val="ro-RO"/>
              </w:rPr>
            </w:pPr>
            <w:r>
              <w:rPr>
                <w:lang w:val="ro-RO"/>
              </w:rPr>
              <w:t xml:space="preserve">Punctul respectiv este preluat din textul Regulamentului UE </w:t>
            </w:r>
            <w:r w:rsidR="00C86B7B">
              <w:rPr>
                <w:lang w:val="ro-RO"/>
              </w:rPr>
              <w:t>ş</w:t>
            </w:r>
            <w:r>
              <w:rPr>
                <w:lang w:val="ro-RO"/>
              </w:rPr>
              <w:t xml:space="preserve">i reglementează trasabilitatea </w:t>
            </w:r>
            <w:r w:rsidR="00BB1F97">
              <w:rPr>
                <w:lang w:val="ro-RO"/>
              </w:rPr>
              <w:t>produselor cosmetice.</w:t>
            </w:r>
            <w:r>
              <w:rPr>
                <w:lang w:val="ro-RO"/>
              </w:rPr>
              <w:t xml:space="preserve"> </w:t>
            </w:r>
          </w:p>
          <w:p w:rsidR="00900AA7" w:rsidRDefault="00900AA7" w:rsidP="00870821">
            <w:pPr>
              <w:pStyle w:val="ad"/>
              <w:ind w:firstLine="175"/>
              <w:rPr>
                <w:lang w:val="ro-RO"/>
              </w:rPr>
            </w:pPr>
          </w:p>
          <w:p w:rsidR="00874256" w:rsidRDefault="00874256" w:rsidP="00870821">
            <w:pPr>
              <w:pStyle w:val="ad"/>
              <w:ind w:firstLine="175"/>
              <w:rPr>
                <w:lang w:val="ro-RO"/>
              </w:rPr>
            </w:pPr>
          </w:p>
          <w:p w:rsidR="00874256" w:rsidRDefault="00BB1F97" w:rsidP="00870821">
            <w:pPr>
              <w:pStyle w:val="ad"/>
              <w:ind w:firstLine="175"/>
              <w:rPr>
                <w:lang w:val="ro-RO"/>
              </w:rPr>
            </w:pPr>
            <w:r>
              <w:rPr>
                <w:lang w:val="ro-RO"/>
              </w:rPr>
              <w:t>Nu se acceptă.</w:t>
            </w:r>
          </w:p>
          <w:p w:rsidR="00BB1F97" w:rsidRPr="00BB1F97" w:rsidRDefault="00BB1F97" w:rsidP="00786CE6">
            <w:pPr>
              <w:pStyle w:val="ad"/>
              <w:ind w:firstLine="175"/>
              <w:rPr>
                <w:lang w:val="ro-RO"/>
              </w:rPr>
            </w:pPr>
            <w:r w:rsidRPr="00BB1F97">
              <w:rPr>
                <w:lang w:val="ro-RO"/>
              </w:rPr>
              <w:t>efectele juridice ale ac</w:t>
            </w:r>
            <w:r w:rsidR="00C86B7B">
              <w:rPr>
                <w:lang w:val="ro-RO"/>
              </w:rPr>
              <w:t>ţ</w:t>
            </w:r>
            <w:r w:rsidRPr="00BB1F97">
              <w:rPr>
                <w:lang w:val="ro-RO"/>
              </w:rPr>
              <w:t>iunilor men</w:t>
            </w:r>
            <w:r w:rsidR="00C86B7B">
              <w:rPr>
                <w:lang w:val="ro-RO"/>
              </w:rPr>
              <w:t>ţ</w:t>
            </w:r>
            <w:r w:rsidRPr="00BB1F97">
              <w:rPr>
                <w:lang w:val="ro-RO"/>
              </w:rPr>
              <w:t xml:space="preserve">ionate vor fi examinate în conformitate cu prevederile </w:t>
            </w:r>
            <w:r w:rsidRPr="00BB1F97">
              <w:rPr>
                <w:lang w:val="ro-RO"/>
              </w:rPr>
              <w:lastRenderedPageBreak/>
              <w:t>generale de drept expuse în Codul Civil al RM (dizolvarea persoanei juridice, succesiunea de drept, etc.)</w:t>
            </w:r>
            <w:r>
              <w:rPr>
                <w:lang w:val="ro-RO"/>
              </w:rPr>
              <w:t xml:space="preserve">, Legea cu privire la </w:t>
            </w:r>
            <w:proofErr w:type="spellStart"/>
            <w:r>
              <w:rPr>
                <w:lang w:val="ro-RO"/>
              </w:rPr>
              <w:t>antreprenoriat</w:t>
            </w:r>
            <w:proofErr w:type="spellEnd"/>
            <w:r>
              <w:rPr>
                <w:lang w:val="ro-RO"/>
              </w:rPr>
              <w:t xml:space="preserve"> </w:t>
            </w:r>
            <w:r w:rsidR="00C86B7B">
              <w:rPr>
                <w:lang w:val="ro-RO"/>
              </w:rPr>
              <w:t>ş</w:t>
            </w:r>
            <w:r>
              <w:rPr>
                <w:lang w:val="ro-RO"/>
              </w:rPr>
              <w:t xml:space="preserve">i întreprinderi, etc. </w:t>
            </w:r>
          </w:p>
          <w:p w:rsidR="00874256" w:rsidRPr="006337C0" w:rsidRDefault="00874256" w:rsidP="00870821">
            <w:pPr>
              <w:pStyle w:val="ad"/>
              <w:ind w:firstLine="175"/>
              <w:rPr>
                <w:lang w:val="ro-RO"/>
              </w:rPr>
            </w:pPr>
          </w:p>
          <w:p w:rsidR="00063B9D" w:rsidRDefault="00BB1F97" w:rsidP="00BB1F97">
            <w:pPr>
              <w:pStyle w:val="aa"/>
              <w:ind w:left="0" w:right="-107" w:firstLine="176"/>
            </w:pPr>
            <w:r>
              <w:t xml:space="preserve">Se acceptă </w:t>
            </w:r>
          </w:p>
          <w:p w:rsidR="00BB1F97" w:rsidRDefault="00BB1F97" w:rsidP="00BB1F97">
            <w:pPr>
              <w:pStyle w:val="ad"/>
              <w:spacing w:line="276" w:lineRule="auto"/>
              <w:rPr>
                <w:lang w:val="ro-RO"/>
              </w:rPr>
            </w:pPr>
          </w:p>
          <w:p w:rsidR="00BB1F97" w:rsidRDefault="00BB1F97" w:rsidP="00BB1F97">
            <w:pPr>
              <w:pStyle w:val="ad"/>
              <w:spacing w:line="276" w:lineRule="auto"/>
              <w:rPr>
                <w:lang w:val="ro-RO"/>
              </w:rPr>
            </w:pPr>
          </w:p>
          <w:p w:rsidR="00BB1F97" w:rsidRDefault="00BB1F97" w:rsidP="00BB1F97">
            <w:pPr>
              <w:pStyle w:val="ad"/>
              <w:spacing w:line="276" w:lineRule="auto"/>
              <w:rPr>
                <w:lang w:val="ro-RO"/>
              </w:rPr>
            </w:pPr>
          </w:p>
          <w:p w:rsidR="00BB1F97" w:rsidRDefault="00BB1F97" w:rsidP="00BB1F97">
            <w:pPr>
              <w:pStyle w:val="ad"/>
              <w:spacing w:line="276" w:lineRule="auto"/>
              <w:rPr>
                <w:lang w:val="ro-RO"/>
              </w:rPr>
            </w:pPr>
          </w:p>
          <w:p w:rsidR="00BB1F97" w:rsidRDefault="00BB1F97" w:rsidP="00BB1F97">
            <w:pPr>
              <w:pStyle w:val="ad"/>
              <w:spacing w:line="276" w:lineRule="auto"/>
              <w:rPr>
                <w:lang w:val="ro-RO"/>
              </w:rPr>
            </w:pPr>
          </w:p>
          <w:p w:rsidR="00BB1F97" w:rsidRDefault="00BB1F97" w:rsidP="00BB1F97">
            <w:pPr>
              <w:pStyle w:val="ad"/>
              <w:rPr>
                <w:lang w:val="ro-RO"/>
              </w:rPr>
            </w:pPr>
            <w:r>
              <w:rPr>
                <w:lang w:val="ro-RO"/>
              </w:rPr>
              <w:t>Se acceptă,</w:t>
            </w:r>
          </w:p>
          <w:p w:rsidR="00BB1F97" w:rsidRPr="00BB1F97" w:rsidRDefault="00BB1F97" w:rsidP="00BB1F97">
            <w:pPr>
              <w:pStyle w:val="ad"/>
              <w:rPr>
                <w:lang w:val="ro-RO"/>
              </w:rPr>
            </w:pPr>
            <w:r w:rsidRPr="00BB1F97">
              <w:rPr>
                <w:lang w:val="ro-RO"/>
              </w:rPr>
              <w:t>pct. 17 a fost completat cu cuvintele „</w:t>
            </w:r>
            <w:proofErr w:type="spellStart"/>
            <w:r w:rsidRPr="00BB1F97">
              <w:rPr>
                <w:lang w:val="ro-RO"/>
              </w:rPr>
              <w:t>pînă</w:t>
            </w:r>
            <w:proofErr w:type="spellEnd"/>
            <w:r w:rsidRPr="00BB1F97">
              <w:rPr>
                <w:lang w:val="ro-RO"/>
              </w:rPr>
              <w:t xml:space="preserve"> la epuizarea stocurilor avizate sanitar”, iar în proiectul HG a fost inclus un pct. Nou cu următorul con</w:t>
            </w:r>
            <w:r w:rsidR="00C86B7B">
              <w:rPr>
                <w:lang w:val="ro-RO"/>
              </w:rPr>
              <w:t>ţ</w:t>
            </w:r>
            <w:r w:rsidRPr="00BB1F97">
              <w:rPr>
                <w:lang w:val="ro-RO"/>
              </w:rPr>
              <w:t>inut:„3. Se abrogă Regulile şi normativele sanitaro-epidemiologice privind etichetarea produselor cosmetice nr.06.10.3.66 din 22.12.2004”.</w:t>
            </w:r>
          </w:p>
          <w:p w:rsidR="00BB1F97" w:rsidRDefault="00BB1F97" w:rsidP="00BB1F97">
            <w:pPr>
              <w:pStyle w:val="aa"/>
              <w:ind w:left="0" w:right="-107" w:firstLine="176"/>
            </w:pPr>
          </w:p>
          <w:p w:rsidR="00BB1F97" w:rsidRPr="00BB1F97" w:rsidRDefault="00BB1F97" w:rsidP="00BB1F97">
            <w:pPr>
              <w:pStyle w:val="aa"/>
              <w:ind w:left="0" w:right="-107" w:firstLine="176"/>
            </w:pPr>
            <w:r>
              <w:t>S</w:t>
            </w:r>
            <w:r w:rsidRPr="00BB1F97">
              <w:t xml:space="preserve">e acceptă, </w:t>
            </w:r>
          </w:p>
          <w:p w:rsidR="00063B9D" w:rsidRPr="00BB1F97" w:rsidRDefault="00BB1F97" w:rsidP="00BB1F97">
            <w:pPr>
              <w:pStyle w:val="aa"/>
              <w:ind w:left="0" w:right="-107" w:firstLine="176"/>
            </w:pPr>
            <w:r w:rsidRPr="00BB1F97">
              <w:t xml:space="preserve">au fost operate modificări </w:t>
            </w:r>
            <w:r w:rsidR="00C86B7B">
              <w:t>ş</w:t>
            </w:r>
            <w:r w:rsidRPr="00BB1F97">
              <w:t>i completări ale punctelor respective</w:t>
            </w:r>
            <w:r>
              <w:t>. Ghidurile vor avea un c</w:t>
            </w:r>
            <w:r w:rsidRPr="00BB1F97">
              <w:t>aracter consultativ si de recomandare</w:t>
            </w:r>
          </w:p>
          <w:p w:rsidR="00063B9D" w:rsidRDefault="00063B9D" w:rsidP="00870821">
            <w:pPr>
              <w:pStyle w:val="aa"/>
              <w:ind w:left="0" w:right="-107" w:firstLine="176"/>
            </w:pPr>
          </w:p>
          <w:p w:rsidR="00063B9D" w:rsidRDefault="00063B9D" w:rsidP="00870821">
            <w:pPr>
              <w:pStyle w:val="aa"/>
              <w:ind w:left="0" w:right="-107" w:firstLine="176"/>
            </w:pPr>
          </w:p>
          <w:p w:rsidR="00063B9D" w:rsidRDefault="00063B9D" w:rsidP="00870821">
            <w:pPr>
              <w:pStyle w:val="aa"/>
              <w:ind w:left="0" w:right="-107" w:firstLine="176"/>
            </w:pPr>
          </w:p>
          <w:p w:rsidR="00063B9D" w:rsidRDefault="00063B9D" w:rsidP="00325F0C">
            <w:pPr>
              <w:pStyle w:val="aa"/>
              <w:ind w:left="0" w:right="-107" w:firstLine="176"/>
            </w:pPr>
          </w:p>
          <w:p w:rsidR="00BB1F97" w:rsidRDefault="00BB1F97" w:rsidP="00325F0C">
            <w:pPr>
              <w:pStyle w:val="aa"/>
              <w:ind w:left="0" w:right="-107" w:firstLine="176"/>
            </w:pPr>
          </w:p>
          <w:p w:rsidR="00D7513A" w:rsidRPr="00D7513A" w:rsidRDefault="00D7513A" w:rsidP="00D7513A">
            <w:pPr>
              <w:pStyle w:val="aa"/>
            </w:pPr>
            <w:r w:rsidRPr="00D7513A">
              <w:t>Se acceptă.</w:t>
            </w:r>
          </w:p>
          <w:p w:rsidR="00BB1F97" w:rsidRDefault="00BB1F97" w:rsidP="00325F0C">
            <w:pPr>
              <w:pStyle w:val="aa"/>
              <w:ind w:left="0" w:right="-107" w:firstLine="176"/>
            </w:pPr>
          </w:p>
          <w:p w:rsidR="00BB1F97" w:rsidRDefault="00BB1F97" w:rsidP="00325F0C">
            <w:pPr>
              <w:pStyle w:val="aa"/>
              <w:ind w:left="0" w:right="-107" w:firstLine="176"/>
            </w:pPr>
          </w:p>
          <w:p w:rsidR="00BB1F97" w:rsidRDefault="00BB1F97" w:rsidP="00325F0C">
            <w:pPr>
              <w:pStyle w:val="aa"/>
              <w:ind w:left="0" w:right="-107" w:firstLine="176"/>
            </w:pPr>
          </w:p>
          <w:p w:rsidR="00BB1F97" w:rsidRDefault="00886410" w:rsidP="00325F0C">
            <w:pPr>
              <w:pStyle w:val="aa"/>
              <w:ind w:left="0" w:right="-107" w:firstLine="176"/>
            </w:pPr>
            <w:r>
              <w:t>Se acceptă.</w:t>
            </w:r>
          </w:p>
          <w:p w:rsidR="00886410" w:rsidRDefault="00886410" w:rsidP="00325F0C">
            <w:pPr>
              <w:pStyle w:val="aa"/>
              <w:ind w:left="0" w:right="-107" w:firstLine="176"/>
            </w:pPr>
          </w:p>
          <w:p w:rsidR="00886410" w:rsidRDefault="00886410" w:rsidP="00325F0C">
            <w:pPr>
              <w:pStyle w:val="aa"/>
              <w:ind w:left="0" w:right="-107" w:firstLine="176"/>
            </w:pPr>
          </w:p>
          <w:p w:rsidR="00886410" w:rsidRDefault="00886410" w:rsidP="00325F0C">
            <w:pPr>
              <w:pStyle w:val="aa"/>
              <w:ind w:left="0" w:right="-107" w:firstLine="176"/>
            </w:pPr>
          </w:p>
          <w:p w:rsidR="00886410" w:rsidRDefault="00886410" w:rsidP="00325F0C">
            <w:pPr>
              <w:pStyle w:val="aa"/>
              <w:ind w:left="0" w:right="-107" w:firstLine="176"/>
            </w:pPr>
          </w:p>
          <w:p w:rsidR="00886410" w:rsidRDefault="00886410" w:rsidP="00325F0C">
            <w:pPr>
              <w:pStyle w:val="aa"/>
              <w:ind w:left="0" w:right="-107" w:firstLine="176"/>
            </w:pPr>
          </w:p>
          <w:p w:rsidR="00D7513A" w:rsidRDefault="00D7513A" w:rsidP="00D7513A">
            <w:pPr>
              <w:pStyle w:val="aa"/>
            </w:pPr>
          </w:p>
          <w:p w:rsidR="00D7513A" w:rsidRPr="00D7513A" w:rsidRDefault="00D7513A" w:rsidP="00D7513A">
            <w:pPr>
              <w:pStyle w:val="aa"/>
            </w:pPr>
            <w:r w:rsidRPr="00D7513A">
              <w:t>Se acceptă.</w:t>
            </w:r>
          </w:p>
          <w:p w:rsidR="00886410" w:rsidRDefault="00886410" w:rsidP="00325F0C">
            <w:pPr>
              <w:pStyle w:val="aa"/>
              <w:ind w:left="0" w:right="-107" w:firstLine="176"/>
            </w:pPr>
          </w:p>
          <w:p w:rsidR="00886410" w:rsidRDefault="00886410" w:rsidP="00325F0C">
            <w:pPr>
              <w:pStyle w:val="aa"/>
              <w:ind w:left="0" w:right="-107" w:firstLine="176"/>
            </w:pPr>
          </w:p>
          <w:p w:rsidR="00886410" w:rsidRDefault="00886410" w:rsidP="00325F0C">
            <w:pPr>
              <w:pStyle w:val="aa"/>
              <w:ind w:left="0" w:right="-107" w:firstLine="176"/>
            </w:pPr>
          </w:p>
          <w:p w:rsidR="00886410" w:rsidRDefault="00886410" w:rsidP="00325F0C">
            <w:pPr>
              <w:pStyle w:val="aa"/>
              <w:ind w:left="0" w:right="-107" w:firstLine="176"/>
            </w:pPr>
          </w:p>
          <w:p w:rsidR="00886410" w:rsidRDefault="00886410" w:rsidP="00325F0C">
            <w:pPr>
              <w:pStyle w:val="aa"/>
              <w:ind w:left="0" w:right="-107" w:firstLine="176"/>
            </w:pPr>
          </w:p>
          <w:p w:rsidR="00886410" w:rsidRDefault="00886410" w:rsidP="00325F0C">
            <w:pPr>
              <w:pStyle w:val="aa"/>
              <w:ind w:left="0" w:right="-107" w:firstLine="176"/>
            </w:pPr>
          </w:p>
          <w:p w:rsidR="00886410" w:rsidRDefault="00886410" w:rsidP="00325F0C">
            <w:pPr>
              <w:pStyle w:val="aa"/>
              <w:ind w:left="0" w:right="-107" w:firstLine="176"/>
            </w:pPr>
            <w:r>
              <w:t>Se acceptă par</w:t>
            </w:r>
            <w:r w:rsidR="00C86B7B">
              <w:t>ţ</w:t>
            </w:r>
            <w:r>
              <w:t xml:space="preserve">ial, </w:t>
            </w:r>
          </w:p>
          <w:p w:rsidR="00886410" w:rsidRDefault="00886410" w:rsidP="00325F0C">
            <w:pPr>
              <w:pStyle w:val="aa"/>
              <w:ind w:left="0" w:right="-107" w:firstLine="176"/>
            </w:pPr>
            <w:r>
              <w:t xml:space="preserve">Au fost operate modificări </w:t>
            </w:r>
            <w:r w:rsidR="00C86B7B">
              <w:t>ş</w:t>
            </w:r>
            <w:r>
              <w:t>i completări în con</w:t>
            </w:r>
            <w:r w:rsidR="00C86B7B">
              <w:t>ţ</w:t>
            </w:r>
            <w:r>
              <w:t>inutul pct. 27</w:t>
            </w:r>
          </w:p>
          <w:p w:rsidR="00886410" w:rsidRDefault="00886410" w:rsidP="00325F0C">
            <w:pPr>
              <w:pStyle w:val="aa"/>
              <w:ind w:left="0" w:right="-107" w:firstLine="176"/>
            </w:pPr>
          </w:p>
          <w:p w:rsidR="00886410" w:rsidRDefault="00886410" w:rsidP="00325F0C">
            <w:pPr>
              <w:pStyle w:val="aa"/>
              <w:ind w:left="0" w:right="-107" w:firstLine="176"/>
            </w:pPr>
          </w:p>
          <w:p w:rsidR="00786CE6" w:rsidRDefault="00786CE6" w:rsidP="00786CE6">
            <w:pPr>
              <w:pStyle w:val="a6"/>
              <w:ind w:left="33" w:firstLine="142"/>
              <w:jc w:val="left"/>
              <w:rPr>
                <w:lang w:val="ro-RO"/>
              </w:rPr>
            </w:pPr>
            <w:r>
              <w:rPr>
                <w:lang w:val="ro-RO"/>
              </w:rPr>
              <w:t>S</w:t>
            </w:r>
            <w:r w:rsidRPr="00786CE6">
              <w:rPr>
                <w:lang w:val="ro-RO"/>
              </w:rPr>
              <w:t>e acceptă par</w:t>
            </w:r>
            <w:r w:rsidR="00C86B7B">
              <w:rPr>
                <w:lang w:val="ro-RO"/>
              </w:rPr>
              <w:t>ţ</w:t>
            </w:r>
            <w:r w:rsidRPr="00786CE6">
              <w:rPr>
                <w:lang w:val="ro-RO"/>
              </w:rPr>
              <w:t xml:space="preserve">ial, </w:t>
            </w:r>
          </w:p>
          <w:p w:rsidR="00786CE6" w:rsidRPr="00786CE6" w:rsidRDefault="00786CE6" w:rsidP="00786CE6">
            <w:pPr>
              <w:pStyle w:val="a6"/>
              <w:ind w:left="33" w:firstLine="142"/>
              <w:jc w:val="left"/>
              <w:rPr>
                <w:highlight w:val="yellow"/>
                <w:lang w:val="ro-RO"/>
              </w:rPr>
            </w:pPr>
            <w:r w:rsidRPr="00786CE6">
              <w:rPr>
                <w:lang w:val="ro-RO"/>
              </w:rPr>
              <w:t>este vorba despre „autorizarea sanitară</w:t>
            </w:r>
            <w:r>
              <w:rPr>
                <w:lang w:val="ro-RO"/>
              </w:rPr>
              <w:t>”</w:t>
            </w:r>
            <w:r w:rsidRPr="00786CE6">
              <w:rPr>
                <w:lang w:val="ro-RO"/>
              </w:rPr>
              <w:t xml:space="preserve"> – ca procedură </w:t>
            </w:r>
            <w:r w:rsidR="00C86B7B">
              <w:rPr>
                <w:lang w:val="ro-RO"/>
              </w:rPr>
              <w:t>ş</w:t>
            </w:r>
            <w:r w:rsidRPr="00786CE6">
              <w:rPr>
                <w:lang w:val="ro-RO"/>
              </w:rPr>
              <w:t>i nu act pe</w:t>
            </w:r>
            <w:r w:rsidR="00EF5FD3">
              <w:rPr>
                <w:lang w:val="ro-RO"/>
              </w:rPr>
              <w:t>r</w:t>
            </w:r>
            <w:r w:rsidRPr="00786CE6">
              <w:rPr>
                <w:lang w:val="ro-RO"/>
              </w:rPr>
              <w:t>misiv</w:t>
            </w:r>
          </w:p>
          <w:p w:rsidR="00886410" w:rsidRDefault="00886410" w:rsidP="00325F0C">
            <w:pPr>
              <w:pStyle w:val="aa"/>
              <w:ind w:left="0" w:right="-107" w:firstLine="176"/>
            </w:pPr>
          </w:p>
          <w:p w:rsidR="00786CE6" w:rsidRDefault="00786CE6" w:rsidP="00325F0C">
            <w:pPr>
              <w:pStyle w:val="aa"/>
              <w:ind w:left="0" w:right="-107" w:firstLine="176"/>
            </w:pPr>
            <w:r w:rsidRPr="00D7513A">
              <w:t>Se acceptă</w:t>
            </w:r>
            <w:r>
              <w:t xml:space="preserve"> </w:t>
            </w: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r>
              <w:t>S</w:t>
            </w:r>
            <w:r w:rsidRPr="00786CE6">
              <w:t xml:space="preserve">e acceptă, </w:t>
            </w:r>
          </w:p>
          <w:p w:rsidR="00786CE6" w:rsidRDefault="00786CE6" w:rsidP="00325F0C">
            <w:pPr>
              <w:pStyle w:val="aa"/>
              <w:ind w:left="0" w:right="-107" w:firstLine="176"/>
            </w:pPr>
            <w:r w:rsidRPr="00786CE6">
              <w:lastRenderedPageBreak/>
              <w:t xml:space="preserve">au fost efectuate modificările </w:t>
            </w:r>
            <w:r w:rsidR="00C86B7B">
              <w:t>ş</w:t>
            </w:r>
            <w:r w:rsidRPr="00786CE6">
              <w:t>i completările respective</w:t>
            </w:r>
          </w:p>
          <w:p w:rsidR="00786CE6" w:rsidRDefault="00786CE6" w:rsidP="00325F0C">
            <w:pPr>
              <w:pStyle w:val="aa"/>
              <w:ind w:left="0" w:right="-107" w:firstLine="176"/>
            </w:pPr>
          </w:p>
          <w:p w:rsidR="00786CE6" w:rsidRDefault="00786CE6" w:rsidP="00325F0C">
            <w:pPr>
              <w:pStyle w:val="aa"/>
              <w:ind w:left="0" w:right="-107" w:firstLine="176"/>
            </w:pPr>
            <w:r>
              <w:t>Se acceptă par</w:t>
            </w:r>
            <w:r w:rsidR="00C86B7B">
              <w:t>ţ</w:t>
            </w:r>
            <w:r>
              <w:t xml:space="preserve">ial, </w:t>
            </w:r>
          </w:p>
          <w:p w:rsidR="00786CE6" w:rsidRDefault="00786CE6" w:rsidP="00786CE6">
            <w:pPr>
              <w:pStyle w:val="aa"/>
              <w:ind w:left="0" w:right="-107" w:firstLine="176"/>
            </w:pPr>
            <w:r w:rsidRPr="00786CE6">
              <w:t xml:space="preserve">au fost efectuate modificările </w:t>
            </w:r>
            <w:r w:rsidR="00C86B7B">
              <w:t>ş</w:t>
            </w:r>
            <w:r w:rsidRPr="00786CE6">
              <w:t>i completările respective</w:t>
            </w: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p>
          <w:p w:rsidR="00786CE6" w:rsidRDefault="00786CE6" w:rsidP="00325F0C">
            <w:pPr>
              <w:pStyle w:val="aa"/>
              <w:ind w:left="0" w:right="-107" w:firstLine="176"/>
            </w:pPr>
            <w:r w:rsidRPr="00786CE6">
              <w:t>Se acceptă, a fost stabilite responsabilită</w:t>
            </w:r>
            <w:r w:rsidR="00C86B7B">
              <w:t>ţ</w:t>
            </w:r>
            <w:r w:rsidRPr="00786CE6">
              <w:t>ile concrete ale APC în domeniul supravegherii si controlului.</w:t>
            </w:r>
          </w:p>
          <w:p w:rsidR="004865D4" w:rsidRDefault="004865D4" w:rsidP="00325F0C">
            <w:pPr>
              <w:pStyle w:val="aa"/>
              <w:ind w:left="0" w:right="-107" w:firstLine="176"/>
            </w:pPr>
          </w:p>
          <w:p w:rsidR="004865D4" w:rsidRDefault="004865D4" w:rsidP="00325F0C">
            <w:pPr>
              <w:pStyle w:val="aa"/>
              <w:ind w:left="0" w:right="-107" w:firstLine="176"/>
            </w:pPr>
          </w:p>
          <w:p w:rsidR="004865D4" w:rsidRDefault="004865D4" w:rsidP="00325F0C">
            <w:pPr>
              <w:pStyle w:val="aa"/>
              <w:ind w:left="0" w:right="-107" w:firstLine="176"/>
            </w:pPr>
            <w:r>
              <w:t>Nu se acceptă,</w:t>
            </w:r>
          </w:p>
          <w:p w:rsidR="004865D4" w:rsidRDefault="004865D4" w:rsidP="004865D4">
            <w:pPr>
              <w:pStyle w:val="aa"/>
              <w:ind w:left="0" w:right="-107" w:firstLine="176"/>
            </w:pPr>
            <w:r>
              <w:t xml:space="preserve">A se vedea art. 17, alin. (2), punctul 6, lit. e) </w:t>
            </w:r>
            <w:r w:rsidR="00C86B7B">
              <w:t>ş</w:t>
            </w:r>
            <w:r>
              <w:t>i art. 36 alin. (2) din Legea 10/2009.</w:t>
            </w:r>
          </w:p>
          <w:p w:rsidR="006D4E25" w:rsidRDefault="006D4E25" w:rsidP="004865D4">
            <w:pPr>
              <w:pStyle w:val="aa"/>
              <w:ind w:left="0" w:right="-107" w:firstLine="176"/>
            </w:pPr>
          </w:p>
          <w:p w:rsidR="006D4E25" w:rsidRDefault="006D4E25" w:rsidP="004865D4">
            <w:pPr>
              <w:pStyle w:val="aa"/>
              <w:ind w:left="0" w:right="-107" w:firstLine="176"/>
            </w:pPr>
          </w:p>
          <w:p w:rsidR="006D4E25" w:rsidRDefault="006D4E25" w:rsidP="004865D4">
            <w:pPr>
              <w:pStyle w:val="aa"/>
              <w:ind w:left="0" w:right="-107" w:firstLine="176"/>
            </w:pPr>
          </w:p>
          <w:p w:rsidR="006D4E25" w:rsidRDefault="006D4E25" w:rsidP="004865D4">
            <w:pPr>
              <w:pStyle w:val="aa"/>
              <w:ind w:left="0" w:right="-107" w:firstLine="176"/>
            </w:pPr>
            <w:r>
              <w:t>Se acceptă par</w:t>
            </w:r>
            <w:r w:rsidR="00C86B7B">
              <w:t>ţ</w:t>
            </w:r>
            <w:r>
              <w:t xml:space="preserve">ial, </w:t>
            </w:r>
          </w:p>
          <w:p w:rsidR="006D4E25" w:rsidRDefault="006D4E25" w:rsidP="006D4E25">
            <w:pPr>
              <w:pStyle w:val="aa"/>
              <w:ind w:left="0" w:right="-107" w:firstLine="176"/>
            </w:pPr>
            <w:r w:rsidRPr="00786CE6">
              <w:t xml:space="preserve">au fost efectuate modificările </w:t>
            </w:r>
            <w:r w:rsidR="00C86B7B">
              <w:t>ş</w:t>
            </w:r>
            <w:r w:rsidRPr="00786CE6">
              <w:t>i completările respective</w:t>
            </w:r>
          </w:p>
          <w:p w:rsidR="006D4E25" w:rsidRDefault="006D4E25" w:rsidP="004865D4">
            <w:pPr>
              <w:pStyle w:val="aa"/>
              <w:ind w:left="0" w:right="-107" w:firstLine="176"/>
            </w:pPr>
          </w:p>
          <w:p w:rsidR="006D4E25" w:rsidRDefault="006D4E25" w:rsidP="004865D4">
            <w:pPr>
              <w:pStyle w:val="aa"/>
              <w:ind w:left="0" w:right="-107" w:firstLine="176"/>
            </w:pPr>
          </w:p>
          <w:p w:rsidR="006D4E25" w:rsidRDefault="006D4E25" w:rsidP="004865D4">
            <w:pPr>
              <w:pStyle w:val="aa"/>
              <w:ind w:left="0" w:right="-107" w:firstLine="176"/>
            </w:pPr>
          </w:p>
          <w:p w:rsidR="006D4E25" w:rsidRDefault="006D4E25" w:rsidP="004865D4">
            <w:pPr>
              <w:pStyle w:val="aa"/>
              <w:ind w:left="0" w:right="-107" w:firstLine="176"/>
            </w:pPr>
          </w:p>
          <w:p w:rsidR="006D4E25" w:rsidRPr="00786CE6" w:rsidRDefault="006D4E25" w:rsidP="004865D4">
            <w:pPr>
              <w:pStyle w:val="aa"/>
              <w:ind w:left="0" w:right="-107" w:firstLine="176"/>
            </w:pPr>
          </w:p>
        </w:tc>
      </w:tr>
      <w:tr w:rsidR="00224574" w:rsidRPr="00545238" w:rsidTr="008126BE">
        <w:tc>
          <w:tcPr>
            <w:tcW w:w="534" w:type="dxa"/>
          </w:tcPr>
          <w:p w:rsidR="00224574" w:rsidRDefault="005965D1" w:rsidP="00A22E1B">
            <w:pPr>
              <w:jc w:val="center"/>
            </w:pPr>
            <w:r>
              <w:lastRenderedPageBreak/>
              <w:t>6</w:t>
            </w:r>
          </w:p>
        </w:tc>
        <w:tc>
          <w:tcPr>
            <w:tcW w:w="2301" w:type="dxa"/>
          </w:tcPr>
          <w:p w:rsidR="00224574" w:rsidRPr="00DF0676" w:rsidRDefault="00D7513A" w:rsidP="00987457">
            <w:pPr>
              <w:rPr>
                <w:b/>
              </w:rPr>
            </w:pPr>
            <w:r>
              <w:rPr>
                <w:b/>
              </w:rPr>
              <w:t>Confedera</w:t>
            </w:r>
            <w:r w:rsidR="00C86B7B">
              <w:rPr>
                <w:b/>
              </w:rPr>
              <w:t>ţ</w:t>
            </w:r>
            <w:r>
              <w:rPr>
                <w:b/>
              </w:rPr>
              <w:t>ia Na</w:t>
            </w:r>
            <w:r w:rsidR="00C86B7B">
              <w:rPr>
                <w:b/>
              </w:rPr>
              <w:t>ţ</w:t>
            </w:r>
            <w:r>
              <w:rPr>
                <w:b/>
              </w:rPr>
              <w:t>ională a Sindicatelor din Moldova</w:t>
            </w:r>
            <w:r w:rsidR="00BA1517">
              <w:rPr>
                <w:b/>
              </w:rPr>
              <w:t>, aviz nr. 05-02/1168 din 19.11.2015</w:t>
            </w:r>
          </w:p>
        </w:tc>
        <w:tc>
          <w:tcPr>
            <w:tcW w:w="8364" w:type="dxa"/>
          </w:tcPr>
          <w:p w:rsidR="00224574" w:rsidRDefault="00BA1517" w:rsidP="00320E47">
            <w:pPr>
              <w:jc w:val="both"/>
            </w:pPr>
            <w:r>
              <w:t xml:space="preserve">La capitolul II, punctul 11, </w:t>
            </w:r>
            <w:proofErr w:type="spellStart"/>
            <w:r>
              <w:t>subpunctul</w:t>
            </w:r>
            <w:proofErr w:type="spellEnd"/>
            <w:r>
              <w:t xml:space="preserve"> 6 a exclude sintagma limba care poate fi u</w:t>
            </w:r>
            <w:r w:rsidR="00C86B7B">
              <w:t>ş</w:t>
            </w:r>
            <w:r>
              <w:t>or în</w:t>
            </w:r>
            <w:r w:rsidR="00C86B7B">
              <w:t>ţ</w:t>
            </w:r>
            <w:r>
              <w:t xml:space="preserve">eleasă de autoritatea în cauză </w:t>
            </w:r>
            <w:r w:rsidR="00C86B7B">
              <w:t>ş</w:t>
            </w:r>
            <w:r>
              <w:t>i să fie nominalizată limba</w:t>
            </w:r>
            <w:r w:rsidR="000B0D98">
              <w:t xml:space="preserve"> rom</w:t>
            </w:r>
            <w:r w:rsidR="00320E47">
              <w:t>â</w:t>
            </w:r>
            <w:r w:rsidR="000B0D98">
              <w:t>nă</w:t>
            </w:r>
            <w:r w:rsidR="00320E47">
              <w:t>.</w:t>
            </w:r>
          </w:p>
        </w:tc>
        <w:tc>
          <w:tcPr>
            <w:tcW w:w="3261" w:type="dxa"/>
          </w:tcPr>
          <w:p w:rsidR="00C07AB0" w:rsidRPr="00C07AB0" w:rsidRDefault="00320E47" w:rsidP="00C07AB0">
            <w:pPr>
              <w:pStyle w:val="aa"/>
              <w:ind w:left="34"/>
              <w:jc w:val="both"/>
              <w:rPr>
                <w:sz w:val="20"/>
                <w:szCs w:val="20"/>
              </w:rPr>
            </w:pPr>
            <w:r>
              <w:t>Se acceptă</w:t>
            </w:r>
          </w:p>
        </w:tc>
      </w:tr>
      <w:tr w:rsidR="00CE0210" w:rsidRPr="00545238" w:rsidTr="008126BE">
        <w:tc>
          <w:tcPr>
            <w:tcW w:w="534" w:type="dxa"/>
          </w:tcPr>
          <w:p w:rsidR="00CE0210" w:rsidRDefault="00CE0210" w:rsidP="00A22E1B">
            <w:pPr>
              <w:jc w:val="center"/>
            </w:pPr>
          </w:p>
        </w:tc>
        <w:tc>
          <w:tcPr>
            <w:tcW w:w="2301" w:type="dxa"/>
          </w:tcPr>
          <w:p w:rsidR="00CE0210" w:rsidRDefault="00CE0210">
            <w:pPr>
              <w:rPr>
                <w:b/>
              </w:rPr>
            </w:pPr>
          </w:p>
        </w:tc>
        <w:tc>
          <w:tcPr>
            <w:tcW w:w="8364" w:type="dxa"/>
          </w:tcPr>
          <w:p w:rsidR="00CE0210" w:rsidRPr="00FC2072" w:rsidRDefault="000B0D98" w:rsidP="001C6E46">
            <w:pPr>
              <w:jc w:val="both"/>
            </w:pPr>
            <w:r w:rsidRPr="000B0D98">
              <w:t>La capitolul II</w:t>
            </w:r>
            <w:r w:rsidR="001C6E46">
              <w:t>I</w:t>
            </w:r>
            <w:r w:rsidRPr="000B0D98">
              <w:t xml:space="preserve">, </w:t>
            </w:r>
            <w:r w:rsidR="001C6E46">
              <w:t>sec</w:t>
            </w:r>
            <w:r w:rsidR="00C86B7B">
              <w:t>ţ</w:t>
            </w:r>
            <w:r w:rsidR="001C6E46">
              <w:t>iunea 2, punctul 2</w:t>
            </w:r>
            <w:r w:rsidRPr="000B0D98">
              <w:t xml:space="preserve">1, </w:t>
            </w:r>
            <w:r w:rsidR="0020277E">
              <w:t>dosarul se propune de a fi păstrat minimum pentru o perioadă de un an de la expirarea termenului de valabilitate a produsului pentru a simplifica ulterior ac</w:t>
            </w:r>
            <w:r w:rsidR="00C86B7B">
              <w:t>ţ</w:t>
            </w:r>
            <w:r w:rsidR="0020277E">
              <w:t>iunile în cazul apari</w:t>
            </w:r>
            <w:r w:rsidR="00C86B7B">
              <w:t>ţ</w:t>
            </w:r>
            <w:r w:rsidR="0020277E">
              <w:t>iei efectelor nedorite.</w:t>
            </w:r>
          </w:p>
        </w:tc>
        <w:tc>
          <w:tcPr>
            <w:tcW w:w="3261" w:type="dxa"/>
          </w:tcPr>
          <w:p w:rsidR="00CE0210" w:rsidRDefault="0020277E" w:rsidP="00D7513A">
            <w:pPr>
              <w:pStyle w:val="aa"/>
              <w:ind w:left="176"/>
            </w:pPr>
            <w:r>
              <w:t>Se acceptă par</w:t>
            </w:r>
            <w:r w:rsidR="00C86B7B">
              <w:t>ţ</w:t>
            </w:r>
            <w:r>
              <w:t>ial. Au fost efectuate modificările de respective. Perioada a fost modificată pentru 3 ani, perioada de valabilitate max. a produselor cosmetice</w:t>
            </w:r>
          </w:p>
        </w:tc>
      </w:tr>
      <w:tr w:rsidR="000B0D98" w:rsidRPr="00545238" w:rsidTr="008126BE">
        <w:tc>
          <w:tcPr>
            <w:tcW w:w="534" w:type="dxa"/>
          </w:tcPr>
          <w:p w:rsidR="000B0D98" w:rsidRDefault="000B0D98" w:rsidP="00A22E1B">
            <w:pPr>
              <w:jc w:val="center"/>
            </w:pPr>
          </w:p>
        </w:tc>
        <w:tc>
          <w:tcPr>
            <w:tcW w:w="2301" w:type="dxa"/>
          </w:tcPr>
          <w:p w:rsidR="000B0D98" w:rsidRDefault="000B0D98">
            <w:pPr>
              <w:rPr>
                <w:b/>
              </w:rPr>
            </w:pPr>
          </w:p>
        </w:tc>
        <w:tc>
          <w:tcPr>
            <w:tcW w:w="8364" w:type="dxa"/>
          </w:tcPr>
          <w:p w:rsidR="000B0D98" w:rsidRPr="00FC2072" w:rsidRDefault="0020277E" w:rsidP="00813E0A">
            <w:pPr>
              <w:jc w:val="both"/>
            </w:pPr>
            <w:r>
              <w:t>A se prevedea un punct nou, care ar prevedea modalitatea de returnare, metodele de nimicire, neutralizare.</w:t>
            </w:r>
          </w:p>
        </w:tc>
        <w:tc>
          <w:tcPr>
            <w:tcW w:w="3261" w:type="dxa"/>
          </w:tcPr>
          <w:p w:rsidR="000B0D98" w:rsidRDefault="0020277E" w:rsidP="00D7513A">
            <w:pPr>
              <w:pStyle w:val="aa"/>
              <w:ind w:left="176"/>
            </w:pPr>
            <w:r>
              <w:t>Nu se acceptă.  Cerin</w:t>
            </w:r>
            <w:r w:rsidR="00C86B7B">
              <w:t>ţ</w:t>
            </w:r>
            <w:r>
              <w:t>ele men</w:t>
            </w:r>
            <w:r w:rsidR="00C86B7B">
              <w:t>ţ</w:t>
            </w:r>
            <w:r>
              <w:t>ionate sunt stipulate în Legea privind de</w:t>
            </w:r>
            <w:r w:rsidR="00C86B7B">
              <w:t>ş</w:t>
            </w:r>
            <w:r>
              <w:t>eurile</w:t>
            </w:r>
            <w:r w:rsidR="00985A7D">
              <w:t xml:space="preserve">, inclusiv de produse </w:t>
            </w:r>
            <w:r w:rsidR="00C86B7B">
              <w:t>ş</w:t>
            </w:r>
            <w:r w:rsidR="00985A7D">
              <w:t>i substan</w:t>
            </w:r>
            <w:r w:rsidR="00C86B7B">
              <w:t>ţ</w:t>
            </w:r>
            <w:r w:rsidR="00985A7D">
              <w:t>e chimice.</w:t>
            </w:r>
          </w:p>
        </w:tc>
      </w:tr>
      <w:tr w:rsidR="00985A7D" w:rsidRPr="00545238" w:rsidTr="008126BE">
        <w:tc>
          <w:tcPr>
            <w:tcW w:w="534" w:type="dxa"/>
          </w:tcPr>
          <w:p w:rsidR="00985A7D" w:rsidRDefault="005965D1" w:rsidP="00A22E1B">
            <w:pPr>
              <w:jc w:val="center"/>
            </w:pPr>
            <w:r>
              <w:t>7</w:t>
            </w:r>
          </w:p>
        </w:tc>
        <w:tc>
          <w:tcPr>
            <w:tcW w:w="2301" w:type="dxa"/>
          </w:tcPr>
          <w:p w:rsidR="00985A7D" w:rsidRDefault="00985A7D">
            <w:pPr>
              <w:rPr>
                <w:b/>
              </w:rPr>
            </w:pPr>
            <w:r>
              <w:rPr>
                <w:b/>
              </w:rPr>
              <w:t xml:space="preserve">Ministerul Agriculturii </w:t>
            </w:r>
            <w:r w:rsidR="00C86B7B">
              <w:rPr>
                <w:b/>
              </w:rPr>
              <w:t>ş</w:t>
            </w:r>
            <w:r>
              <w:rPr>
                <w:b/>
              </w:rPr>
              <w:t>i Industriei Alimentare, aviz nr. 18/2-671 din 09.11.2015</w:t>
            </w:r>
          </w:p>
        </w:tc>
        <w:tc>
          <w:tcPr>
            <w:tcW w:w="8364" w:type="dxa"/>
          </w:tcPr>
          <w:p w:rsidR="00985A7D" w:rsidRDefault="00985A7D" w:rsidP="00813E0A">
            <w:pPr>
              <w:jc w:val="both"/>
            </w:pPr>
            <w:r>
              <w:t>Aviz favorabil cu propuneri de redactare</w:t>
            </w:r>
            <w:r w:rsidR="00320E47">
              <w:t>.</w:t>
            </w:r>
          </w:p>
        </w:tc>
        <w:tc>
          <w:tcPr>
            <w:tcW w:w="3261" w:type="dxa"/>
          </w:tcPr>
          <w:p w:rsidR="00985A7D" w:rsidRDefault="00985A7D" w:rsidP="00D7513A">
            <w:pPr>
              <w:pStyle w:val="aa"/>
              <w:ind w:left="176"/>
            </w:pPr>
            <w:r>
              <w:t>Se acceptă. Au fost efectuate respectivele redactări.</w:t>
            </w:r>
          </w:p>
        </w:tc>
      </w:tr>
      <w:tr w:rsidR="00985A7D" w:rsidRPr="00545238" w:rsidTr="008126BE">
        <w:tc>
          <w:tcPr>
            <w:tcW w:w="534" w:type="dxa"/>
          </w:tcPr>
          <w:p w:rsidR="00985A7D" w:rsidRDefault="005965D1" w:rsidP="00A22E1B">
            <w:pPr>
              <w:jc w:val="center"/>
            </w:pPr>
            <w:r>
              <w:t>8</w:t>
            </w:r>
          </w:p>
        </w:tc>
        <w:tc>
          <w:tcPr>
            <w:tcW w:w="2301" w:type="dxa"/>
          </w:tcPr>
          <w:p w:rsidR="00985A7D" w:rsidRDefault="00985A7D">
            <w:pPr>
              <w:rPr>
                <w:b/>
              </w:rPr>
            </w:pPr>
            <w:r>
              <w:rPr>
                <w:b/>
              </w:rPr>
              <w:t>Agen</w:t>
            </w:r>
            <w:r w:rsidR="00C86B7B">
              <w:rPr>
                <w:b/>
              </w:rPr>
              <w:t>ţ</w:t>
            </w:r>
            <w:r>
              <w:rPr>
                <w:b/>
              </w:rPr>
              <w:t>ia Na</w:t>
            </w:r>
            <w:r w:rsidR="00C86B7B">
              <w:rPr>
                <w:b/>
              </w:rPr>
              <w:t>ţ</w:t>
            </w:r>
            <w:r>
              <w:rPr>
                <w:b/>
              </w:rPr>
              <w:t>ională pentru Siguran</w:t>
            </w:r>
            <w:r w:rsidR="00C86B7B">
              <w:rPr>
                <w:b/>
              </w:rPr>
              <w:t>ţ</w:t>
            </w:r>
            <w:r>
              <w:rPr>
                <w:b/>
              </w:rPr>
              <w:t>a Alimentelor,  aviz nr. 01-6/2096 din 19.11.2015</w:t>
            </w:r>
          </w:p>
        </w:tc>
        <w:tc>
          <w:tcPr>
            <w:tcW w:w="8364" w:type="dxa"/>
          </w:tcPr>
          <w:p w:rsidR="00985A7D" w:rsidRDefault="00985A7D" w:rsidP="00813E0A">
            <w:pPr>
              <w:jc w:val="both"/>
            </w:pPr>
            <w:r>
              <w:t>Aviz favorabil</w:t>
            </w:r>
          </w:p>
        </w:tc>
        <w:tc>
          <w:tcPr>
            <w:tcW w:w="3261" w:type="dxa"/>
          </w:tcPr>
          <w:p w:rsidR="00985A7D" w:rsidRDefault="00985A7D" w:rsidP="00D7513A">
            <w:pPr>
              <w:pStyle w:val="aa"/>
              <w:ind w:left="176"/>
            </w:pPr>
          </w:p>
        </w:tc>
      </w:tr>
      <w:tr w:rsidR="005965D1" w:rsidRPr="00545238" w:rsidTr="008126BE">
        <w:tc>
          <w:tcPr>
            <w:tcW w:w="534" w:type="dxa"/>
          </w:tcPr>
          <w:p w:rsidR="005965D1" w:rsidRDefault="00320E47" w:rsidP="00A22E1B">
            <w:pPr>
              <w:jc w:val="center"/>
            </w:pPr>
            <w:r>
              <w:t>9</w:t>
            </w:r>
          </w:p>
        </w:tc>
        <w:tc>
          <w:tcPr>
            <w:tcW w:w="2301" w:type="dxa"/>
          </w:tcPr>
          <w:p w:rsidR="005965D1" w:rsidRDefault="00320E47">
            <w:pPr>
              <w:rPr>
                <w:b/>
              </w:rPr>
            </w:pPr>
            <w:r>
              <w:rPr>
                <w:b/>
              </w:rPr>
              <w:t>Ministerul finan</w:t>
            </w:r>
            <w:r w:rsidR="00C86B7B">
              <w:rPr>
                <w:b/>
              </w:rPr>
              <w:t>ţ</w:t>
            </w:r>
            <w:r>
              <w:rPr>
                <w:b/>
              </w:rPr>
              <w:t>elor al Republicii Moldova</w:t>
            </w:r>
          </w:p>
        </w:tc>
        <w:tc>
          <w:tcPr>
            <w:tcW w:w="8364" w:type="dxa"/>
          </w:tcPr>
          <w:p w:rsidR="005965D1" w:rsidRDefault="00320E47" w:rsidP="00813E0A">
            <w:pPr>
              <w:jc w:val="both"/>
            </w:pPr>
            <w:r>
              <w:t>Este necesară să fie excluse referin</w:t>
            </w:r>
            <w:r w:rsidR="00C86B7B">
              <w:t>ţ</w:t>
            </w:r>
            <w:r>
              <w:t xml:space="preserve">ele ce </w:t>
            </w:r>
            <w:r w:rsidR="00C86B7B">
              <w:t>ţ</w:t>
            </w:r>
            <w:r>
              <w:t>in de finan</w:t>
            </w:r>
            <w:r w:rsidR="00C86B7B">
              <w:t>ţ</w:t>
            </w:r>
            <w:r>
              <w:t>area proiectului în cauză de la bugetul de stat</w:t>
            </w:r>
          </w:p>
        </w:tc>
        <w:tc>
          <w:tcPr>
            <w:tcW w:w="3261" w:type="dxa"/>
          </w:tcPr>
          <w:p w:rsidR="005965D1" w:rsidRDefault="00320E47" w:rsidP="00D7513A">
            <w:pPr>
              <w:pStyle w:val="aa"/>
              <w:ind w:left="176"/>
            </w:pPr>
            <w:r>
              <w:t>se acceptă</w:t>
            </w:r>
          </w:p>
        </w:tc>
      </w:tr>
      <w:tr w:rsidR="005965D1" w:rsidTr="005965D1">
        <w:tc>
          <w:tcPr>
            <w:tcW w:w="534" w:type="dxa"/>
            <w:tcBorders>
              <w:top w:val="single" w:sz="4" w:space="0" w:color="auto"/>
              <w:left w:val="single" w:sz="4" w:space="0" w:color="auto"/>
              <w:bottom w:val="single" w:sz="4" w:space="0" w:color="auto"/>
              <w:right w:val="single" w:sz="4" w:space="0" w:color="auto"/>
            </w:tcBorders>
          </w:tcPr>
          <w:p w:rsidR="005965D1" w:rsidRDefault="00320E47">
            <w:pPr>
              <w:jc w:val="center"/>
            </w:pPr>
            <w:r>
              <w:t>10</w:t>
            </w:r>
          </w:p>
        </w:tc>
        <w:tc>
          <w:tcPr>
            <w:tcW w:w="2301" w:type="dxa"/>
            <w:tcBorders>
              <w:top w:val="single" w:sz="4" w:space="0" w:color="auto"/>
              <w:left w:val="single" w:sz="4" w:space="0" w:color="auto"/>
              <w:bottom w:val="single" w:sz="4" w:space="0" w:color="auto"/>
              <w:right w:val="single" w:sz="4" w:space="0" w:color="auto"/>
            </w:tcBorders>
          </w:tcPr>
          <w:p w:rsidR="005965D1" w:rsidRDefault="00320E47">
            <w:pPr>
              <w:rPr>
                <w:b/>
              </w:rPr>
            </w:pPr>
            <w:r>
              <w:rPr>
                <w:b/>
              </w:rPr>
              <w:t>Centrul Na</w:t>
            </w:r>
            <w:r w:rsidR="00C86B7B">
              <w:rPr>
                <w:b/>
              </w:rPr>
              <w:t>ţ</w:t>
            </w:r>
            <w:r>
              <w:rPr>
                <w:b/>
              </w:rPr>
              <w:t>ional Anticorup</w:t>
            </w:r>
            <w:r w:rsidR="00C86B7B">
              <w:rPr>
                <w:b/>
              </w:rPr>
              <w:t>ţ</w:t>
            </w:r>
            <w:r>
              <w:rPr>
                <w:b/>
              </w:rPr>
              <w:t>ie</w:t>
            </w:r>
          </w:p>
        </w:tc>
        <w:tc>
          <w:tcPr>
            <w:tcW w:w="8364" w:type="dxa"/>
            <w:tcBorders>
              <w:top w:val="single" w:sz="4" w:space="0" w:color="auto"/>
              <w:left w:val="single" w:sz="4" w:space="0" w:color="auto"/>
              <w:bottom w:val="single" w:sz="4" w:space="0" w:color="auto"/>
              <w:right w:val="single" w:sz="4" w:space="0" w:color="auto"/>
            </w:tcBorders>
          </w:tcPr>
          <w:p w:rsidR="005965D1" w:rsidRDefault="00260493" w:rsidP="00260493">
            <w:pPr>
              <w:autoSpaceDE w:val="0"/>
              <w:autoSpaceDN w:val="0"/>
              <w:adjustRightInd w:val="0"/>
              <w:ind w:firstLine="459"/>
              <w:rPr>
                <w:rFonts w:eastAsia="ArialMT"/>
              </w:rPr>
            </w:pPr>
            <w:r>
              <w:rPr>
                <w:rFonts w:eastAsia="Arial-BoldMT"/>
                <w:bCs/>
              </w:rPr>
              <w:t>La p</w:t>
            </w:r>
            <w:r w:rsidR="00320E47" w:rsidRPr="00260493">
              <w:rPr>
                <w:rFonts w:eastAsia="Arial-BoldMT"/>
                <w:bCs/>
              </w:rPr>
              <w:t>ct.1 din proiectul regulamentului</w:t>
            </w:r>
            <w:r>
              <w:rPr>
                <w:rFonts w:eastAsia="ArialMT"/>
              </w:rPr>
              <w:t xml:space="preserve">, norma </w:t>
            </w:r>
            <w:r w:rsidR="00320E47" w:rsidRPr="00260493">
              <w:rPr>
                <w:rFonts w:eastAsia="ArialMT"/>
              </w:rPr>
              <w:t>nu respectă rigorile stabilite de Legea nr.317/2003 privind actele</w:t>
            </w:r>
            <w:r>
              <w:rPr>
                <w:rFonts w:eastAsia="ArialMT"/>
              </w:rPr>
              <w:t xml:space="preserve"> </w:t>
            </w:r>
            <w:r w:rsidR="00320E47" w:rsidRPr="00260493">
              <w:rPr>
                <w:rFonts w:eastAsia="ArialMT"/>
              </w:rPr>
              <w:t>normative ale Guvernului şi ale altor autorităţi ale administraţiei publice centrale şi locale,</w:t>
            </w:r>
            <w:r w:rsidRPr="00260493">
              <w:rPr>
                <w:rFonts w:eastAsia="ArialMT"/>
              </w:rPr>
              <w:t xml:space="preserve"> </w:t>
            </w:r>
            <w:r w:rsidR="00320E47" w:rsidRPr="00260493">
              <w:rPr>
                <w:rFonts w:eastAsia="ArialMT"/>
              </w:rPr>
              <w:t>deoarece nu asigură o continuitate logică, din acest motiv necesită a fi reformulată</w:t>
            </w:r>
            <w:r w:rsidRPr="00260493">
              <w:rPr>
                <w:rFonts w:eastAsia="ArialMT"/>
              </w:rPr>
              <w:t xml:space="preserve"> conform </w:t>
            </w:r>
            <w:r w:rsidR="00320E47" w:rsidRPr="00260493">
              <w:rPr>
                <w:rFonts w:eastAsia="ArialMT"/>
              </w:rPr>
              <w:t>regulilor gramaticale.</w:t>
            </w:r>
          </w:p>
          <w:p w:rsidR="00260493" w:rsidRDefault="00260493" w:rsidP="00B70822">
            <w:pPr>
              <w:autoSpaceDE w:val="0"/>
              <w:autoSpaceDN w:val="0"/>
              <w:adjustRightInd w:val="0"/>
              <w:ind w:firstLine="459"/>
              <w:rPr>
                <w:rFonts w:eastAsia="Arial-BoldItalicMT"/>
                <w:bCs/>
                <w:iCs/>
              </w:rPr>
            </w:pPr>
            <w:r w:rsidRPr="00B70822">
              <w:rPr>
                <w:rFonts w:eastAsia="Arial-BoldMT"/>
                <w:bCs/>
              </w:rPr>
              <w:t>La pct.10 din proiectul regulamentului: „Persoana responsabilă este obligată…”</w:t>
            </w:r>
            <w:r w:rsidR="00B70822">
              <w:rPr>
                <w:rFonts w:eastAsia="ArialMT"/>
              </w:rPr>
              <w:t>, a</w:t>
            </w:r>
            <w:r w:rsidRPr="00260493">
              <w:rPr>
                <w:rFonts w:eastAsia="ArialMT"/>
              </w:rPr>
              <w:t>utorul operează cu sintagma „persoana responsabilă” pentru a defini mandatarul</w:t>
            </w:r>
            <w:r w:rsidR="00B70822">
              <w:rPr>
                <w:rFonts w:eastAsia="Arial-BoldMT"/>
                <w:b/>
                <w:bCs/>
              </w:rPr>
              <w:t xml:space="preserve"> </w:t>
            </w:r>
            <w:r w:rsidRPr="00260493">
              <w:rPr>
                <w:rFonts w:eastAsia="ArialMT"/>
              </w:rPr>
              <w:t>împuternicit de producător sau importator, fapt ce creează confuzii, deoarece la pct.7 al</w:t>
            </w:r>
            <w:r w:rsidR="00B70822">
              <w:rPr>
                <w:rFonts w:eastAsia="Arial-BoldMT"/>
                <w:b/>
                <w:bCs/>
              </w:rPr>
              <w:t xml:space="preserve"> </w:t>
            </w:r>
            <w:r w:rsidRPr="00260493">
              <w:rPr>
                <w:rFonts w:eastAsia="ArialMT"/>
              </w:rPr>
              <w:t>aceluiaşi regulament persoana responsabilă este prevăzută a fi producătorul, importatorul şi</w:t>
            </w:r>
            <w:r w:rsidR="00B70822">
              <w:rPr>
                <w:rFonts w:eastAsia="Arial-BoldMT"/>
                <w:b/>
                <w:bCs/>
              </w:rPr>
              <w:t xml:space="preserve"> </w:t>
            </w:r>
            <w:r w:rsidRPr="00260493">
              <w:rPr>
                <w:rFonts w:eastAsia="ArialMT"/>
              </w:rPr>
              <w:t>distribuitorul care introduce pe piaţă un produs cosmetic cu numele sau marca sa. Pentru a</w:t>
            </w:r>
            <w:r w:rsidR="00B70822">
              <w:rPr>
                <w:rFonts w:eastAsia="Arial-BoldMT"/>
                <w:b/>
                <w:bCs/>
              </w:rPr>
              <w:t xml:space="preserve"> </w:t>
            </w:r>
            <w:r w:rsidRPr="00260493">
              <w:rPr>
                <w:rFonts w:eastAsia="ArialMT"/>
              </w:rPr>
              <w:t>evita ulterioare neclarităţi este oportună redenumirea sintagmei.</w:t>
            </w:r>
            <w:r w:rsidR="00B70822">
              <w:rPr>
                <w:rFonts w:eastAsia="ArialMT"/>
              </w:rPr>
              <w:t xml:space="preserve"> </w:t>
            </w:r>
            <w:r w:rsidR="00B70822" w:rsidRPr="00B70822">
              <w:rPr>
                <w:rFonts w:eastAsia="Arial-BoldItalicMT"/>
                <w:bCs/>
                <w:iCs/>
              </w:rPr>
              <w:t>Se recomandă</w:t>
            </w:r>
            <w:r w:rsidRPr="00B70822">
              <w:rPr>
                <w:rFonts w:eastAsia="Arial-BoldItalicMT"/>
                <w:bCs/>
                <w:iCs/>
              </w:rPr>
              <w:t xml:space="preserve"> </w:t>
            </w:r>
            <w:r w:rsidR="00B70822">
              <w:rPr>
                <w:rFonts w:eastAsia="Arial-BoldItalicMT"/>
                <w:bCs/>
                <w:iCs/>
              </w:rPr>
              <w:t>s</w:t>
            </w:r>
            <w:r w:rsidRPr="00B70822">
              <w:rPr>
                <w:rFonts w:eastAsia="Arial-BoldItalicMT"/>
                <w:bCs/>
                <w:iCs/>
              </w:rPr>
              <w:t xml:space="preserve">ubstituirea sintagmei „persoana responsabilă” cu </w:t>
            </w:r>
            <w:proofErr w:type="spellStart"/>
            <w:r w:rsidRPr="00B70822">
              <w:rPr>
                <w:rFonts w:eastAsia="Arial-BoldItalicMT"/>
                <w:bCs/>
                <w:iCs/>
              </w:rPr>
              <w:t>cuvîntul</w:t>
            </w:r>
            <w:proofErr w:type="spellEnd"/>
            <w:r w:rsidR="00B70822">
              <w:rPr>
                <w:rFonts w:eastAsia="Arial-BoldMT"/>
                <w:b/>
                <w:bCs/>
              </w:rPr>
              <w:t xml:space="preserve"> </w:t>
            </w:r>
            <w:r w:rsidRPr="00B70822">
              <w:rPr>
                <w:rFonts w:eastAsia="Arial-BoldItalicMT"/>
                <w:bCs/>
                <w:iCs/>
              </w:rPr>
              <w:t>„mandatarul”.</w:t>
            </w:r>
          </w:p>
          <w:p w:rsidR="00B70822" w:rsidRDefault="00B70822" w:rsidP="00B70822">
            <w:pPr>
              <w:autoSpaceDE w:val="0"/>
              <w:autoSpaceDN w:val="0"/>
              <w:adjustRightInd w:val="0"/>
              <w:ind w:firstLine="459"/>
              <w:rPr>
                <w:rFonts w:eastAsia="Arial-BoldItalicMT"/>
                <w:bCs/>
                <w:iCs/>
              </w:rPr>
            </w:pPr>
            <w:r w:rsidRPr="00B70822">
              <w:rPr>
                <w:rFonts w:eastAsia="Arial-BoldMT"/>
                <w:bCs/>
              </w:rPr>
              <w:t>La pct.12 subpct.2) din proiectul regulamentului</w:t>
            </w:r>
            <w:r>
              <w:rPr>
                <w:rFonts w:eastAsia="Arial-BoldItalicMT"/>
                <w:bCs/>
                <w:iCs/>
              </w:rPr>
              <w:t xml:space="preserve"> </w:t>
            </w:r>
            <w:r w:rsidRPr="00B70822">
              <w:rPr>
                <w:rFonts w:eastAsia="Arial-BoldItalicMT"/>
                <w:bCs/>
                <w:iCs/>
              </w:rPr>
              <w:t xml:space="preserve">se recomandă revizuirea normei analizate prin prisma expunerii clare a subiectului care identifică </w:t>
            </w:r>
            <w:r w:rsidRPr="00B70822">
              <w:rPr>
                <w:rFonts w:eastAsia="Arial-BoldItalicMT"/>
                <w:bCs/>
                <w:iCs/>
              </w:rPr>
              <w:lastRenderedPageBreak/>
              <w:t>distribuitorul şi persoana responsabilă.</w:t>
            </w:r>
          </w:p>
          <w:p w:rsidR="006A7842" w:rsidRDefault="00B70822" w:rsidP="006A7842">
            <w:pPr>
              <w:autoSpaceDE w:val="0"/>
              <w:autoSpaceDN w:val="0"/>
              <w:adjustRightInd w:val="0"/>
              <w:ind w:firstLine="459"/>
              <w:rPr>
                <w:rFonts w:eastAsia="Arial-BoldItalicMT"/>
                <w:bCs/>
                <w:iCs/>
              </w:rPr>
            </w:pPr>
            <w:r w:rsidRPr="00B70822">
              <w:rPr>
                <w:rFonts w:eastAsia="Arial-BoldMT"/>
                <w:bCs/>
              </w:rPr>
              <w:t>La pct.12 subpct.</w:t>
            </w:r>
            <w:r>
              <w:rPr>
                <w:rFonts w:eastAsia="Arial-BoldMT"/>
                <w:bCs/>
              </w:rPr>
              <w:t>3</w:t>
            </w:r>
            <w:r w:rsidRPr="00B70822">
              <w:rPr>
                <w:rFonts w:eastAsia="Arial-BoldMT"/>
                <w:bCs/>
              </w:rPr>
              <w:t>) din proiectul regulamentului</w:t>
            </w:r>
            <w:r>
              <w:rPr>
                <w:rFonts w:eastAsia="Arial-BoldItalicMT"/>
                <w:bCs/>
                <w:iCs/>
              </w:rPr>
              <w:t xml:space="preserve"> </w:t>
            </w:r>
            <w:r w:rsidRPr="00B70822">
              <w:rPr>
                <w:rFonts w:eastAsia="Arial-BoldItalicMT"/>
                <w:bCs/>
                <w:iCs/>
              </w:rPr>
              <w:t>se recomandă expunerea normei în următoarea redacţie: „Obligaţiile prevă</w:t>
            </w:r>
            <w:r>
              <w:rPr>
                <w:rFonts w:eastAsia="Arial-BoldItalicMT"/>
                <w:bCs/>
                <w:iCs/>
              </w:rPr>
              <w:t xml:space="preserve">zute la </w:t>
            </w:r>
            <w:r w:rsidRPr="00B70822">
              <w:rPr>
                <w:rFonts w:eastAsia="Arial-BoldItalicMT"/>
                <w:bCs/>
                <w:iCs/>
              </w:rPr>
              <w:t>subpct.1 şi 2 necesită a fi respectate pe o perioadă de trei ani de la data la care lotul</w:t>
            </w:r>
            <w:r>
              <w:rPr>
                <w:rFonts w:eastAsia="Arial-BoldItalicMT"/>
                <w:bCs/>
                <w:iCs/>
              </w:rPr>
              <w:t xml:space="preserve"> </w:t>
            </w:r>
            <w:r w:rsidRPr="00B70822">
              <w:rPr>
                <w:rFonts w:eastAsia="Arial-BoldItalicMT"/>
                <w:bCs/>
                <w:iCs/>
              </w:rPr>
              <w:t>produsului cosmetic a fost pus la dispoziţia distribuitorului”.</w:t>
            </w:r>
          </w:p>
          <w:p w:rsidR="00444BB9" w:rsidRDefault="00B70822" w:rsidP="00444BB9">
            <w:pPr>
              <w:autoSpaceDE w:val="0"/>
              <w:autoSpaceDN w:val="0"/>
              <w:adjustRightInd w:val="0"/>
              <w:ind w:firstLine="459"/>
              <w:rPr>
                <w:rFonts w:eastAsia="Arial-BoldItalicMT"/>
                <w:bCs/>
                <w:iCs/>
              </w:rPr>
            </w:pPr>
            <w:r w:rsidRPr="006A7842">
              <w:rPr>
                <w:rFonts w:eastAsia="Arial-BoldMT"/>
                <w:bCs/>
              </w:rPr>
              <w:t>La pct.59 , n</w:t>
            </w:r>
            <w:r w:rsidRPr="006A7842">
              <w:rPr>
                <w:rFonts w:eastAsia="ArialMT"/>
              </w:rPr>
              <w:t>orma</w:t>
            </w:r>
            <w:r w:rsidRPr="00B70822">
              <w:rPr>
                <w:rFonts w:eastAsia="ArialMT"/>
              </w:rPr>
              <w:t xml:space="preserve"> propusă este incert formulată, nefiind clare priorităţile la care se face referire sau ce</w:t>
            </w:r>
            <w:r>
              <w:rPr>
                <w:rFonts w:eastAsia="ArialMT"/>
              </w:rPr>
              <w:t xml:space="preserve"> </w:t>
            </w:r>
            <w:r w:rsidRPr="00B70822">
              <w:rPr>
                <w:rFonts w:eastAsia="ArialMT"/>
              </w:rPr>
              <w:t>presupune justificarea utilizării unei declaraţii. Atenţionăm că art.46 alin.(2) al Legii</w:t>
            </w:r>
            <w:r>
              <w:rPr>
                <w:rFonts w:eastAsia="ArialMT"/>
              </w:rPr>
              <w:t xml:space="preserve"> </w:t>
            </w:r>
            <w:r w:rsidRPr="00B70822">
              <w:rPr>
                <w:rFonts w:eastAsia="ArialMT"/>
              </w:rPr>
              <w:t>nr.317/2003 privind actele normative ale Guvernului şi a altor autorităţi ale administraţiei</w:t>
            </w:r>
            <w:r>
              <w:rPr>
                <w:rFonts w:eastAsia="ArialMT"/>
              </w:rPr>
              <w:t xml:space="preserve"> </w:t>
            </w:r>
            <w:r w:rsidRPr="00B70822">
              <w:rPr>
                <w:rFonts w:eastAsia="ArialMT"/>
              </w:rPr>
              <w:t>publice centrale şi locale prevede: „Conţinutul proiectului se expune în limbă simplă, clară şi concisă, pentru a se exclude orice echivoc”.</w:t>
            </w:r>
            <w:r w:rsidR="006A7842">
              <w:rPr>
                <w:rFonts w:eastAsia="ArialMT"/>
              </w:rPr>
              <w:t xml:space="preserve"> </w:t>
            </w:r>
            <w:r w:rsidRPr="006A7842">
              <w:rPr>
                <w:rFonts w:eastAsia="ArialMT"/>
              </w:rPr>
              <w:t>Se recomandă r</w:t>
            </w:r>
            <w:r w:rsidRPr="006A7842">
              <w:rPr>
                <w:rFonts w:eastAsia="Arial-BoldItalicMT"/>
                <w:bCs/>
                <w:iCs/>
              </w:rPr>
              <w:t xml:space="preserve">edactarea normei într-un mod concis şi clar, astfel </w:t>
            </w:r>
            <w:proofErr w:type="spellStart"/>
            <w:r w:rsidRPr="006A7842">
              <w:rPr>
                <w:rFonts w:eastAsia="Arial-BoldItalicMT"/>
                <w:bCs/>
                <w:iCs/>
              </w:rPr>
              <w:t>încît</w:t>
            </w:r>
            <w:proofErr w:type="spellEnd"/>
            <w:r w:rsidRPr="006A7842">
              <w:rPr>
                <w:rFonts w:eastAsia="Arial-BoldItalicMT"/>
                <w:bCs/>
                <w:iCs/>
              </w:rPr>
              <w:t xml:space="preserve"> să fie</w:t>
            </w:r>
            <w:r w:rsidR="006A7842" w:rsidRPr="006A7842">
              <w:rPr>
                <w:rFonts w:eastAsia="ArialMT"/>
              </w:rPr>
              <w:t xml:space="preserve"> </w:t>
            </w:r>
            <w:r w:rsidRPr="006A7842">
              <w:rPr>
                <w:rFonts w:eastAsia="Arial-BoldItalicMT"/>
                <w:bCs/>
                <w:iCs/>
              </w:rPr>
              <w:t xml:space="preserve">înţeleasă uşor de orice subiect interesat (exemplu: Ministerul Sănătăţii va elabora un plan de acţiuni care va conţine condiţiile de plasare a publicităţii şi a informaţiei despre produs, astfel </w:t>
            </w:r>
            <w:proofErr w:type="spellStart"/>
            <w:r w:rsidRPr="006A7842">
              <w:rPr>
                <w:rFonts w:eastAsia="Arial-BoldItalicMT"/>
                <w:bCs/>
                <w:iCs/>
              </w:rPr>
              <w:t>încît</w:t>
            </w:r>
            <w:proofErr w:type="spellEnd"/>
            <w:r w:rsidRPr="006A7842">
              <w:rPr>
                <w:rFonts w:eastAsia="Arial-BoldItalicMT"/>
                <w:bCs/>
                <w:iCs/>
              </w:rPr>
              <w:t xml:space="preserve"> sa fie asigurată veridicitatea informaţiei prezentate populaţiei, precum şi precauţiile înaintea aplicării unor produse cosmetice”).</w:t>
            </w:r>
          </w:p>
          <w:p w:rsidR="006A7842" w:rsidRPr="00444BB9" w:rsidRDefault="00444BB9" w:rsidP="00444BB9">
            <w:pPr>
              <w:autoSpaceDE w:val="0"/>
              <w:autoSpaceDN w:val="0"/>
              <w:adjustRightInd w:val="0"/>
              <w:ind w:firstLine="459"/>
              <w:rPr>
                <w:rFonts w:eastAsia="Arial-BoldItalicMT"/>
                <w:bCs/>
                <w:iCs/>
              </w:rPr>
            </w:pPr>
            <w:r>
              <w:rPr>
                <w:rFonts w:eastAsia="Arial-BoldItalicMT"/>
                <w:bCs/>
                <w:iCs/>
              </w:rPr>
              <w:t xml:space="preserve">La </w:t>
            </w:r>
            <w:r w:rsidRPr="00444BB9">
              <w:rPr>
                <w:rFonts w:eastAsia="Arial-BoldItalicMT"/>
                <w:bCs/>
                <w:iCs/>
              </w:rPr>
              <w:t>p</w:t>
            </w:r>
            <w:r w:rsidR="006A7842" w:rsidRPr="00444BB9">
              <w:rPr>
                <w:rFonts w:eastAsia="Arial-BoldMT"/>
                <w:bCs/>
              </w:rPr>
              <w:t>ct.7 subpct.4)</w:t>
            </w:r>
            <w:r w:rsidRPr="00444BB9">
              <w:rPr>
                <w:rFonts w:eastAsia="Arial-BoldMT"/>
                <w:bCs/>
              </w:rPr>
              <w:t>, a</w:t>
            </w:r>
            <w:r w:rsidR="006A7842" w:rsidRPr="00444BB9">
              <w:rPr>
                <w:rFonts w:eastAsia="ArialMT"/>
              </w:rPr>
              <w:t>utorul</w:t>
            </w:r>
            <w:r w:rsidR="006A7842" w:rsidRPr="00216172">
              <w:rPr>
                <w:rFonts w:eastAsia="ArialMT"/>
              </w:rPr>
              <w:t xml:space="preserve"> nu a enumerat exhaustiv informaţiile şi documentaţia care poate fi solicitată de</w:t>
            </w:r>
            <w:r>
              <w:rPr>
                <w:rFonts w:eastAsia="Arial-BoldItalicMT"/>
                <w:bCs/>
                <w:iCs/>
              </w:rPr>
              <w:t xml:space="preserve"> </w:t>
            </w:r>
            <w:r w:rsidR="006A7842" w:rsidRPr="00216172">
              <w:rPr>
                <w:rFonts w:eastAsia="ArialMT"/>
              </w:rPr>
              <w:t>Centrul Naţional de Sănătate Publică, ceea ce permite autorităţii publice impunerea unor</w:t>
            </w:r>
            <w:r>
              <w:rPr>
                <w:rFonts w:eastAsia="Arial-BoldItalicMT"/>
                <w:bCs/>
                <w:iCs/>
              </w:rPr>
              <w:t xml:space="preserve"> </w:t>
            </w:r>
            <w:r w:rsidR="006A7842" w:rsidRPr="00216172">
              <w:rPr>
                <w:rFonts w:eastAsia="ArialMT"/>
              </w:rPr>
              <w:t>cerinţe suplimentare arbitrare persoanei responsabile</w:t>
            </w:r>
            <w:r>
              <w:rPr>
                <w:rFonts w:eastAsia="Arial-BoldItalicMT"/>
                <w:bCs/>
                <w:iCs/>
              </w:rPr>
              <w:t xml:space="preserve"> </w:t>
            </w:r>
            <w:r w:rsidR="006A7842" w:rsidRPr="00216172">
              <w:rPr>
                <w:rFonts w:eastAsia="ArialMT"/>
              </w:rPr>
              <w:t>(producătorului/importatorului/distribuitorului). Mai mult, atenţionăm asupra neclarităţii</w:t>
            </w:r>
            <w:r>
              <w:rPr>
                <w:rFonts w:eastAsia="Arial-BoldItalicMT"/>
                <w:bCs/>
                <w:iCs/>
              </w:rPr>
              <w:t xml:space="preserve"> </w:t>
            </w:r>
            <w:r w:rsidR="006A7842" w:rsidRPr="00216172">
              <w:rPr>
                <w:rFonts w:eastAsia="ArialMT"/>
              </w:rPr>
              <w:t>sintagmei „documentaţia necesară”, care poate fi interpretată subiectiv de fiecare funcţionar</w:t>
            </w:r>
            <w:r>
              <w:rPr>
                <w:rFonts w:eastAsia="Arial-BoldItalicMT"/>
                <w:bCs/>
                <w:iCs/>
              </w:rPr>
              <w:t xml:space="preserve"> </w:t>
            </w:r>
            <w:r w:rsidR="006A7842" w:rsidRPr="00216172">
              <w:rPr>
                <w:rFonts w:eastAsia="ArialMT"/>
              </w:rPr>
              <w:t>al Centrului în mod diferit.</w:t>
            </w:r>
            <w:r>
              <w:rPr>
                <w:rFonts w:eastAsia="Arial-BoldItalicMT"/>
                <w:bCs/>
                <w:iCs/>
              </w:rPr>
              <w:t xml:space="preserve"> </w:t>
            </w:r>
            <w:r w:rsidRPr="00444BB9">
              <w:rPr>
                <w:rFonts w:eastAsia="Arial-BoldItalicMT"/>
                <w:bCs/>
                <w:iCs/>
              </w:rPr>
              <w:t>Se recomandă e</w:t>
            </w:r>
            <w:r w:rsidR="006A7842" w:rsidRPr="00444BB9">
              <w:rPr>
                <w:rFonts w:eastAsia="Arial-BoldItalicMT"/>
                <w:bCs/>
                <w:iCs/>
              </w:rPr>
              <w:t>xpunerea exhaustivă a documentelor pe care Centrul Naţional de</w:t>
            </w:r>
          </w:p>
          <w:p w:rsidR="006A7842" w:rsidRPr="00444BB9" w:rsidRDefault="006A7842" w:rsidP="006A7842">
            <w:pPr>
              <w:autoSpaceDE w:val="0"/>
              <w:autoSpaceDN w:val="0"/>
              <w:adjustRightInd w:val="0"/>
              <w:rPr>
                <w:rFonts w:eastAsia="Arial-BoldItalicMT"/>
                <w:bCs/>
                <w:iCs/>
              </w:rPr>
            </w:pPr>
            <w:r w:rsidRPr="00444BB9">
              <w:rPr>
                <w:rFonts w:eastAsia="Arial-BoldItalicMT"/>
                <w:bCs/>
                <w:iCs/>
              </w:rPr>
              <w:t>Sănătate Publică le poate solicita spre prezentare persoanei responsabile.</w:t>
            </w:r>
          </w:p>
          <w:p w:rsidR="00444BB9" w:rsidRDefault="006A7842" w:rsidP="006A7842">
            <w:pPr>
              <w:autoSpaceDE w:val="0"/>
              <w:autoSpaceDN w:val="0"/>
              <w:adjustRightInd w:val="0"/>
              <w:rPr>
                <w:rFonts w:eastAsia="Arial-BoldItalicMT"/>
                <w:bCs/>
                <w:iCs/>
              </w:rPr>
            </w:pPr>
            <w:r w:rsidRPr="00444BB9">
              <w:rPr>
                <w:rFonts w:eastAsia="Arial-BoldItalicMT"/>
                <w:bCs/>
                <w:iCs/>
              </w:rPr>
              <w:t>Recomandarea respectivă este valabilă şi pentru pct.11 subpct.6).</w:t>
            </w:r>
          </w:p>
          <w:p w:rsidR="006A7842" w:rsidRPr="00444BB9" w:rsidRDefault="00444BB9" w:rsidP="00444BB9">
            <w:pPr>
              <w:autoSpaceDE w:val="0"/>
              <w:autoSpaceDN w:val="0"/>
              <w:adjustRightInd w:val="0"/>
              <w:ind w:firstLine="459"/>
              <w:rPr>
                <w:rFonts w:eastAsia="Arial-BoldItalicMT"/>
                <w:bCs/>
                <w:iCs/>
              </w:rPr>
            </w:pPr>
            <w:r>
              <w:rPr>
                <w:rFonts w:eastAsia="Arial-BoldItalicMT"/>
                <w:bCs/>
                <w:iCs/>
              </w:rPr>
              <w:t xml:space="preserve">La </w:t>
            </w:r>
            <w:r w:rsidRPr="00444BB9">
              <w:rPr>
                <w:rFonts w:eastAsia="Arial-BoldItalicMT"/>
                <w:bCs/>
                <w:iCs/>
              </w:rPr>
              <w:t>p</w:t>
            </w:r>
            <w:r w:rsidR="006A7842" w:rsidRPr="00444BB9">
              <w:rPr>
                <w:rFonts w:eastAsia="Arial-BoldMT"/>
                <w:bCs/>
              </w:rPr>
              <w:t>ct.34 din proiectul regulamentului: „În cazul în care informaţiile menţ</w:t>
            </w:r>
            <w:r w:rsidRPr="00444BB9">
              <w:rPr>
                <w:rFonts w:eastAsia="Arial-BoldMT"/>
                <w:bCs/>
              </w:rPr>
              <w:t xml:space="preserve">ionate se </w:t>
            </w:r>
            <w:r w:rsidR="006A7842" w:rsidRPr="00444BB9">
              <w:rPr>
                <w:rFonts w:eastAsia="Arial-BoldMT"/>
                <w:bCs/>
              </w:rPr>
              <w:t xml:space="preserve">modifică, persoana responsabilă sau distribuitorul furnizează fără </w:t>
            </w:r>
            <w:proofErr w:type="spellStart"/>
            <w:r w:rsidR="006A7842" w:rsidRPr="00444BB9">
              <w:rPr>
                <w:rFonts w:eastAsia="Arial-BoldMT"/>
                <w:bCs/>
              </w:rPr>
              <w:t>întîrziere</w:t>
            </w:r>
            <w:proofErr w:type="spellEnd"/>
            <w:r w:rsidR="006A7842" w:rsidRPr="00444BB9">
              <w:rPr>
                <w:rFonts w:eastAsia="Arial-BoldMT"/>
                <w:bCs/>
              </w:rPr>
              <w:t xml:space="preserve"> o</w:t>
            </w:r>
            <w:r w:rsidRPr="00444BB9">
              <w:rPr>
                <w:rFonts w:eastAsia="Arial-BoldMT"/>
                <w:bCs/>
              </w:rPr>
              <w:t xml:space="preserve"> </w:t>
            </w:r>
            <w:r w:rsidR="006A7842" w:rsidRPr="00444BB9">
              <w:rPr>
                <w:rFonts w:eastAsia="Arial-BoldMT"/>
                <w:bCs/>
              </w:rPr>
              <w:t>actualizare”.</w:t>
            </w:r>
            <w:r>
              <w:rPr>
                <w:rFonts w:eastAsia="Arial-BoldItalicMT"/>
                <w:bCs/>
                <w:iCs/>
              </w:rPr>
              <w:t xml:space="preserve"> </w:t>
            </w:r>
            <w:r w:rsidR="006A7842" w:rsidRPr="00444BB9">
              <w:rPr>
                <w:rFonts w:eastAsia="ArialMT"/>
              </w:rPr>
              <w:t>Pentru asigurarea transparenţei informaţiei despre produsul cosmetic sugerăm substituirea</w:t>
            </w:r>
            <w:r w:rsidRPr="00444BB9">
              <w:rPr>
                <w:rFonts w:eastAsia="ArialMT"/>
              </w:rPr>
              <w:t xml:space="preserve"> </w:t>
            </w:r>
            <w:r w:rsidR="006A7842" w:rsidRPr="00444BB9">
              <w:rPr>
                <w:rFonts w:eastAsia="ArialMT"/>
                <w:color w:val="000000"/>
              </w:rPr>
              <w:t xml:space="preserve">sintagmei „fără </w:t>
            </w:r>
            <w:proofErr w:type="spellStart"/>
            <w:r w:rsidR="006A7842" w:rsidRPr="00444BB9">
              <w:rPr>
                <w:rFonts w:eastAsia="ArialMT"/>
                <w:color w:val="000000"/>
              </w:rPr>
              <w:t>întîrziere</w:t>
            </w:r>
            <w:proofErr w:type="spellEnd"/>
            <w:r w:rsidR="006A7842" w:rsidRPr="00444BB9">
              <w:rPr>
                <w:rFonts w:eastAsia="ArialMT"/>
                <w:color w:val="000000"/>
              </w:rPr>
              <w:t>”, care poate fi interpretată diferit de fiecare persoană responsabilă şi</w:t>
            </w:r>
            <w:r w:rsidRPr="00444BB9">
              <w:rPr>
                <w:rFonts w:eastAsia="ArialMT"/>
              </w:rPr>
              <w:t xml:space="preserve"> </w:t>
            </w:r>
            <w:r w:rsidR="006A7842" w:rsidRPr="00444BB9">
              <w:rPr>
                <w:rFonts w:eastAsia="ArialMT"/>
                <w:color w:val="000000"/>
              </w:rPr>
              <w:t>distribuitor în parte. În consecinţă, numele şi adresa persoanei responsabile poate fi</w:t>
            </w:r>
            <w:r w:rsidRPr="00444BB9">
              <w:rPr>
                <w:rFonts w:eastAsia="ArialMT"/>
              </w:rPr>
              <w:t xml:space="preserve"> </w:t>
            </w:r>
            <w:r w:rsidR="006A7842" w:rsidRPr="00444BB9">
              <w:rPr>
                <w:rFonts w:eastAsia="ArialMT"/>
                <w:color w:val="000000"/>
              </w:rPr>
              <w:t>modificată, iar Centrul Naţional de Sănătate Publică să nu fie notificat imediat despre</w:t>
            </w:r>
            <w:r w:rsidRPr="00444BB9">
              <w:rPr>
                <w:rFonts w:eastAsia="ArialMT"/>
              </w:rPr>
              <w:t xml:space="preserve"> </w:t>
            </w:r>
            <w:r w:rsidR="006A7842" w:rsidRPr="00444BB9">
              <w:rPr>
                <w:rFonts w:eastAsia="ArialMT"/>
                <w:color w:val="000000"/>
              </w:rPr>
              <w:t>aceasta, ceea ce va afecta procesul de supraveghere/analiză a pieţii.</w:t>
            </w:r>
            <w:r>
              <w:rPr>
                <w:rFonts w:eastAsia="ArialMT"/>
              </w:rPr>
              <w:t xml:space="preserve"> Se </w:t>
            </w:r>
            <w:r w:rsidRPr="00444BB9">
              <w:rPr>
                <w:rFonts w:eastAsia="ArialMT"/>
              </w:rPr>
              <w:t>recomandă s</w:t>
            </w:r>
            <w:r w:rsidR="006A7842" w:rsidRPr="00444BB9">
              <w:rPr>
                <w:rFonts w:eastAsia="Arial-BoldItalicMT"/>
                <w:bCs/>
                <w:iCs/>
                <w:color w:val="000000"/>
              </w:rPr>
              <w:t xml:space="preserve">ubstituirea sintagmei „fără </w:t>
            </w:r>
            <w:proofErr w:type="spellStart"/>
            <w:r w:rsidR="006A7842" w:rsidRPr="00444BB9">
              <w:rPr>
                <w:rFonts w:eastAsia="Arial-BoldItalicMT"/>
                <w:bCs/>
                <w:iCs/>
                <w:color w:val="000000"/>
              </w:rPr>
              <w:t>întîrziere</w:t>
            </w:r>
            <w:proofErr w:type="spellEnd"/>
            <w:r w:rsidR="006A7842" w:rsidRPr="00444BB9">
              <w:rPr>
                <w:rFonts w:eastAsia="Arial-BoldItalicMT"/>
                <w:bCs/>
                <w:iCs/>
                <w:color w:val="000000"/>
              </w:rPr>
              <w:t>” cu stipularea unui termen</w:t>
            </w:r>
            <w:r>
              <w:rPr>
                <w:rFonts w:eastAsia="ArialMT"/>
              </w:rPr>
              <w:t xml:space="preserve"> </w:t>
            </w:r>
            <w:r w:rsidR="006A7842" w:rsidRPr="00444BB9">
              <w:rPr>
                <w:rFonts w:eastAsia="Arial-BoldItalicMT"/>
                <w:bCs/>
                <w:iCs/>
                <w:color w:val="000000"/>
              </w:rPr>
              <w:t xml:space="preserve">(exemplu: în termen de x zile/ore) sau cu </w:t>
            </w:r>
            <w:proofErr w:type="spellStart"/>
            <w:r w:rsidR="006A7842" w:rsidRPr="00444BB9">
              <w:rPr>
                <w:rFonts w:eastAsia="Arial-BoldItalicMT"/>
                <w:bCs/>
                <w:iCs/>
                <w:color w:val="000000"/>
              </w:rPr>
              <w:t>cuvîntul</w:t>
            </w:r>
            <w:proofErr w:type="spellEnd"/>
            <w:r w:rsidR="006A7842" w:rsidRPr="00444BB9">
              <w:rPr>
                <w:rFonts w:eastAsia="Arial-BoldItalicMT"/>
                <w:bCs/>
                <w:iCs/>
                <w:color w:val="000000"/>
              </w:rPr>
              <w:t xml:space="preserve"> „imediat”.</w:t>
            </w:r>
          </w:p>
          <w:p w:rsidR="006A7842" w:rsidRPr="00216172" w:rsidRDefault="006A7842" w:rsidP="006A7842">
            <w:pPr>
              <w:autoSpaceDE w:val="0"/>
              <w:autoSpaceDN w:val="0"/>
              <w:adjustRightInd w:val="0"/>
              <w:rPr>
                <w:rFonts w:eastAsia="Arial-BoldMT"/>
                <w:b/>
                <w:bCs/>
                <w:color w:val="000000"/>
              </w:rPr>
            </w:pPr>
            <w:r w:rsidRPr="00216172">
              <w:rPr>
                <w:rFonts w:eastAsia="Arial-BoldMT"/>
                <w:b/>
                <w:bCs/>
                <w:color w:val="000000"/>
              </w:rPr>
              <w:t>Cu titlu de obiecţie generală asupra proiectului –</w:t>
            </w:r>
          </w:p>
          <w:p w:rsidR="006A7842" w:rsidRPr="00216172" w:rsidRDefault="006A7842" w:rsidP="006A7842">
            <w:pPr>
              <w:autoSpaceDE w:val="0"/>
              <w:autoSpaceDN w:val="0"/>
              <w:adjustRightInd w:val="0"/>
              <w:rPr>
                <w:rFonts w:eastAsia="ArialMT"/>
                <w:color w:val="000000"/>
              </w:rPr>
            </w:pPr>
            <w:proofErr w:type="spellStart"/>
            <w:r w:rsidRPr="00216172">
              <w:rPr>
                <w:rFonts w:eastAsia="ArialMT"/>
                <w:color w:val="000000"/>
              </w:rPr>
              <w:t>Luînd</w:t>
            </w:r>
            <w:proofErr w:type="spellEnd"/>
            <w:r w:rsidRPr="00216172">
              <w:rPr>
                <w:rFonts w:eastAsia="ArialMT"/>
                <w:color w:val="000000"/>
              </w:rPr>
              <w:t xml:space="preserve"> în considerare faptul că proiectul promovat înglobează o serie de cerinţe faţă de</w:t>
            </w:r>
            <w:r w:rsidR="00444BB9">
              <w:rPr>
                <w:rFonts w:eastAsia="ArialMT"/>
                <w:color w:val="000000"/>
              </w:rPr>
              <w:t xml:space="preserve"> </w:t>
            </w:r>
            <w:r w:rsidRPr="00216172">
              <w:rPr>
                <w:rFonts w:eastAsia="ArialMT"/>
                <w:color w:val="000000"/>
              </w:rPr>
              <w:t>agenţii economici (producători, importatori, distribuitori), nerespectarea cărora se poate solda</w:t>
            </w:r>
            <w:r w:rsidR="00444BB9">
              <w:rPr>
                <w:rFonts w:eastAsia="ArialMT"/>
                <w:color w:val="000000"/>
              </w:rPr>
              <w:t xml:space="preserve"> </w:t>
            </w:r>
            <w:r w:rsidRPr="00216172">
              <w:rPr>
                <w:rFonts w:eastAsia="ArialMT"/>
                <w:color w:val="000000"/>
              </w:rPr>
              <w:t>cu prejudicierea sănătăţii sau a integrităţii fizice consumatorului, considerăm necesară</w:t>
            </w:r>
            <w:r w:rsidR="00444BB9">
              <w:rPr>
                <w:rFonts w:eastAsia="ArialMT"/>
                <w:color w:val="000000"/>
              </w:rPr>
              <w:t xml:space="preserve"> </w:t>
            </w:r>
            <w:r w:rsidRPr="00216172">
              <w:rPr>
                <w:rFonts w:eastAsia="ArialMT"/>
                <w:color w:val="000000"/>
              </w:rPr>
              <w:t xml:space="preserve">stabilirea unei răspunderi pentru subiecţii proiectului pentru a </w:t>
            </w:r>
            <w:r w:rsidRPr="00216172">
              <w:rPr>
                <w:rFonts w:eastAsia="ArialMT"/>
                <w:color w:val="000000"/>
              </w:rPr>
              <w:lastRenderedPageBreak/>
              <w:t>asigura implementare normelor</w:t>
            </w:r>
            <w:r w:rsidR="00444BB9">
              <w:rPr>
                <w:rFonts w:eastAsia="ArialMT"/>
                <w:color w:val="000000"/>
              </w:rPr>
              <w:t xml:space="preserve"> </w:t>
            </w:r>
            <w:r w:rsidRPr="00216172">
              <w:rPr>
                <w:rFonts w:eastAsia="ArialMT"/>
                <w:color w:val="000000"/>
              </w:rPr>
              <w:t>prevăzute în proiect.</w:t>
            </w:r>
          </w:p>
          <w:p w:rsidR="006A7842" w:rsidRPr="00444BB9" w:rsidRDefault="006A7842" w:rsidP="00444BB9">
            <w:pPr>
              <w:autoSpaceDE w:val="0"/>
              <w:autoSpaceDN w:val="0"/>
              <w:adjustRightInd w:val="0"/>
              <w:rPr>
                <w:rFonts w:eastAsia="ArialMT"/>
                <w:color w:val="000000"/>
              </w:rPr>
            </w:pPr>
            <w:r w:rsidRPr="00216172">
              <w:rPr>
                <w:rFonts w:eastAsia="ArialMT"/>
                <w:color w:val="000000"/>
              </w:rPr>
              <w:t>Sugerăm autorului completarea proiectului cu o normă de blanchetă</w:t>
            </w:r>
            <w:r w:rsidR="00444BB9">
              <w:rPr>
                <w:rFonts w:eastAsia="ArialMT"/>
                <w:color w:val="000000"/>
              </w:rPr>
              <w:t xml:space="preserve"> la art.84 al Codului </w:t>
            </w:r>
            <w:r w:rsidRPr="00216172">
              <w:rPr>
                <w:rFonts w:eastAsia="ArialMT"/>
                <w:color w:val="000000"/>
              </w:rPr>
              <w:t>contravenţional, care prevede: „ Producerea, plasarea pe piaţă şi/sau comercializarea de</w:t>
            </w:r>
            <w:r w:rsidR="00444BB9">
              <w:rPr>
                <w:rFonts w:eastAsia="ArialMT"/>
                <w:color w:val="000000"/>
              </w:rPr>
              <w:t xml:space="preserve"> </w:t>
            </w:r>
            <w:r w:rsidRPr="00216172">
              <w:rPr>
                <w:rFonts w:eastAsia="ArialMT"/>
                <w:color w:val="000000"/>
              </w:rPr>
              <w:t>produse şi prestarea de servicii periculoase pentru viaţa şi sănătatea consumatorului, contrar</w:t>
            </w:r>
            <w:r w:rsidR="00444BB9">
              <w:rPr>
                <w:rFonts w:eastAsia="ArialMT"/>
                <w:color w:val="000000"/>
              </w:rPr>
              <w:t xml:space="preserve"> </w:t>
            </w:r>
            <w:r w:rsidRPr="00216172">
              <w:rPr>
                <w:rFonts w:eastAsia="ArialMT"/>
                <w:color w:val="000000"/>
              </w:rPr>
              <w:t>prevederilor legale, se sancţionează cu amendă de la 100 la 150 de unităţi convenţionale</w:t>
            </w:r>
            <w:r w:rsidR="00444BB9">
              <w:rPr>
                <w:rFonts w:eastAsia="ArialMT"/>
                <w:color w:val="000000"/>
              </w:rPr>
              <w:t xml:space="preserve"> </w:t>
            </w:r>
            <w:r w:rsidRPr="00216172">
              <w:rPr>
                <w:rFonts w:eastAsia="ArialMT"/>
                <w:color w:val="000000"/>
              </w:rPr>
              <w:t>aplicată persoanei fizice, cu amendă de la 300 la 400 de unităţi convenţionale aplicată</w:t>
            </w:r>
            <w:r w:rsidR="00444BB9">
              <w:rPr>
                <w:rFonts w:eastAsia="ArialMT"/>
                <w:color w:val="000000"/>
              </w:rPr>
              <w:t xml:space="preserve"> </w:t>
            </w:r>
            <w:r w:rsidRPr="00216172">
              <w:rPr>
                <w:rFonts w:eastAsia="ArialMT"/>
                <w:color w:val="000000"/>
              </w:rPr>
              <w:t>persoanei cu funcţie de răspundere, cu amendă de la 350 la 500 de unităţi convenţionale</w:t>
            </w:r>
            <w:r w:rsidR="00444BB9">
              <w:rPr>
                <w:rFonts w:eastAsia="ArialMT"/>
                <w:color w:val="000000"/>
              </w:rPr>
              <w:t xml:space="preserve"> </w:t>
            </w:r>
            <w:r w:rsidRPr="00216172">
              <w:rPr>
                <w:rFonts w:eastAsia="ArialMT"/>
                <w:color w:val="000000"/>
              </w:rPr>
              <w:t>aplicată persoanei juridice cu privarea, în toate cazurile, de dreptul de a desfăşura o anumită</w:t>
            </w:r>
            <w:r w:rsidR="00444BB9">
              <w:rPr>
                <w:rFonts w:eastAsia="ArialMT"/>
                <w:color w:val="000000"/>
              </w:rPr>
              <w:t xml:space="preserve"> </w:t>
            </w:r>
            <w:r w:rsidRPr="00216172">
              <w:rPr>
                <w:rFonts w:eastAsia="ArialMT"/>
                <w:color w:val="000000"/>
              </w:rPr>
              <w:t>activitate pe un termen de la 3 luni la un an.”</w:t>
            </w:r>
            <w:r w:rsidR="00444BB9">
              <w:rPr>
                <w:rFonts w:eastAsia="ArialMT"/>
                <w:color w:val="000000"/>
              </w:rPr>
              <w:t xml:space="preserve"> Se recomandă </w:t>
            </w:r>
            <w:r w:rsidR="00444BB9" w:rsidRPr="00444BB9">
              <w:rPr>
                <w:rFonts w:eastAsia="ArialMT"/>
                <w:color w:val="000000"/>
              </w:rPr>
              <w:t>c</w:t>
            </w:r>
            <w:r w:rsidRPr="00444BB9">
              <w:rPr>
                <w:rFonts w:eastAsia="Arial-BoldItalicMT"/>
                <w:bCs/>
                <w:iCs/>
              </w:rPr>
              <w:t>ompletarea proiectului cu o normă de blanchetă cu referire la</w:t>
            </w:r>
            <w:r w:rsidR="00444BB9" w:rsidRPr="00444BB9">
              <w:rPr>
                <w:rFonts w:eastAsia="ArialMT"/>
                <w:color w:val="000000"/>
              </w:rPr>
              <w:t xml:space="preserve"> </w:t>
            </w:r>
            <w:r w:rsidRPr="00444BB9">
              <w:rPr>
                <w:rFonts w:eastAsia="Arial-BoldItalicMT"/>
                <w:bCs/>
                <w:iCs/>
              </w:rPr>
              <w:t>răspunderea ce survine în cazul nerespectării proiectului.</w:t>
            </w:r>
          </w:p>
        </w:tc>
        <w:tc>
          <w:tcPr>
            <w:tcW w:w="3261" w:type="dxa"/>
            <w:tcBorders>
              <w:top w:val="single" w:sz="4" w:space="0" w:color="auto"/>
              <w:left w:val="single" w:sz="4" w:space="0" w:color="auto"/>
              <w:bottom w:val="single" w:sz="4" w:space="0" w:color="auto"/>
              <w:right w:val="single" w:sz="4" w:space="0" w:color="auto"/>
            </w:tcBorders>
          </w:tcPr>
          <w:p w:rsidR="005965D1" w:rsidRDefault="00260493" w:rsidP="005965D1">
            <w:r>
              <w:lastRenderedPageBreak/>
              <w:t>Se acceptă</w:t>
            </w:r>
          </w:p>
          <w:p w:rsidR="00B70822" w:rsidRDefault="00B70822" w:rsidP="005965D1"/>
          <w:p w:rsidR="00B70822" w:rsidRDefault="00B70822" w:rsidP="005965D1"/>
          <w:p w:rsidR="00B70822" w:rsidRDefault="00B70822" w:rsidP="005965D1"/>
          <w:p w:rsidR="00B70822" w:rsidRDefault="00B70822" w:rsidP="005965D1">
            <w:r>
              <w:t>Se acceptă</w:t>
            </w:r>
          </w:p>
          <w:p w:rsidR="00B70822" w:rsidRDefault="00B70822" w:rsidP="005965D1"/>
          <w:p w:rsidR="00B70822" w:rsidRDefault="00B70822" w:rsidP="005965D1"/>
          <w:p w:rsidR="00B70822" w:rsidRDefault="00B70822" w:rsidP="005965D1"/>
          <w:p w:rsidR="00B70822" w:rsidRDefault="00B70822" w:rsidP="005965D1"/>
          <w:p w:rsidR="00B70822" w:rsidRDefault="00B70822" w:rsidP="005965D1"/>
          <w:p w:rsidR="00B70822" w:rsidRDefault="00B70822" w:rsidP="005965D1"/>
          <w:p w:rsidR="00B70822" w:rsidRDefault="00B70822" w:rsidP="005965D1"/>
          <w:p w:rsidR="00B70822" w:rsidRDefault="00B70822" w:rsidP="005965D1">
            <w:r>
              <w:t>Se acceptă</w:t>
            </w:r>
          </w:p>
          <w:p w:rsidR="00B70822" w:rsidRDefault="00B70822" w:rsidP="005965D1"/>
          <w:p w:rsidR="00B70822" w:rsidRDefault="00B70822" w:rsidP="005965D1"/>
          <w:p w:rsidR="00B70822" w:rsidRDefault="00B70822" w:rsidP="005965D1">
            <w:r>
              <w:t>Se acceptă</w:t>
            </w:r>
          </w:p>
          <w:p w:rsidR="006A7842" w:rsidRDefault="006A7842" w:rsidP="005965D1"/>
          <w:p w:rsidR="006A7842" w:rsidRDefault="006A7842" w:rsidP="005965D1"/>
          <w:p w:rsidR="006A7842" w:rsidRDefault="006A7842" w:rsidP="005965D1"/>
          <w:p w:rsidR="006A7842" w:rsidRDefault="006A7842" w:rsidP="005965D1">
            <w:r>
              <w:t>Se acceptă</w:t>
            </w:r>
          </w:p>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743B1B" w:rsidRDefault="00743B1B" w:rsidP="00743B1B">
            <w:pPr>
              <w:pStyle w:val="ad"/>
              <w:ind w:firstLine="426"/>
              <w:jc w:val="both"/>
              <w:rPr>
                <w:lang w:val="en-US"/>
              </w:rPr>
            </w:pPr>
            <w:r w:rsidRPr="00743B1B">
              <w:rPr>
                <w:lang w:val="en-US"/>
              </w:rPr>
              <w:t xml:space="preserve">Se </w:t>
            </w:r>
            <w:proofErr w:type="spellStart"/>
            <w:r w:rsidRPr="00743B1B">
              <w:rPr>
                <w:lang w:val="en-US"/>
              </w:rPr>
              <w:t>acceptă</w:t>
            </w:r>
            <w:proofErr w:type="spellEnd"/>
          </w:p>
          <w:p w:rsidR="00A45AD2" w:rsidRDefault="00743B1B" w:rsidP="00A45AD2">
            <w:pPr>
              <w:pStyle w:val="ad"/>
              <w:ind w:firstLine="426"/>
              <w:jc w:val="both"/>
              <w:rPr>
                <w:lang w:val="en-US"/>
              </w:rPr>
            </w:pPr>
            <w:r w:rsidRPr="00A45AD2">
              <w:rPr>
                <w:lang w:val="en-US"/>
              </w:rPr>
              <w:t xml:space="preserve">A </w:t>
            </w:r>
            <w:proofErr w:type="spellStart"/>
            <w:r w:rsidRPr="00A45AD2">
              <w:rPr>
                <w:lang w:val="en-US"/>
              </w:rPr>
              <w:t>fost</w:t>
            </w:r>
            <w:proofErr w:type="spellEnd"/>
            <w:r w:rsidRPr="00A45AD2">
              <w:rPr>
                <w:lang w:val="en-US"/>
              </w:rPr>
              <w:t xml:space="preserve"> </w:t>
            </w:r>
            <w:proofErr w:type="spellStart"/>
            <w:r w:rsidRPr="00A45AD2">
              <w:rPr>
                <w:lang w:val="en-US"/>
              </w:rPr>
              <w:t>modificat</w:t>
            </w:r>
            <w:proofErr w:type="spellEnd"/>
            <w:r w:rsidRPr="00A45AD2">
              <w:rPr>
                <w:lang w:val="en-US"/>
              </w:rPr>
              <w:t xml:space="preserve"> </w:t>
            </w:r>
          </w:p>
          <w:p w:rsidR="00A45AD2" w:rsidRPr="00A45AD2" w:rsidRDefault="00A45AD2" w:rsidP="00A45AD2">
            <w:pPr>
              <w:pStyle w:val="ad"/>
              <w:ind w:firstLine="426"/>
              <w:rPr>
                <w:lang w:val="ro-RO"/>
              </w:rPr>
            </w:pPr>
            <w:r>
              <w:rPr>
                <w:lang w:val="en-US"/>
              </w:rPr>
              <w:t xml:space="preserve">Pct 5, </w:t>
            </w:r>
            <w:proofErr w:type="spellStart"/>
            <w:r>
              <w:rPr>
                <w:lang w:val="en-US"/>
              </w:rPr>
              <w:t>alin</w:t>
            </w:r>
            <w:proofErr w:type="spellEnd"/>
            <w:r>
              <w:rPr>
                <w:lang w:val="en-US"/>
              </w:rPr>
              <w:t>.</w:t>
            </w:r>
            <w:r w:rsidR="00743B1B" w:rsidRPr="00A45AD2">
              <w:rPr>
                <w:lang w:val="en-US"/>
              </w:rPr>
              <w:t xml:space="preserve"> </w:t>
            </w:r>
            <w:r w:rsidRPr="00A45AD2">
              <w:rPr>
                <w:lang w:val="ro-RO"/>
              </w:rPr>
              <w:t>4)</w:t>
            </w:r>
            <w:r w:rsidRPr="00A45AD2">
              <w:rPr>
                <w:lang w:val="ro-RO"/>
              </w:rPr>
              <w:tab/>
              <w:t>prezen</w:t>
            </w:r>
            <w:r w:rsidR="00C86B7B">
              <w:rPr>
                <w:lang w:val="ro-RO"/>
              </w:rPr>
              <w:t>ţ</w:t>
            </w:r>
            <w:r w:rsidRPr="00A45AD2">
              <w:rPr>
                <w:lang w:val="ro-RO"/>
              </w:rPr>
              <w:t>a certificatelor de compozi</w:t>
            </w:r>
            <w:r w:rsidR="00C86B7B">
              <w:rPr>
                <w:lang w:val="ro-RO"/>
              </w:rPr>
              <w:t>ţ</w:t>
            </w:r>
            <w:r w:rsidRPr="00A45AD2">
              <w:rPr>
                <w:lang w:val="ro-RO"/>
              </w:rPr>
              <w:t>ie, procese verbale de încercări de laborator, furnizate de persoana responsabilă definită la punctul 7 al prezentului Regulament.</w:t>
            </w:r>
          </w:p>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444BB9">
            <w:r>
              <w:t>Se acceptă</w:t>
            </w:r>
          </w:p>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5965D1"/>
          <w:p w:rsidR="00444BB9" w:rsidRDefault="00444BB9" w:rsidP="00444BB9">
            <w:r>
              <w:t>Se acceptă</w:t>
            </w:r>
          </w:p>
          <w:p w:rsidR="00444BB9" w:rsidRDefault="00444BB9" w:rsidP="005965D1"/>
        </w:tc>
      </w:tr>
    </w:tbl>
    <w:p w:rsidR="000152C8" w:rsidRPr="00545238" w:rsidRDefault="000152C8" w:rsidP="002E7933">
      <w:bookmarkStart w:id="0" w:name="_GoBack"/>
      <w:bookmarkEnd w:id="0"/>
    </w:p>
    <w:sectPr w:rsidR="000152C8" w:rsidRPr="00545238" w:rsidSect="00966B7E">
      <w:footerReference w:type="even" r:id="rId8"/>
      <w:footerReference w:type="default" r:id="rId9"/>
      <w:pgSz w:w="15840" w:h="12240" w:orient="landscape" w:code="1"/>
      <w:pgMar w:top="357" w:right="357" w:bottom="28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08A" w:rsidRDefault="0018408A">
      <w:r>
        <w:separator/>
      </w:r>
    </w:p>
  </w:endnote>
  <w:endnote w:type="continuationSeparator" w:id="0">
    <w:p w:rsidR="0018408A" w:rsidRDefault="00184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Arial-Bold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78" w:rsidRDefault="00BE271D" w:rsidP="00711F6C">
    <w:pPr>
      <w:pStyle w:val="a8"/>
      <w:framePr w:wrap="around" w:vAnchor="text" w:hAnchor="margin" w:xAlign="right" w:y="1"/>
      <w:rPr>
        <w:rStyle w:val="a9"/>
      </w:rPr>
    </w:pPr>
    <w:r>
      <w:rPr>
        <w:rStyle w:val="a9"/>
      </w:rPr>
      <w:fldChar w:fldCharType="begin"/>
    </w:r>
    <w:r w:rsidR="002C4E78">
      <w:rPr>
        <w:rStyle w:val="a9"/>
      </w:rPr>
      <w:instrText xml:space="preserve">PAGE  </w:instrText>
    </w:r>
    <w:r>
      <w:rPr>
        <w:rStyle w:val="a9"/>
      </w:rPr>
      <w:fldChar w:fldCharType="end"/>
    </w:r>
  </w:p>
  <w:p w:rsidR="002C4E78" w:rsidRDefault="002C4E78" w:rsidP="00A92D8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E78" w:rsidRDefault="00BE271D" w:rsidP="00711F6C">
    <w:pPr>
      <w:pStyle w:val="a8"/>
      <w:framePr w:wrap="around" w:vAnchor="text" w:hAnchor="margin" w:xAlign="right" w:y="1"/>
      <w:rPr>
        <w:rStyle w:val="a9"/>
      </w:rPr>
    </w:pPr>
    <w:r>
      <w:rPr>
        <w:rStyle w:val="a9"/>
      </w:rPr>
      <w:fldChar w:fldCharType="begin"/>
    </w:r>
    <w:r w:rsidR="002C4E78">
      <w:rPr>
        <w:rStyle w:val="a9"/>
      </w:rPr>
      <w:instrText xml:space="preserve">PAGE  </w:instrText>
    </w:r>
    <w:r>
      <w:rPr>
        <w:rStyle w:val="a9"/>
      </w:rPr>
      <w:fldChar w:fldCharType="separate"/>
    </w:r>
    <w:r w:rsidR="00C86B7B">
      <w:rPr>
        <w:rStyle w:val="a9"/>
        <w:noProof/>
      </w:rPr>
      <w:t>15</w:t>
    </w:r>
    <w:r>
      <w:rPr>
        <w:rStyle w:val="a9"/>
      </w:rPr>
      <w:fldChar w:fldCharType="end"/>
    </w:r>
  </w:p>
  <w:p w:rsidR="002C4E78" w:rsidRDefault="002C4E78" w:rsidP="00A92D8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08A" w:rsidRDefault="0018408A">
      <w:r>
        <w:separator/>
      </w:r>
    </w:p>
  </w:footnote>
  <w:footnote w:type="continuationSeparator" w:id="0">
    <w:p w:rsidR="0018408A" w:rsidRDefault="001840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BC0212"/>
    <w:lvl w:ilvl="0">
      <w:numFmt w:val="bullet"/>
      <w:lvlText w:val="*"/>
      <w:lvlJc w:val="left"/>
    </w:lvl>
  </w:abstractNum>
  <w:abstractNum w:abstractNumId="1">
    <w:nsid w:val="05A06AA0"/>
    <w:multiLevelType w:val="hybridMultilevel"/>
    <w:tmpl w:val="AE3CA95E"/>
    <w:lvl w:ilvl="0" w:tplc="E7820782">
      <w:numFmt w:val="bullet"/>
      <w:lvlText w:val="-"/>
      <w:lvlJc w:val="left"/>
      <w:pPr>
        <w:ind w:left="720" w:hanging="360"/>
      </w:pPr>
      <w:rPr>
        <w:rFonts w:ascii="Times New Roman" w:eastAsia="Times New Roman" w:hAnsi="Times New Roman" w:cs="Times New Roman" w:hint="default"/>
        <w:b w:val="0"/>
        <w:i/>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1729A0"/>
    <w:multiLevelType w:val="hybridMultilevel"/>
    <w:tmpl w:val="B7BEAC16"/>
    <w:lvl w:ilvl="0" w:tplc="9D0EC4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FD2C2E"/>
    <w:multiLevelType w:val="hybridMultilevel"/>
    <w:tmpl w:val="EF563C8A"/>
    <w:lvl w:ilvl="0" w:tplc="CE84384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D55830"/>
    <w:multiLevelType w:val="hybridMultilevel"/>
    <w:tmpl w:val="C0DEC032"/>
    <w:lvl w:ilvl="0" w:tplc="967C9A70">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127AB6"/>
    <w:multiLevelType w:val="hybridMultilevel"/>
    <w:tmpl w:val="B136D33A"/>
    <w:lvl w:ilvl="0" w:tplc="6EF878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5107F6"/>
    <w:multiLevelType w:val="hybridMultilevel"/>
    <w:tmpl w:val="BF4C7A82"/>
    <w:lvl w:ilvl="0" w:tplc="9872C31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2C5894"/>
    <w:multiLevelType w:val="hybridMultilevel"/>
    <w:tmpl w:val="32DC75D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B14E8F"/>
    <w:multiLevelType w:val="hybridMultilevel"/>
    <w:tmpl w:val="45E263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815357"/>
    <w:multiLevelType w:val="hybridMultilevel"/>
    <w:tmpl w:val="13341E4A"/>
    <w:lvl w:ilvl="0" w:tplc="F7A4F3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B814AE"/>
    <w:multiLevelType w:val="hybridMultilevel"/>
    <w:tmpl w:val="A27050D6"/>
    <w:lvl w:ilvl="0" w:tplc="00980A70">
      <w:start w:val="1"/>
      <w:numFmt w:val="decimal"/>
      <w:lvlText w:val="%1."/>
      <w:lvlJc w:val="left"/>
      <w:pPr>
        <w:tabs>
          <w:tab w:val="num" w:pos="780"/>
        </w:tabs>
        <w:ind w:left="780" w:hanging="360"/>
      </w:pPr>
      <w:rPr>
        <w:b/>
      </w:rPr>
    </w:lvl>
    <w:lvl w:ilvl="1" w:tplc="967C9A70">
      <w:start w:val="19"/>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0A5940"/>
    <w:multiLevelType w:val="hybridMultilevel"/>
    <w:tmpl w:val="F0A825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AB0254"/>
    <w:multiLevelType w:val="hybridMultilevel"/>
    <w:tmpl w:val="7BD62ED4"/>
    <w:lvl w:ilvl="0" w:tplc="E5CE9D7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69603A"/>
    <w:multiLevelType w:val="hybridMultilevel"/>
    <w:tmpl w:val="9FCE0E06"/>
    <w:lvl w:ilvl="0" w:tplc="60C4A4F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CF52DE"/>
    <w:multiLevelType w:val="hybridMultilevel"/>
    <w:tmpl w:val="3648BC8E"/>
    <w:lvl w:ilvl="0" w:tplc="489A9840">
      <w:start w:val="1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5C051A"/>
    <w:multiLevelType w:val="hybridMultilevel"/>
    <w:tmpl w:val="B5701E22"/>
    <w:lvl w:ilvl="0" w:tplc="75743D8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0A6519"/>
    <w:multiLevelType w:val="hybridMultilevel"/>
    <w:tmpl w:val="DE82BFCC"/>
    <w:lvl w:ilvl="0" w:tplc="0B921BE0">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661A09"/>
    <w:multiLevelType w:val="hybridMultilevel"/>
    <w:tmpl w:val="16983FBC"/>
    <w:lvl w:ilvl="0" w:tplc="5EC050F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3624115"/>
    <w:multiLevelType w:val="hybridMultilevel"/>
    <w:tmpl w:val="71BCA25A"/>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888441C"/>
    <w:multiLevelType w:val="hybridMultilevel"/>
    <w:tmpl w:val="CA9AF09C"/>
    <w:lvl w:ilvl="0" w:tplc="07A6E99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4AEA310E"/>
    <w:multiLevelType w:val="hybridMultilevel"/>
    <w:tmpl w:val="4B14D5BA"/>
    <w:lvl w:ilvl="0" w:tplc="AD262366">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1">
    <w:nsid w:val="4F40001C"/>
    <w:multiLevelType w:val="hybridMultilevel"/>
    <w:tmpl w:val="891EB994"/>
    <w:lvl w:ilvl="0" w:tplc="EB3E410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762C83"/>
    <w:multiLevelType w:val="hybridMultilevel"/>
    <w:tmpl w:val="BF2CA390"/>
    <w:lvl w:ilvl="0" w:tplc="E43C959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913C4"/>
    <w:multiLevelType w:val="hybridMultilevel"/>
    <w:tmpl w:val="DCA68A04"/>
    <w:lvl w:ilvl="0" w:tplc="6EF8781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164461"/>
    <w:multiLevelType w:val="hybridMultilevel"/>
    <w:tmpl w:val="ADB8118A"/>
    <w:lvl w:ilvl="0" w:tplc="B67E8578">
      <w:numFmt w:val="bullet"/>
      <w:lvlText w:val="-"/>
      <w:lvlJc w:val="left"/>
      <w:pPr>
        <w:ind w:left="390" w:hanging="360"/>
      </w:pPr>
      <w:rPr>
        <w:rFonts w:ascii="Times New Roman" w:eastAsia="Times New Roman" w:hAnsi="Times New Roman" w:cs="Times New Roman" w:hint="default"/>
        <w:b/>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25">
    <w:nsid w:val="571457BA"/>
    <w:multiLevelType w:val="hybridMultilevel"/>
    <w:tmpl w:val="D14E47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715B15"/>
    <w:multiLevelType w:val="singleLevel"/>
    <w:tmpl w:val="C21AFECE"/>
    <w:lvl w:ilvl="0">
      <w:start w:val="5"/>
      <w:numFmt w:val="decimal"/>
      <w:lvlText w:val="%1."/>
      <w:legacy w:legacy="1" w:legacySpace="0" w:legacyIndent="298"/>
      <w:lvlJc w:val="left"/>
      <w:rPr>
        <w:rFonts w:ascii="Times New Roman" w:hAnsi="Times New Roman" w:cs="Times New Roman" w:hint="default"/>
      </w:rPr>
    </w:lvl>
  </w:abstractNum>
  <w:abstractNum w:abstractNumId="27">
    <w:nsid w:val="5C2F40CF"/>
    <w:multiLevelType w:val="hybridMultilevel"/>
    <w:tmpl w:val="2B12DBAC"/>
    <w:lvl w:ilvl="0" w:tplc="8ACAD1C8">
      <w:start w:val="5"/>
      <w:numFmt w:val="bullet"/>
      <w:lvlText w:val="-"/>
      <w:lvlJc w:val="left"/>
      <w:pPr>
        <w:ind w:left="720" w:hanging="360"/>
      </w:pPr>
      <w:rPr>
        <w:rFonts w:ascii="Times New Roman" w:eastAsia="Times New Roman"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AF5646"/>
    <w:multiLevelType w:val="hybridMultilevel"/>
    <w:tmpl w:val="A8E28824"/>
    <w:lvl w:ilvl="0" w:tplc="DE14329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D823FF"/>
    <w:multiLevelType w:val="hybridMultilevel"/>
    <w:tmpl w:val="8D2075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22168D7"/>
    <w:multiLevelType w:val="hybridMultilevel"/>
    <w:tmpl w:val="DC30BF42"/>
    <w:lvl w:ilvl="0" w:tplc="09A2FF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3AC1837"/>
    <w:multiLevelType w:val="hybridMultilevel"/>
    <w:tmpl w:val="D4C669BC"/>
    <w:lvl w:ilvl="0" w:tplc="99F4AB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8AD7DB1"/>
    <w:multiLevelType w:val="hybridMultilevel"/>
    <w:tmpl w:val="A5AA0B34"/>
    <w:lvl w:ilvl="0" w:tplc="0C10003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07B5D41"/>
    <w:multiLevelType w:val="hybridMultilevel"/>
    <w:tmpl w:val="B902208E"/>
    <w:lvl w:ilvl="0" w:tplc="8ACAD1C8">
      <w:start w:val="5"/>
      <w:numFmt w:val="bullet"/>
      <w:lvlText w:val="-"/>
      <w:lvlJc w:val="left"/>
      <w:pPr>
        <w:ind w:left="720" w:hanging="360"/>
      </w:pPr>
      <w:rPr>
        <w:rFonts w:ascii="Times New Roman" w:eastAsia="Times New Roman" w:hAnsi="Times New Roman" w:cs="Times New Roman" w:hint="default"/>
        <w:b/>
        <w:i/>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E7593C"/>
    <w:multiLevelType w:val="hybridMultilevel"/>
    <w:tmpl w:val="0966D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8A358C"/>
    <w:multiLevelType w:val="hybridMultilevel"/>
    <w:tmpl w:val="52BC57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D241F0E"/>
    <w:multiLevelType w:val="hybridMultilevel"/>
    <w:tmpl w:val="6CB84CC2"/>
    <w:lvl w:ilvl="0" w:tplc="29505A5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1"/>
  </w:num>
  <w:num w:numId="4">
    <w:abstractNumId w:val="5"/>
  </w:num>
  <w:num w:numId="5">
    <w:abstractNumId w:val="18"/>
  </w:num>
  <w:num w:numId="6">
    <w:abstractNumId w:val="16"/>
  </w:num>
  <w:num w:numId="7">
    <w:abstractNumId w:val="15"/>
  </w:num>
  <w:num w:numId="8">
    <w:abstractNumId w:val="22"/>
  </w:num>
  <w:num w:numId="9">
    <w:abstractNumId w:val="35"/>
  </w:num>
  <w:num w:numId="10">
    <w:abstractNumId w:val="34"/>
  </w:num>
  <w:num w:numId="11">
    <w:abstractNumId w:val="7"/>
  </w:num>
  <w:num w:numId="12">
    <w:abstractNumId w:val="12"/>
  </w:num>
  <w:num w:numId="13">
    <w:abstractNumId w:val="8"/>
  </w:num>
  <w:num w:numId="14">
    <w:abstractNumId w:val="25"/>
  </w:num>
  <w:num w:numId="15">
    <w:abstractNumId w:val="29"/>
  </w:num>
  <w:num w:numId="16">
    <w:abstractNumId w:val="23"/>
  </w:num>
  <w:num w:numId="17">
    <w:abstractNumId w:val="28"/>
  </w:num>
  <w:num w:numId="18">
    <w:abstractNumId w:val="20"/>
  </w:num>
  <w:num w:numId="19">
    <w:abstractNumId w:val="24"/>
  </w:num>
  <w:num w:numId="20">
    <w:abstractNumId w:val="31"/>
  </w:num>
  <w:num w:numId="21">
    <w:abstractNumId w:val="21"/>
  </w:num>
  <w:num w:numId="22">
    <w:abstractNumId w:val="2"/>
  </w:num>
  <w:num w:numId="23">
    <w:abstractNumId w:val="9"/>
  </w:num>
  <w:num w:numId="24">
    <w:abstractNumId w:val="17"/>
  </w:num>
  <w:num w:numId="25">
    <w:abstractNumId w:val="30"/>
  </w:num>
  <w:num w:numId="26">
    <w:abstractNumId w:val="32"/>
  </w:num>
  <w:num w:numId="27">
    <w:abstractNumId w:val="3"/>
  </w:num>
  <w:num w:numId="28">
    <w:abstractNumId w:val="36"/>
  </w:num>
  <w:num w:numId="29">
    <w:abstractNumId w:val="6"/>
  </w:num>
  <w:num w:numId="30">
    <w:abstractNumId w:val="13"/>
  </w:num>
  <w:num w:numId="31">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33">
    <w:abstractNumId w:val="1"/>
  </w:num>
  <w:num w:numId="34">
    <w:abstractNumId w:val="33"/>
  </w:num>
  <w:num w:numId="35">
    <w:abstractNumId w:val="4"/>
  </w:num>
  <w:num w:numId="36">
    <w:abstractNumId w:val="26"/>
  </w:num>
  <w:num w:numId="37">
    <w:abstractNumId w:val="27"/>
  </w:num>
  <w:num w:numId="38">
    <w:abstractNumId w:val="19"/>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152C8"/>
    <w:rsid w:val="00012ED3"/>
    <w:rsid w:val="000152C8"/>
    <w:rsid w:val="000158B1"/>
    <w:rsid w:val="00016E42"/>
    <w:rsid w:val="000172FB"/>
    <w:rsid w:val="00027833"/>
    <w:rsid w:val="0003625B"/>
    <w:rsid w:val="000506E7"/>
    <w:rsid w:val="00060ABA"/>
    <w:rsid w:val="0006268B"/>
    <w:rsid w:val="00062B8C"/>
    <w:rsid w:val="00063B9D"/>
    <w:rsid w:val="000643A4"/>
    <w:rsid w:val="00064CDF"/>
    <w:rsid w:val="00072D89"/>
    <w:rsid w:val="00075BF9"/>
    <w:rsid w:val="00077814"/>
    <w:rsid w:val="000873A6"/>
    <w:rsid w:val="0008785F"/>
    <w:rsid w:val="000A24E3"/>
    <w:rsid w:val="000A2CC0"/>
    <w:rsid w:val="000A541C"/>
    <w:rsid w:val="000A5810"/>
    <w:rsid w:val="000A63B7"/>
    <w:rsid w:val="000A65D5"/>
    <w:rsid w:val="000B0D98"/>
    <w:rsid w:val="000C1036"/>
    <w:rsid w:val="000C1193"/>
    <w:rsid w:val="000C2CEB"/>
    <w:rsid w:val="000C3899"/>
    <w:rsid w:val="000C4CA6"/>
    <w:rsid w:val="000C54F1"/>
    <w:rsid w:val="000D1E26"/>
    <w:rsid w:val="000D2497"/>
    <w:rsid w:val="000D266C"/>
    <w:rsid w:val="000D283A"/>
    <w:rsid w:val="000D3164"/>
    <w:rsid w:val="000E358C"/>
    <w:rsid w:val="000E42BD"/>
    <w:rsid w:val="000F25EB"/>
    <w:rsid w:val="00117C75"/>
    <w:rsid w:val="00122E6E"/>
    <w:rsid w:val="00125EE2"/>
    <w:rsid w:val="00126CC4"/>
    <w:rsid w:val="00134861"/>
    <w:rsid w:val="0014272F"/>
    <w:rsid w:val="00152B5F"/>
    <w:rsid w:val="001659BB"/>
    <w:rsid w:val="001724A7"/>
    <w:rsid w:val="001836A7"/>
    <w:rsid w:val="0018408A"/>
    <w:rsid w:val="0018453F"/>
    <w:rsid w:val="001845ED"/>
    <w:rsid w:val="00185B99"/>
    <w:rsid w:val="001A3781"/>
    <w:rsid w:val="001B2960"/>
    <w:rsid w:val="001C21B7"/>
    <w:rsid w:val="001C6E46"/>
    <w:rsid w:val="001C7C85"/>
    <w:rsid w:val="001D480B"/>
    <w:rsid w:val="001D6F68"/>
    <w:rsid w:val="001E5CD4"/>
    <w:rsid w:val="001F29E2"/>
    <w:rsid w:val="0020277E"/>
    <w:rsid w:val="00204CCD"/>
    <w:rsid w:val="002100ED"/>
    <w:rsid w:val="00212FE4"/>
    <w:rsid w:val="00213BFC"/>
    <w:rsid w:val="00216172"/>
    <w:rsid w:val="002225B9"/>
    <w:rsid w:val="0022373F"/>
    <w:rsid w:val="00224145"/>
    <w:rsid w:val="00224574"/>
    <w:rsid w:val="002274F9"/>
    <w:rsid w:val="002315AF"/>
    <w:rsid w:val="00237640"/>
    <w:rsid w:val="00237C92"/>
    <w:rsid w:val="00260493"/>
    <w:rsid w:val="00263E28"/>
    <w:rsid w:val="002662CC"/>
    <w:rsid w:val="00267DA0"/>
    <w:rsid w:val="00274221"/>
    <w:rsid w:val="00290F48"/>
    <w:rsid w:val="002A04E8"/>
    <w:rsid w:val="002A488F"/>
    <w:rsid w:val="002A6F14"/>
    <w:rsid w:val="002C00C8"/>
    <w:rsid w:val="002C4E78"/>
    <w:rsid w:val="002D5917"/>
    <w:rsid w:val="002E7933"/>
    <w:rsid w:val="002F0CEA"/>
    <w:rsid w:val="002F0D22"/>
    <w:rsid w:val="002F1274"/>
    <w:rsid w:val="00302681"/>
    <w:rsid w:val="00305E70"/>
    <w:rsid w:val="003062F8"/>
    <w:rsid w:val="00307294"/>
    <w:rsid w:val="00320E47"/>
    <w:rsid w:val="00325F0C"/>
    <w:rsid w:val="003343BF"/>
    <w:rsid w:val="0034044D"/>
    <w:rsid w:val="003436C7"/>
    <w:rsid w:val="00344D05"/>
    <w:rsid w:val="00347C66"/>
    <w:rsid w:val="00355B17"/>
    <w:rsid w:val="00362894"/>
    <w:rsid w:val="00364572"/>
    <w:rsid w:val="00366C20"/>
    <w:rsid w:val="00377614"/>
    <w:rsid w:val="00381902"/>
    <w:rsid w:val="00383029"/>
    <w:rsid w:val="00383C48"/>
    <w:rsid w:val="00386A38"/>
    <w:rsid w:val="003903F4"/>
    <w:rsid w:val="00391A5E"/>
    <w:rsid w:val="003A0BCE"/>
    <w:rsid w:val="003A1C18"/>
    <w:rsid w:val="003A5D51"/>
    <w:rsid w:val="003C1974"/>
    <w:rsid w:val="003C41D9"/>
    <w:rsid w:val="003D2B61"/>
    <w:rsid w:val="003D425A"/>
    <w:rsid w:val="003E0038"/>
    <w:rsid w:val="003E287C"/>
    <w:rsid w:val="003E5987"/>
    <w:rsid w:val="003F453D"/>
    <w:rsid w:val="003F6860"/>
    <w:rsid w:val="004034AD"/>
    <w:rsid w:val="004042D1"/>
    <w:rsid w:val="0041384F"/>
    <w:rsid w:val="00415714"/>
    <w:rsid w:val="00422960"/>
    <w:rsid w:val="0042436A"/>
    <w:rsid w:val="00425357"/>
    <w:rsid w:val="0042610D"/>
    <w:rsid w:val="00427337"/>
    <w:rsid w:val="00433CC0"/>
    <w:rsid w:val="00433F7F"/>
    <w:rsid w:val="00435516"/>
    <w:rsid w:val="00437A61"/>
    <w:rsid w:val="00442964"/>
    <w:rsid w:val="00444BB9"/>
    <w:rsid w:val="00453BE8"/>
    <w:rsid w:val="00457CD4"/>
    <w:rsid w:val="004635EB"/>
    <w:rsid w:val="00464BC4"/>
    <w:rsid w:val="00472D7A"/>
    <w:rsid w:val="004865D4"/>
    <w:rsid w:val="00487547"/>
    <w:rsid w:val="004A3EEB"/>
    <w:rsid w:val="004A4A25"/>
    <w:rsid w:val="004B1818"/>
    <w:rsid w:val="004B1A85"/>
    <w:rsid w:val="004C33DE"/>
    <w:rsid w:val="004D0AE4"/>
    <w:rsid w:val="004F59C1"/>
    <w:rsid w:val="004F6766"/>
    <w:rsid w:val="00501B60"/>
    <w:rsid w:val="00502936"/>
    <w:rsid w:val="00506C79"/>
    <w:rsid w:val="005112DF"/>
    <w:rsid w:val="005117E9"/>
    <w:rsid w:val="00514956"/>
    <w:rsid w:val="005179BA"/>
    <w:rsid w:val="005232DE"/>
    <w:rsid w:val="00524E2D"/>
    <w:rsid w:val="00534372"/>
    <w:rsid w:val="00545238"/>
    <w:rsid w:val="005473EE"/>
    <w:rsid w:val="00550D97"/>
    <w:rsid w:val="00550F8A"/>
    <w:rsid w:val="0055160B"/>
    <w:rsid w:val="005529F4"/>
    <w:rsid w:val="00554BE9"/>
    <w:rsid w:val="00560926"/>
    <w:rsid w:val="0057264F"/>
    <w:rsid w:val="00575B99"/>
    <w:rsid w:val="00581C71"/>
    <w:rsid w:val="00592C06"/>
    <w:rsid w:val="00593C7F"/>
    <w:rsid w:val="005947C1"/>
    <w:rsid w:val="005965D1"/>
    <w:rsid w:val="005A256F"/>
    <w:rsid w:val="005A5177"/>
    <w:rsid w:val="005A7243"/>
    <w:rsid w:val="005B62CB"/>
    <w:rsid w:val="005B6CD0"/>
    <w:rsid w:val="005C0EF5"/>
    <w:rsid w:val="005C1167"/>
    <w:rsid w:val="005C5FF3"/>
    <w:rsid w:val="005E41D2"/>
    <w:rsid w:val="005E4852"/>
    <w:rsid w:val="005E653D"/>
    <w:rsid w:val="005F4DBB"/>
    <w:rsid w:val="00614F71"/>
    <w:rsid w:val="00615E15"/>
    <w:rsid w:val="00620D63"/>
    <w:rsid w:val="00631273"/>
    <w:rsid w:val="00632330"/>
    <w:rsid w:val="006337C0"/>
    <w:rsid w:val="0063407C"/>
    <w:rsid w:val="00647772"/>
    <w:rsid w:val="00647BAD"/>
    <w:rsid w:val="00662B9D"/>
    <w:rsid w:val="00663C10"/>
    <w:rsid w:val="00664BA9"/>
    <w:rsid w:val="006713C2"/>
    <w:rsid w:val="00671A04"/>
    <w:rsid w:val="00671CFC"/>
    <w:rsid w:val="00675C19"/>
    <w:rsid w:val="00680253"/>
    <w:rsid w:val="00682749"/>
    <w:rsid w:val="00682B2F"/>
    <w:rsid w:val="00683015"/>
    <w:rsid w:val="00684BE5"/>
    <w:rsid w:val="00684C86"/>
    <w:rsid w:val="006865E9"/>
    <w:rsid w:val="0069783F"/>
    <w:rsid w:val="006A2474"/>
    <w:rsid w:val="006A64A8"/>
    <w:rsid w:val="006A7842"/>
    <w:rsid w:val="006B4C32"/>
    <w:rsid w:val="006B7407"/>
    <w:rsid w:val="006B7CF9"/>
    <w:rsid w:val="006C5640"/>
    <w:rsid w:val="006C729F"/>
    <w:rsid w:val="006C7758"/>
    <w:rsid w:val="006D4416"/>
    <w:rsid w:val="006D46C3"/>
    <w:rsid w:val="006D4E25"/>
    <w:rsid w:val="006D6207"/>
    <w:rsid w:val="006D709B"/>
    <w:rsid w:val="006E6F36"/>
    <w:rsid w:val="006E7ED2"/>
    <w:rsid w:val="006F535B"/>
    <w:rsid w:val="006F69D2"/>
    <w:rsid w:val="00703F46"/>
    <w:rsid w:val="00710E61"/>
    <w:rsid w:val="00711F6C"/>
    <w:rsid w:val="00725B5F"/>
    <w:rsid w:val="00731704"/>
    <w:rsid w:val="00733C75"/>
    <w:rsid w:val="007378C3"/>
    <w:rsid w:val="00740673"/>
    <w:rsid w:val="00740DC4"/>
    <w:rsid w:val="00743B1B"/>
    <w:rsid w:val="007450DF"/>
    <w:rsid w:val="00753A78"/>
    <w:rsid w:val="00755524"/>
    <w:rsid w:val="00755917"/>
    <w:rsid w:val="007578A8"/>
    <w:rsid w:val="007667FD"/>
    <w:rsid w:val="007735E2"/>
    <w:rsid w:val="007754B1"/>
    <w:rsid w:val="00776629"/>
    <w:rsid w:val="007813C4"/>
    <w:rsid w:val="007833BB"/>
    <w:rsid w:val="00786CE6"/>
    <w:rsid w:val="00793EF7"/>
    <w:rsid w:val="007A2E5B"/>
    <w:rsid w:val="007A5524"/>
    <w:rsid w:val="007B0255"/>
    <w:rsid w:val="007D0BC8"/>
    <w:rsid w:val="007D18B9"/>
    <w:rsid w:val="007D2630"/>
    <w:rsid w:val="007D2FAB"/>
    <w:rsid w:val="007E1561"/>
    <w:rsid w:val="007E5DB7"/>
    <w:rsid w:val="007F041E"/>
    <w:rsid w:val="007F0A67"/>
    <w:rsid w:val="0080117B"/>
    <w:rsid w:val="008069D7"/>
    <w:rsid w:val="00811BC0"/>
    <w:rsid w:val="008120E5"/>
    <w:rsid w:val="008126BE"/>
    <w:rsid w:val="00813E0A"/>
    <w:rsid w:val="00814161"/>
    <w:rsid w:val="008171D9"/>
    <w:rsid w:val="00822237"/>
    <w:rsid w:val="00827211"/>
    <w:rsid w:val="00830D3B"/>
    <w:rsid w:val="008439CA"/>
    <w:rsid w:val="00845482"/>
    <w:rsid w:val="008500AA"/>
    <w:rsid w:val="0085611C"/>
    <w:rsid w:val="00865A84"/>
    <w:rsid w:val="00870268"/>
    <w:rsid w:val="00870821"/>
    <w:rsid w:val="00874256"/>
    <w:rsid w:val="008756A1"/>
    <w:rsid w:val="00881D15"/>
    <w:rsid w:val="00886410"/>
    <w:rsid w:val="008B3D1A"/>
    <w:rsid w:val="008B4BC1"/>
    <w:rsid w:val="008C2055"/>
    <w:rsid w:val="008D0E62"/>
    <w:rsid w:val="008D62C9"/>
    <w:rsid w:val="008E2DF4"/>
    <w:rsid w:val="008E38E2"/>
    <w:rsid w:val="008E63D0"/>
    <w:rsid w:val="008F5A97"/>
    <w:rsid w:val="008F79D4"/>
    <w:rsid w:val="00900AA7"/>
    <w:rsid w:val="00916733"/>
    <w:rsid w:val="0091776B"/>
    <w:rsid w:val="00921B6A"/>
    <w:rsid w:val="009223AD"/>
    <w:rsid w:val="00932841"/>
    <w:rsid w:val="00933D4E"/>
    <w:rsid w:val="009356A7"/>
    <w:rsid w:val="00942511"/>
    <w:rsid w:val="00951AC9"/>
    <w:rsid w:val="00951CF6"/>
    <w:rsid w:val="00952AAB"/>
    <w:rsid w:val="0096615B"/>
    <w:rsid w:val="00966B7E"/>
    <w:rsid w:val="00974BED"/>
    <w:rsid w:val="0097768D"/>
    <w:rsid w:val="00977AAB"/>
    <w:rsid w:val="0098550E"/>
    <w:rsid w:val="00985A7D"/>
    <w:rsid w:val="00987457"/>
    <w:rsid w:val="00991781"/>
    <w:rsid w:val="009976AA"/>
    <w:rsid w:val="009B18CF"/>
    <w:rsid w:val="009B4B6A"/>
    <w:rsid w:val="009C3212"/>
    <w:rsid w:val="009D39CF"/>
    <w:rsid w:val="009D7609"/>
    <w:rsid w:val="009E3622"/>
    <w:rsid w:val="009F01CE"/>
    <w:rsid w:val="009F2325"/>
    <w:rsid w:val="009F30DA"/>
    <w:rsid w:val="009F3FF6"/>
    <w:rsid w:val="00A05451"/>
    <w:rsid w:val="00A12B23"/>
    <w:rsid w:val="00A17104"/>
    <w:rsid w:val="00A172F5"/>
    <w:rsid w:val="00A17EC4"/>
    <w:rsid w:val="00A22E1B"/>
    <w:rsid w:val="00A23A1D"/>
    <w:rsid w:val="00A3078D"/>
    <w:rsid w:val="00A332AA"/>
    <w:rsid w:val="00A3481B"/>
    <w:rsid w:val="00A353AE"/>
    <w:rsid w:val="00A35BB7"/>
    <w:rsid w:val="00A37B53"/>
    <w:rsid w:val="00A45AD2"/>
    <w:rsid w:val="00A51C8F"/>
    <w:rsid w:val="00A625B5"/>
    <w:rsid w:val="00A62C02"/>
    <w:rsid w:val="00A63DA6"/>
    <w:rsid w:val="00A643B1"/>
    <w:rsid w:val="00A6441D"/>
    <w:rsid w:val="00A65355"/>
    <w:rsid w:val="00A72228"/>
    <w:rsid w:val="00A75D3A"/>
    <w:rsid w:val="00A805F2"/>
    <w:rsid w:val="00A91ED4"/>
    <w:rsid w:val="00A92D80"/>
    <w:rsid w:val="00AA1C64"/>
    <w:rsid w:val="00AA2C6F"/>
    <w:rsid w:val="00AA7482"/>
    <w:rsid w:val="00AB074E"/>
    <w:rsid w:val="00AC541A"/>
    <w:rsid w:val="00AD0F17"/>
    <w:rsid w:val="00AD7426"/>
    <w:rsid w:val="00AD7832"/>
    <w:rsid w:val="00AE73DB"/>
    <w:rsid w:val="00AF0550"/>
    <w:rsid w:val="00AF3FA2"/>
    <w:rsid w:val="00AF4C99"/>
    <w:rsid w:val="00B00191"/>
    <w:rsid w:val="00B03327"/>
    <w:rsid w:val="00B04876"/>
    <w:rsid w:val="00B04E75"/>
    <w:rsid w:val="00B05124"/>
    <w:rsid w:val="00B12089"/>
    <w:rsid w:val="00B133A8"/>
    <w:rsid w:val="00B1398C"/>
    <w:rsid w:val="00B20463"/>
    <w:rsid w:val="00B2111C"/>
    <w:rsid w:val="00B21C81"/>
    <w:rsid w:val="00B34784"/>
    <w:rsid w:val="00B439F6"/>
    <w:rsid w:val="00B454EE"/>
    <w:rsid w:val="00B53D0E"/>
    <w:rsid w:val="00B70822"/>
    <w:rsid w:val="00B71FB4"/>
    <w:rsid w:val="00B74407"/>
    <w:rsid w:val="00B74C51"/>
    <w:rsid w:val="00B7528D"/>
    <w:rsid w:val="00B83512"/>
    <w:rsid w:val="00B83D2F"/>
    <w:rsid w:val="00B877C7"/>
    <w:rsid w:val="00B920D3"/>
    <w:rsid w:val="00B974AB"/>
    <w:rsid w:val="00BA1517"/>
    <w:rsid w:val="00BA2099"/>
    <w:rsid w:val="00BA6BDB"/>
    <w:rsid w:val="00BB1F97"/>
    <w:rsid w:val="00BB765A"/>
    <w:rsid w:val="00BC5DD9"/>
    <w:rsid w:val="00BC62CF"/>
    <w:rsid w:val="00BD66DD"/>
    <w:rsid w:val="00BD70A6"/>
    <w:rsid w:val="00BE271D"/>
    <w:rsid w:val="00BF10AA"/>
    <w:rsid w:val="00BF5AC8"/>
    <w:rsid w:val="00C07AB0"/>
    <w:rsid w:val="00C169BC"/>
    <w:rsid w:val="00C23000"/>
    <w:rsid w:val="00C30DA4"/>
    <w:rsid w:val="00C4065B"/>
    <w:rsid w:val="00C524D6"/>
    <w:rsid w:val="00C53D55"/>
    <w:rsid w:val="00C5558D"/>
    <w:rsid w:val="00C5686D"/>
    <w:rsid w:val="00C66238"/>
    <w:rsid w:val="00C73183"/>
    <w:rsid w:val="00C86458"/>
    <w:rsid w:val="00C86B7B"/>
    <w:rsid w:val="00CA1AF4"/>
    <w:rsid w:val="00CA6C40"/>
    <w:rsid w:val="00CA7404"/>
    <w:rsid w:val="00CB6121"/>
    <w:rsid w:val="00CC238B"/>
    <w:rsid w:val="00CC360E"/>
    <w:rsid w:val="00CC3A6B"/>
    <w:rsid w:val="00CD4843"/>
    <w:rsid w:val="00CD671F"/>
    <w:rsid w:val="00CE0210"/>
    <w:rsid w:val="00CE09C0"/>
    <w:rsid w:val="00CE5753"/>
    <w:rsid w:val="00CF20F9"/>
    <w:rsid w:val="00CF27A0"/>
    <w:rsid w:val="00CF4814"/>
    <w:rsid w:val="00D01610"/>
    <w:rsid w:val="00D0385F"/>
    <w:rsid w:val="00D044F2"/>
    <w:rsid w:val="00D12459"/>
    <w:rsid w:val="00D153A7"/>
    <w:rsid w:val="00D43F49"/>
    <w:rsid w:val="00D50F6B"/>
    <w:rsid w:val="00D51FCE"/>
    <w:rsid w:val="00D600E1"/>
    <w:rsid w:val="00D7110B"/>
    <w:rsid w:val="00D71383"/>
    <w:rsid w:val="00D7513A"/>
    <w:rsid w:val="00D76153"/>
    <w:rsid w:val="00D833EA"/>
    <w:rsid w:val="00D86B18"/>
    <w:rsid w:val="00D91614"/>
    <w:rsid w:val="00DA0405"/>
    <w:rsid w:val="00DA2994"/>
    <w:rsid w:val="00DC4DE0"/>
    <w:rsid w:val="00DC72F1"/>
    <w:rsid w:val="00DD0C7F"/>
    <w:rsid w:val="00DD5AEA"/>
    <w:rsid w:val="00DE78D4"/>
    <w:rsid w:val="00DF0676"/>
    <w:rsid w:val="00E0046E"/>
    <w:rsid w:val="00E03251"/>
    <w:rsid w:val="00E03E60"/>
    <w:rsid w:val="00E1046E"/>
    <w:rsid w:val="00E14CB1"/>
    <w:rsid w:val="00E21686"/>
    <w:rsid w:val="00E37DE1"/>
    <w:rsid w:val="00E45B2F"/>
    <w:rsid w:val="00E531CB"/>
    <w:rsid w:val="00E539E9"/>
    <w:rsid w:val="00E540F3"/>
    <w:rsid w:val="00E559A0"/>
    <w:rsid w:val="00E619C8"/>
    <w:rsid w:val="00E82980"/>
    <w:rsid w:val="00E87BAB"/>
    <w:rsid w:val="00EA09F0"/>
    <w:rsid w:val="00EA2594"/>
    <w:rsid w:val="00EA2C63"/>
    <w:rsid w:val="00EB028D"/>
    <w:rsid w:val="00EB093E"/>
    <w:rsid w:val="00EB1232"/>
    <w:rsid w:val="00ED1103"/>
    <w:rsid w:val="00ED4251"/>
    <w:rsid w:val="00EE0B5F"/>
    <w:rsid w:val="00EF5FD3"/>
    <w:rsid w:val="00EF6030"/>
    <w:rsid w:val="00F1403A"/>
    <w:rsid w:val="00F2045F"/>
    <w:rsid w:val="00F325D1"/>
    <w:rsid w:val="00F367AD"/>
    <w:rsid w:val="00F431D0"/>
    <w:rsid w:val="00F442ED"/>
    <w:rsid w:val="00F452E1"/>
    <w:rsid w:val="00F75108"/>
    <w:rsid w:val="00F96D3E"/>
    <w:rsid w:val="00FB2E73"/>
    <w:rsid w:val="00FC2072"/>
    <w:rsid w:val="00FD5C8D"/>
    <w:rsid w:val="00FD6715"/>
    <w:rsid w:val="00FE0266"/>
    <w:rsid w:val="00FE1EF6"/>
    <w:rsid w:val="00FF3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52C8"/>
    <w:rPr>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5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annotation text"/>
    <w:basedOn w:val="a"/>
    <w:semiHidden/>
    <w:rsid w:val="00DD5AEA"/>
    <w:rPr>
      <w:sz w:val="20"/>
      <w:szCs w:val="20"/>
      <w:lang w:val="en-US" w:eastAsia="en-US"/>
    </w:rPr>
  </w:style>
  <w:style w:type="paragraph" w:styleId="a5">
    <w:name w:val="Balloon Text"/>
    <w:basedOn w:val="a"/>
    <w:semiHidden/>
    <w:rsid w:val="00ED4251"/>
    <w:rPr>
      <w:rFonts w:ascii="Tahoma" w:hAnsi="Tahoma" w:cs="Tahoma"/>
      <w:sz w:val="16"/>
      <w:szCs w:val="16"/>
      <w:lang w:val="en-US" w:eastAsia="en-US"/>
    </w:rPr>
  </w:style>
  <w:style w:type="paragraph" w:styleId="a6">
    <w:name w:val="Normal (Web)"/>
    <w:aliases w:val="Знак, Знак"/>
    <w:basedOn w:val="a"/>
    <w:link w:val="a7"/>
    <w:uiPriority w:val="99"/>
    <w:qFormat/>
    <w:rsid w:val="00EF6030"/>
    <w:pPr>
      <w:ind w:firstLine="567"/>
      <w:jc w:val="both"/>
    </w:pPr>
    <w:rPr>
      <w:lang w:val="ru-RU"/>
    </w:rPr>
  </w:style>
  <w:style w:type="paragraph" w:styleId="a8">
    <w:name w:val="footer"/>
    <w:basedOn w:val="a"/>
    <w:rsid w:val="00A92D80"/>
    <w:pPr>
      <w:tabs>
        <w:tab w:val="center" w:pos="4320"/>
        <w:tab w:val="right" w:pos="8640"/>
      </w:tabs>
    </w:pPr>
  </w:style>
  <w:style w:type="character" w:styleId="a9">
    <w:name w:val="page number"/>
    <w:basedOn w:val="a0"/>
    <w:rsid w:val="00A92D80"/>
  </w:style>
  <w:style w:type="paragraph" w:customStyle="1" w:styleId="CharChar">
    <w:name w:val="Знак Знак Char Знак Знак Char"/>
    <w:basedOn w:val="a"/>
    <w:rsid w:val="00B7528D"/>
    <w:pPr>
      <w:spacing w:after="160" w:line="240" w:lineRule="exact"/>
    </w:pPr>
    <w:rPr>
      <w:rFonts w:ascii="Arial" w:eastAsia="Batang" w:hAnsi="Arial" w:cs="Arial"/>
      <w:sz w:val="20"/>
      <w:szCs w:val="20"/>
      <w:lang w:val="ro-MO" w:eastAsia="en-US"/>
    </w:rPr>
  </w:style>
  <w:style w:type="paragraph" w:customStyle="1" w:styleId="cp">
    <w:name w:val="cp"/>
    <w:basedOn w:val="a"/>
    <w:rsid w:val="00B04E75"/>
    <w:pPr>
      <w:jc w:val="center"/>
    </w:pPr>
    <w:rPr>
      <w:b/>
      <w:bCs/>
      <w:lang w:val="ru-RU"/>
    </w:rPr>
  </w:style>
  <w:style w:type="paragraph" w:customStyle="1" w:styleId="tt">
    <w:name w:val="tt"/>
    <w:basedOn w:val="a"/>
    <w:rsid w:val="00776629"/>
    <w:pPr>
      <w:jc w:val="center"/>
    </w:pPr>
    <w:rPr>
      <w:b/>
      <w:bCs/>
      <w:lang w:val="en-US" w:eastAsia="en-US"/>
    </w:rPr>
  </w:style>
  <w:style w:type="paragraph" w:customStyle="1" w:styleId="1">
    <w:name w:val="Абзац списка1"/>
    <w:basedOn w:val="a"/>
    <w:uiPriority w:val="34"/>
    <w:qFormat/>
    <w:rsid w:val="004F59C1"/>
    <w:pPr>
      <w:ind w:left="708"/>
    </w:pPr>
  </w:style>
  <w:style w:type="paragraph" w:styleId="aa">
    <w:name w:val="List Paragraph"/>
    <w:basedOn w:val="a"/>
    <w:qFormat/>
    <w:rsid w:val="00830D3B"/>
    <w:pPr>
      <w:ind w:left="708"/>
    </w:pPr>
  </w:style>
  <w:style w:type="paragraph" w:styleId="ab">
    <w:name w:val="Body Text"/>
    <w:basedOn w:val="a"/>
    <w:link w:val="ac"/>
    <w:rsid w:val="00710E61"/>
    <w:pPr>
      <w:suppressAutoHyphens/>
      <w:jc w:val="center"/>
    </w:pPr>
    <w:rPr>
      <w:b/>
      <w:szCs w:val="20"/>
      <w:lang w:eastAsia="ar-SA"/>
    </w:rPr>
  </w:style>
  <w:style w:type="character" w:customStyle="1" w:styleId="ac">
    <w:name w:val="Основной текст Знак"/>
    <w:basedOn w:val="a0"/>
    <w:link w:val="ab"/>
    <w:rsid w:val="00710E61"/>
    <w:rPr>
      <w:b/>
      <w:sz w:val="24"/>
      <w:lang w:val="ro-RO" w:eastAsia="ar-SA"/>
    </w:rPr>
  </w:style>
  <w:style w:type="paragraph" w:customStyle="1" w:styleId="CharChar0">
    <w:name w:val="Знак Char Char"/>
    <w:basedOn w:val="a"/>
    <w:rsid w:val="00B439F6"/>
    <w:pPr>
      <w:spacing w:after="160" w:line="240" w:lineRule="exact"/>
    </w:pPr>
    <w:rPr>
      <w:rFonts w:ascii="Arial" w:eastAsia="Batang" w:hAnsi="Arial" w:cs="Arial"/>
      <w:sz w:val="20"/>
      <w:szCs w:val="20"/>
      <w:lang w:val="en-US" w:eastAsia="en-US"/>
    </w:rPr>
  </w:style>
  <w:style w:type="paragraph" w:styleId="ad">
    <w:name w:val="No Spacing"/>
    <w:uiPriority w:val="1"/>
    <w:qFormat/>
    <w:rsid w:val="00B439F6"/>
    <w:rPr>
      <w:sz w:val="24"/>
      <w:szCs w:val="24"/>
    </w:rPr>
  </w:style>
  <w:style w:type="character" w:customStyle="1" w:styleId="a7">
    <w:name w:val="Обычный (веб) Знак"/>
    <w:aliases w:val="Знак Знак, Знак Знак"/>
    <w:link w:val="a6"/>
    <w:uiPriority w:val="99"/>
    <w:locked/>
    <w:rsid w:val="00B439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52C8"/>
    <w:rPr>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5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semiHidden/>
    <w:rsid w:val="00DD5AEA"/>
    <w:rPr>
      <w:sz w:val="20"/>
      <w:szCs w:val="20"/>
      <w:lang w:val="en-US" w:eastAsia="en-US"/>
    </w:rPr>
  </w:style>
  <w:style w:type="paragraph" w:styleId="a5">
    <w:name w:val="Balloon Text"/>
    <w:basedOn w:val="a"/>
    <w:semiHidden/>
    <w:rsid w:val="00ED4251"/>
    <w:rPr>
      <w:rFonts w:ascii="Tahoma" w:hAnsi="Tahoma" w:cs="Tahoma"/>
      <w:sz w:val="16"/>
      <w:szCs w:val="16"/>
      <w:lang w:val="en-US" w:eastAsia="en-US"/>
    </w:rPr>
  </w:style>
  <w:style w:type="paragraph" w:styleId="a6">
    <w:name w:val="Normal (Web)"/>
    <w:aliases w:val="Знак, Знак"/>
    <w:basedOn w:val="a"/>
    <w:link w:val="a7"/>
    <w:uiPriority w:val="99"/>
    <w:qFormat/>
    <w:rsid w:val="00EF6030"/>
    <w:pPr>
      <w:ind w:firstLine="567"/>
      <w:jc w:val="both"/>
    </w:pPr>
    <w:rPr>
      <w:lang w:val="ru-RU"/>
    </w:rPr>
  </w:style>
  <w:style w:type="paragraph" w:styleId="a8">
    <w:name w:val="footer"/>
    <w:basedOn w:val="a"/>
    <w:rsid w:val="00A92D80"/>
    <w:pPr>
      <w:tabs>
        <w:tab w:val="center" w:pos="4320"/>
        <w:tab w:val="right" w:pos="8640"/>
      </w:tabs>
    </w:pPr>
  </w:style>
  <w:style w:type="character" w:styleId="a9">
    <w:name w:val="page number"/>
    <w:basedOn w:val="a0"/>
    <w:rsid w:val="00A92D80"/>
  </w:style>
  <w:style w:type="paragraph" w:customStyle="1" w:styleId="CharChar">
    <w:name w:val="Знак Знак Char Знак Знак Char"/>
    <w:basedOn w:val="a"/>
    <w:rsid w:val="00B7528D"/>
    <w:pPr>
      <w:spacing w:after="160" w:line="240" w:lineRule="exact"/>
    </w:pPr>
    <w:rPr>
      <w:rFonts w:ascii="Arial" w:eastAsia="Batang" w:hAnsi="Arial" w:cs="Arial"/>
      <w:sz w:val="20"/>
      <w:szCs w:val="20"/>
      <w:lang w:val="ro-MO" w:eastAsia="en-US"/>
    </w:rPr>
  </w:style>
  <w:style w:type="paragraph" w:customStyle="1" w:styleId="cp">
    <w:name w:val="cp"/>
    <w:basedOn w:val="a"/>
    <w:rsid w:val="00B04E75"/>
    <w:pPr>
      <w:jc w:val="center"/>
    </w:pPr>
    <w:rPr>
      <w:b/>
      <w:bCs/>
      <w:lang w:val="ru-RU"/>
    </w:rPr>
  </w:style>
  <w:style w:type="paragraph" w:customStyle="1" w:styleId="tt">
    <w:name w:val="tt"/>
    <w:basedOn w:val="a"/>
    <w:rsid w:val="00776629"/>
    <w:pPr>
      <w:jc w:val="center"/>
    </w:pPr>
    <w:rPr>
      <w:b/>
      <w:bCs/>
      <w:lang w:val="en-US" w:eastAsia="en-US"/>
    </w:rPr>
  </w:style>
  <w:style w:type="paragraph" w:customStyle="1" w:styleId="1">
    <w:name w:val="Абзац списка1"/>
    <w:basedOn w:val="a"/>
    <w:uiPriority w:val="34"/>
    <w:qFormat/>
    <w:rsid w:val="004F59C1"/>
    <w:pPr>
      <w:ind w:left="708"/>
    </w:pPr>
  </w:style>
  <w:style w:type="paragraph" w:styleId="aa">
    <w:name w:val="List Paragraph"/>
    <w:basedOn w:val="a"/>
    <w:qFormat/>
    <w:rsid w:val="00830D3B"/>
    <w:pPr>
      <w:ind w:left="708"/>
    </w:pPr>
  </w:style>
  <w:style w:type="paragraph" w:styleId="ab">
    <w:name w:val="Body Text"/>
    <w:basedOn w:val="a"/>
    <w:link w:val="ac"/>
    <w:rsid w:val="00710E61"/>
    <w:pPr>
      <w:suppressAutoHyphens/>
      <w:jc w:val="center"/>
    </w:pPr>
    <w:rPr>
      <w:b/>
      <w:szCs w:val="20"/>
      <w:lang w:eastAsia="ar-SA"/>
    </w:rPr>
  </w:style>
  <w:style w:type="character" w:customStyle="1" w:styleId="ac">
    <w:name w:val="Основной текст Знак"/>
    <w:basedOn w:val="a0"/>
    <w:link w:val="ab"/>
    <w:rsid w:val="00710E61"/>
    <w:rPr>
      <w:b/>
      <w:sz w:val="24"/>
      <w:lang w:val="ro-RO" w:eastAsia="ar-SA"/>
    </w:rPr>
  </w:style>
  <w:style w:type="paragraph" w:customStyle="1" w:styleId="CharChar0">
    <w:name w:val="Знак Char Char"/>
    <w:basedOn w:val="a"/>
    <w:rsid w:val="00B439F6"/>
    <w:pPr>
      <w:spacing w:after="160" w:line="240" w:lineRule="exact"/>
    </w:pPr>
    <w:rPr>
      <w:rFonts w:ascii="Arial" w:eastAsia="Batang" w:hAnsi="Arial" w:cs="Arial"/>
      <w:sz w:val="20"/>
      <w:szCs w:val="20"/>
      <w:lang w:val="en-US" w:eastAsia="en-US"/>
    </w:rPr>
  </w:style>
  <w:style w:type="paragraph" w:styleId="ad">
    <w:name w:val="No Spacing"/>
    <w:uiPriority w:val="1"/>
    <w:qFormat/>
    <w:rsid w:val="00B439F6"/>
    <w:rPr>
      <w:sz w:val="24"/>
      <w:szCs w:val="24"/>
    </w:rPr>
  </w:style>
  <w:style w:type="character" w:customStyle="1" w:styleId="a7">
    <w:name w:val="Обычный (веб) Знак"/>
    <w:aliases w:val="Знак Знак, Знак Знак"/>
    <w:link w:val="a6"/>
    <w:uiPriority w:val="99"/>
    <w:locked/>
    <w:rsid w:val="00B439F6"/>
    <w:rPr>
      <w:sz w:val="24"/>
      <w:szCs w:val="24"/>
    </w:rPr>
  </w:style>
</w:styles>
</file>

<file path=word/webSettings.xml><?xml version="1.0" encoding="utf-8"?>
<w:webSettings xmlns:r="http://schemas.openxmlformats.org/officeDocument/2006/relationships" xmlns:w="http://schemas.openxmlformats.org/wordprocessingml/2006/main">
  <w:divs>
    <w:div w:id="93408537">
      <w:bodyDiv w:val="1"/>
      <w:marLeft w:val="0"/>
      <w:marRight w:val="0"/>
      <w:marTop w:val="0"/>
      <w:marBottom w:val="0"/>
      <w:divBdr>
        <w:top w:val="none" w:sz="0" w:space="0" w:color="auto"/>
        <w:left w:val="none" w:sz="0" w:space="0" w:color="auto"/>
        <w:bottom w:val="none" w:sz="0" w:space="0" w:color="auto"/>
        <w:right w:val="none" w:sz="0" w:space="0" w:color="auto"/>
      </w:divBdr>
      <w:divsChild>
        <w:div w:id="537743549">
          <w:marLeft w:val="0"/>
          <w:marRight w:val="0"/>
          <w:marTop w:val="0"/>
          <w:marBottom w:val="0"/>
          <w:divBdr>
            <w:top w:val="none" w:sz="0" w:space="0" w:color="auto"/>
            <w:left w:val="none" w:sz="0" w:space="0" w:color="auto"/>
            <w:bottom w:val="none" w:sz="0" w:space="0" w:color="auto"/>
            <w:right w:val="none" w:sz="0" w:space="0" w:color="auto"/>
          </w:divBdr>
        </w:div>
      </w:divsChild>
    </w:div>
    <w:div w:id="430511434">
      <w:bodyDiv w:val="1"/>
      <w:marLeft w:val="0"/>
      <w:marRight w:val="0"/>
      <w:marTop w:val="0"/>
      <w:marBottom w:val="0"/>
      <w:divBdr>
        <w:top w:val="none" w:sz="0" w:space="0" w:color="auto"/>
        <w:left w:val="none" w:sz="0" w:space="0" w:color="auto"/>
        <w:bottom w:val="none" w:sz="0" w:space="0" w:color="auto"/>
        <w:right w:val="none" w:sz="0" w:space="0" w:color="auto"/>
      </w:divBdr>
    </w:div>
    <w:div w:id="1441678449">
      <w:bodyDiv w:val="1"/>
      <w:marLeft w:val="0"/>
      <w:marRight w:val="0"/>
      <w:marTop w:val="0"/>
      <w:marBottom w:val="0"/>
      <w:divBdr>
        <w:top w:val="none" w:sz="0" w:space="0" w:color="auto"/>
        <w:left w:val="none" w:sz="0" w:space="0" w:color="auto"/>
        <w:bottom w:val="none" w:sz="0" w:space="0" w:color="auto"/>
        <w:right w:val="none" w:sz="0" w:space="0" w:color="auto"/>
      </w:divBdr>
    </w:div>
    <w:div w:id="1838960734">
      <w:bodyDiv w:val="1"/>
      <w:marLeft w:val="0"/>
      <w:marRight w:val="0"/>
      <w:marTop w:val="0"/>
      <w:marBottom w:val="0"/>
      <w:divBdr>
        <w:top w:val="none" w:sz="0" w:space="0" w:color="auto"/>
        <w:left w:val="none" w:sz="0" w:space="0" w:color="auto"/>
        <w:bottom w:val="none" w:sz="0" w:space="0" w:color="auto"/>
        <w:right w:val="none" w:sz="0" w:space="0" w:color="auto"/>
      </w:divBdr>
      <w:divsChild>
        <w:div w:id="1044669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2A5FA-4868-4247-BAC5-2FD7F4A5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6194</Words>
  <Characters>35308</Characters>
  <Application>Microsoft Office Word</Application>
  <DocSecurity>0</DocSecurity>
  <Lines>294</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TABEL DE DIVERGENŢE</vt:lpstr>
      <vt:lpstr>TABEL DE DIVERGENŢE</vt:lpstr>
    </vt:vector>
  </TitlesOfParts>
  <Company>CtrlSoft</Company>
  <LinksUpToDate>false</LinksUpToDate>
  <CharactersWithSpaces>41420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 DE DIVERGENŢE</dc:title>
  <dc:creator>popil</dc:creator>
  <cp:lastModifiedBy>abucur</cp:lastModifiedBy>
  <cp:revision>2</cp:revision>
  <cp:lastPrinted>2011-06-13T13:28:00Z</cp:lastPrinted>
  <dcterms:created xsi:type="dcterms:W3CDTF">2016-01-29T11:24:00Z</dcterms:created>
  <dcterms:modified xsi:type="dcterms:W3CDTF">2016-01-29T11:24:00Z</dcterms:modified>
</cp:coreProperties>
</file>