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25"/>
        <w:tblW w:w="9900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140"/>
      </w:tblGrid>
      <w:tr w:rsidR="00B67C5D" w:rsidRPr="00D820D1" w:rsidTr="00ED7824">
        <w:trPr>
          <w:trHeight w:val="1416"/>
        </w:trPr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MINISTERUL FINANŢELOR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AL REPUBLICII MOLDOVA</w:t>
            </w:r>
          </w:p>
        </w:tc>
        <w:tc>
          <w:tcPr>
            <w:tcW w:w="162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rFonts w:ascii="Academy" w:hAnsi="Academy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6.25pt" o:ole="">
                  <v:imagedata r:id="rId6" o:title=""/>
                </v:shape>
                <o:OLEObject Type="Embed" ProgID="Word.Document.8" ShapeID="_x0000_i1025" DrawAspect="Content" ObjectID="_1578307996" r:id="rId7"/>
              </w:object>
            </w:r>
          </w:p>
        </w:tc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МИНИСТЕРСТВО ФИНАНСОВ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РЕСПУБЛИКИ МОЛДОВА</w:t>
            </w:r>
          </w:p>
        </w:tc>
      </w:tr>
    </w:tbl>
    <w:p w:rsidR="00B67C5D" w:rsidRPr="00D820D1" w:rsidRDefault="00B67C5D" w:rsidP="00B67C5D">
      <w:pPr>
        <w:jc w:val="center"/>
        <w:rPr>
          <w:b/>
          <w:sz w:val="28"/>
          <w:szCs w:val="28"/>
        </w:rPr>
      </w:pPr>
      <w:r w:rsidRPr="00D820D1">
        <w:rPr>
          <w:b/>
          <w:sz w:val="28"/>
          <w:szCs w:val="28"/>
        </w:rPr>
        <w:t>ORDIN</w:t>
      </w:r>
    </w:p>
    <w:p w:rsidR="00B67C5D" w:rsidRPr="00D820D1" w:rsidRDefault="00B67C5D" w:rsidP="00B67C5D">
      <w:pPr>
        <w:jc w:val="center"/>
      </w:pPr>
      <w:r w:rsidRPr="00D820D1">
        <w:t xml:space="preserve">“______”______20____                         </w:t>
      </w:r>
      <w:r w:rsidRPr="00D820D1">
        <w:rPr>
          <w:sz w:val="28"/>
          <w:szCs w:val="28"/>
        </w:rPr>
        <w:t>or.Chişinău</w:t>
      </w:r>
      <w:r w:rsidRPr="00D820D1">
        <w:t xml:space="preserve">                                                Nr._____</w:t>
      </w:r>
    </w:p>
    <w:p w:rsidR="002D0811" w:rsidRDefault="002D0811" w:rsidP="00B67C5D">
      <w:pPr>
        <w:jc w:val="center"/>
        <w:rPr>
          <w:sz w:val="28"/>
          <w:szCs w:val="28"/>
        </w:rPr>
      </w:pPr>
    </w:p>
    <w:p w:rsidR="002E5C6F" w:rsidRPr="00353C30" w:rsidRDefault="002E5C6F" w:rsidP="002E5C6F">
      <w:pPr>
        <w:pStyle w:val="tt"/>
        <w:jc w:val="both"/>
        <w:rPr>
          <w:b w:val="0"/>
          <w:bCs w:val="0"/>
          <w:i/>
          <w:lang w:val="ro-RO"/>
        </w:rPr>
      </w:pPr>
      <w:r>
        <w:rPr>
          <w:b w:val="0"/>
          <w:bCs w:val="0"/>
          <w:i/>
        </w:rPr>
        <w:t xml:space="preserve">Cu </w:t>
      </w:r>
      <w:r w:rsidRPr="00353C30">
        <w:rPr>
          <w:b w:val="0"/>
          <w:bCs w:val="0"/>
          <w:i/>
          <w:lang w:val="ro-RO"/>
        </w:rPr>
        <w:t xml:space="preserve">privire la modificarea </w:t>
      </w:r>
      <w:r w:rsidR="00353C30" w:rsidRPr="00353C30">
        <w:rPr>
          <w:b w:val="0"/>
          <w:bCs w:val="0"/>
          <w:i/>
          <w:lang w:val="ro-RO"/>
        </w:rPr>
        <w:t>anexei</w:t>
      </w:r>
      <w:r w:rsidR="00353C30">
        <w:rPr>
          <w:b w:val="0"/>
          <w:bCs w:val="0"/>
          <w:i/>
          <w:lang w:val="ro-RO"/>
        </w:rPr>
        <w:t xml:space="preserve"> </w:t>
      </w:r>
      <w:r w:rsidR="00353C30" w:rsidRPr="00353C30">
        <w:rPr>
          <w:b w:val="0"/>
          <w:bCs w:val="0"/>
          <w:i/>
          <w:lang w:val="ro-RO"/>
        </w:rPr>
        <w:t>nr</w:t>
      </w:r>
      <w:r w:rsidR="00353C30">
        <w:rPr>
          <w:b w:val="0"/>
          <w:bCs w:val="0"/>
          <w:i/>
        </w:rPr>
        <w:t xml:space="preserve">.2 </w:t>
      </w:r>
      <w:r w:rsidR="00353C30" w:rsidRPr="00353C30">
        <w:rPr>
          <w:b w:val="0"/>
          <w:bCs w:val="0"/>
          <w:i/>
          <w:lang w:val="ro-RO"/>
        </w:rPr>
        <w:t xml:space="preserve">la </w:t>
      </w:r>
      <w:r w:rsidRPr="00353C30">
        <w:rPr>
          <w:b w:val="0"/>
          <w:bCs w:val="0"/>
          <w:i/>
          <w:lang w:val="ro-RO"/>
        </w:rPr>
        <w:t>O</w:t>
      </w:r>
      <w:r w:rsidR="00353C30" w:rsidRPr="00353C30">
        <w:rPr>
          <w:b w:val="0"/>
          <w:bCs w:val="0"/>
          <w:i/>
          <w:lang w:val="ro-RO"/>
        </w:rPr>
        <w:t>rdinul</w:t>
      </w:r>
    </w:p>
    <w:p w:rsidR="002E5C6F" w:rsidRPr="00102643" w:rsidRDefault="002E5C6F" w:rsidP="002E5C6F">
      <w:pPr>
        <w:pStyle w:val="tt"/>
        <w:jc w:val="both"/>
        <w:rPr>
          <w:b w:val="0"/>
          <w:bCs w:val="0"/>
          <w:i/>
        </w:rPr>
      </w:pPr>
      <w:r w:rsidRPr="00353C30">
        <w:rPr>
          <w:b w:val="0"/>
          <w:bCs w:val="0"/>
          <w:i/>
          <w:lang w:val="ro-RO"/>
        </w:rPr>
        <w:t>ministrului f</w:t>
      </w:r>
      <w:r w:rsidR="00153C67" w:rsidRPr="00353C30">
        <w:rPr>
          <w:b w:val="0"/>
          <w:bCs w:val="0"/>
          <w:i/>
          <w:lang w:val="ro-RO"/>
        </w:rPr>
        <w:t>inanțelor nr.5</w:t>
      </w:r>
      <w:r w:rsidRPr="00353C30">
        <w:rPr>
          <w:b w:val="0"/>
          <w:bCs w:val="0"/>
          <w:i/>
          <w:lang w:val="ro-RO"/>
        </w:rPr>
        <w:t xml:space="preserve"> din </w:t>
      </w:r>
      <w:r w:rsidR="00153C67" w:rsidRPr="00353C30">
        <w:rPr>
          <w:b w:val="0"/>
          <w:bCs w:val="0"/>
          <w:i/>
          <w:lang w:val="ro-RO"/>
        </w:rPr>
        <w:t>11 ianuarie</w:t>
      </w:r>
      <w:r w:rsidRPr="00102643">
        <w:rPr>
          <w:b w:val="0"/>
          <w:bCs w:val="0"/>
          <w:i/>
        </w:rPr>
        <w:t xml:space="preserve"> 2017</w:t>
      </w:r>
      <w:r>
        <w:rPr>
          <w:b w:val="0"/>
          <w:bCs w:val="0"/>
          <w:i/>
        </w:rPr>
        <w:t>.</w:t>
      </w:r>
      <w:r w:rsidRPr="00102643">
        <w:rPr>
          <w:b w:val="0"/>
          <w:bCs w:val="0"/>
          <w:i/>
        </w:rPr>
        <w:t xml:space="preserve"> </w:t>
      </w:r>
    </w:p>
    <w:p w:rsidR="002E5C6F" w:rsidRPr="00102643" w:rsidRDefault="002E5C6F" w:rsidP="002E5C6F">
      <w:pPr>
        <w:pStyle w:val="NormalWeb"/>
        <w:rPr>
          <w:sz w:val="28"/>
          <w:szCs w:val="28"/>
        </w:rPr>
      </w:pPr>
    </w:p>
    <w:p w:rsidR="00153C67" w:rsidRPr="00153C67" w:rsidRDefault="00153C67" w:rsidP="00153C67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153C67">
        <w:rPr>
          <w:iCs/>
          <w:color w:val="000000" w:themeColor="text1"/>
          <w:sz w:val="28"/>
          <w:szCs w:val="28"/>
        </w:rPr>
        <w:t>Întru executarea prevederilor articolului 14 din Legea privind plata pentru poluarea mediului nr.1540-XIII din 25 februarie 1998 (Monitorul Oficial al Republicii Moldova, 1998, nr.54-55, art.378), cu modificările şi completările ulterioare,</w:t>
      </w:r>
    </w:p>
    <w:p w:rsidR="0094517C" w:rsidRPr="008F6BDE" w:rsidRDefault="0094517C" w:rsidP="0094517C">
      <w:pPr>
        <w:spacing w:line="276" w:lineRule="auto"/>
        <w:jc w:val="center"/>
        <w:rPr>
          <w:b/>
          <w:sz w:val="16"/>
          <w:szCs w:val="16"/>
        </w:rPr>
      </w:pPr>
      <w:r w:rsidRPr="00CD605B">
        <w:rPr>
          <w:b/>
          <w:sz w:val="28"/>
          <w:szCs w:val="28"/>
        </w:rPr>
        <w:t>ORDON:</w:t>
      </w:r>
    </w:p>
    <w:p w:rsidR="002E5C6F" w:rsidRPr="00301D7B" w:rsidRDefault="00353C30" w:rsidP="00301D7B">
      <w:pPr>
        <w:pStyle w:val="pb"/>
        <w:ind w:firstLine="567"/>
        <w:jc w:val="both"/>
        <w:rPr>
          <w:i w:val="0"/>
          <w:color w:val="000000" w:themeColor="text1"/>
          <w:sz w:val="28"/>
          <w:szCs w:val="28"/>
          <w:lang w:eastAsia="ru-RU"/>
        </w:rPr>
      </w:pPr>
      <w:r w:rsidRPr="00353C30">
        <w:rPr>
          <w:bCs/>
          <w:i w:val="0"/>
          <w:color w:val="000000" w:themeColor="text1"/>
          <w:sz w:val="28"/>
          <w:szCs w:val="28"/>
          <w:lang w:val="ro-RO" w:eastAsia="ru-RU"/>
        </w:rPr>
        <w:t>Anexa nr.2 la Ordinul</w:t>
      </w:r>
      <w:r w:rsidR="002E5C6F" w:rsidRPr="00353C30">
        <w:rPr>
          <w:bCs/>
          <w:i w:val="0"/>
          <w:color w:val="000000" w:themeColor="text1"/>
          <w:sz w:val="28"/>
          <w:szCs w:val="28"/>
          <w:lang w:val="ro-RO" w:eastAsia="ru-RU"/>
        </w:rPr>
        <w:t xml:space="preserve"> ministrului finanțelor nr.</w:t>
      </w:r>
      <w:r w:rsidR="00301D7B" w:rsidRPr="00353C30">
        <w:rPr>
          <w:bCs/>
          <w:i w:val="0"/>
          <w:color w:val="000000" w:themeColor="text1"/>
          <w:sz w:val="28"/>
          <w:szCs w:val="28"/>
          <w:lang w:val="ro-RO" w:eastAsia="ru-RU"/>
        </w:rPr>
        <w:t>5 din 11 ianuarie</w:t>
      </w:r>
      <w:r w:rsidR="002E5C6F" w:rsidRPr="00353C30">
        <w:rPr>
          <w:bCs/>
          <w:i w:val="0"/>
          <w:color w:val="000000" w:themeColor="text1"/>
          <w:sz w:val="28"/>
          <w:szCs w:val="28"/>
          <w:lang w:val="ro-RO" w:eastAsia="ru-RU"/>
        </w:rPr>
        <w:t xml:space="preserve"> 2017 </w:t>
      </w:r>
      <w:r w:rsidR="00301D7B" w:rsidRPr="00353C30">
        <w:rPr>
          <w:i w:val="0"/>
          <w:color w:val="000000" w:themeColor="text1"/>
          <w:sz w:val="28"/>
          <w:szCs w:val="28"/>
          <w:lang w:val="ro-RO" w:eastAsia="ru-RU"/>
        </w:rPr>
        <w:t>despre aprobarea formularului Dării de seamă privind taxa pentru mărfurile care, în procesul utilizării, cauzează poluarea mediului şi a Instrucţiunii de completare a acesteia</w:t>
      </w:r>
      <w:r w:rsidR="002E5C6F" w:rsidRPr="00353C30">
        <w:rPr>
          <w:bCs/>
          <w:i w:val="0"/>
          <w:color w:val="000000" w:themeColor="text1"/>
          <w:sz w:val="28"/>
          <w:szCs w:val="28"/>
          <w:lang w:val="ro-RO" w:eastAsia="ru-RU"/>
        </w:rPr>
        <w:t>, (</w:t>
      </w:r>
      <w:r w:rsidR="00301D7B" w:rsidRPr="00353C30">
        <w:rPr>
          <w:i w:val="0"/>
          <w:iCs w:val="0"/>
          <w:color w:val="000000" w:themeColor="text1"/>
          <w:sz w:val="28"/>
          <w:szCs w:val="28"/>
          <w:lang w:val="ro-RO" w:eastAsia="ru-RU"/>
        </w:rPr>
        <w:t>Monitorul Oficial al Republicii Moldova</w:t>
      </w:r>
      <w:r w:rsidRPr="00353C30">
        <w:rPr>
          <w:i w:val="0"/>
          <w:iCs w:val="0"/>
          <w:color w:val="000000" w:themeColor="text1"/>
          <w:sz w:val="28"/>
          <w:szCs w:val="28"/>
          <w:lang w:val="ro-RO" w:eastAsia="ru-RU"/>
        </w:rPr>
        <w:t>, 2017,</w:t>
      </w:r>
      <w:r w:rsidR="00301D7B" w:rsidRPr="00353C30">
        <w:rPr>
          <w:i w:val="0"/>
          <w:iCs w:val="0"/>
          <w:color w:val="000000" w:themeColor="text1"/>
          <w:sz w:val="28"/>
          <w:szCs w:val="28"/>
          <w:lang w:val="ro-RO" w:eastAsia="ru-RU"/>
        </w:rPr>
        <w:t xml:space="preserve"> nr.30-39 art. 94)</w:t>
      </w:r>
      <w:r w:rsidRPr="00353C30">
        <w:rPr>
          <w:i w:val="0"/>
          <w:iCs w:val="0"/>
          <w:color w:val="000000" w:themeColor="text1"/>
          <w:sz w:val="28"/>
          <w:szCs w:val="28"/>
          <w:lang w:val="ro-RO" w:eastAsia="ru-RU"/>
        </w:rPr>
        <w:t>,</w:t>
      </w:r>
      <w:r w:rsidR="00301D7B" w:rsidRPr="00353C30">
        <w:rPr>
          <w:i w:val="0"/>
          <w:iCs w:val="0"/>
          <w:color w:val="000000" w:themeColor="text1"/>
          <w:sz w:val="28"/>
          <w:szCs w:val="28"/>
          <w:lang w:val="ro-RO" w:eastAsia="ru-RU"/>
        </w:rPr>
        <w:t xml:space="preserve"> </w:t>
      </w:r>
      <w:r w:rsidR="002E5C6F" w:rsidRPr="00353C30">
        <w:rPr>
          <w:i w:val="0"/>
          <w:color w:val="000000" w:themeColor="text1"/>
          <w:sz w:val="28"/>
          <w:szCs w:val="28"/>
          <w:lang w:val="ro-RO" w:eastAsia="ru-RU"/>
        </w:rPr>
        <w:t xml:space="preserve">se modifică </w:t>
      </w:r>
      <w:r w:rsidR="00301D7B" w:rsidRPr="00353C30">
        <w:rPr>
          <w:i w:val="0"/>
          <w:color w:val="000000" w:themeColor="text1"/>
          <w:sz w:val="28"/>
          <w:szCs w:val="28"/>
          <w:lang w:val="ro-RO" w:eastAsia="ru-RU"/>
        </w:rPr>
        <w:t>și</w:t>
      </w:r>
      <w:r w:rsidR="00301D7B" w:rsidRPr="00301D7B">
        <w:rPr>
          <w:i w:val="0"/>
          <w:color w:val="000000" w:themeColor="text1"/>
          <w:sz w:val="28"/>
          <w:szCs w:val="28"/>
          <w:lang w:eastAsia="ru-RU"/>
        </w:rPr>
        <w:t xml:space="preserve"> se completează </w:t>
      </w:r>
      <w:r w:rsidR="002E5C6F" w:rsidRPr="00301D7B">
        <w:rPr>
          <w:i w:val="0"/>
          <w:color w:val="000000" w:themeColor="text1"/>
          <w:sz w:val="28"/>
          <w:szCs w:val="28"/>
          <w:lang w:eastAsia="ru-RU"/>
        </w:rPr>
        <w:t>după cum urmează:</w:t>
      </w:r>
    </w:p>
    <w:p w:rsidR="003F4E44" w:rsidRDefault="00C75D83" w:rsidP="00C75D83">
      <w:pPr>
        <w:pStyle w:val="ListParagraph"/>
        <w:numPr>
          <w:ilvl w:val="0"/>
          <w:numId w:val="4"/>
        </w:numPr>
        <w:ind w:left="0" w:firstLine="567"/>
        <w:jc w:val="both"/>
        <w:rPr>
          <w:iCs/>
          <w:color w:val="000000" w:themeColor="text1"/>
          <w:sz w:val="28"/>
          <w:szCs w:val="28"/>
        </w:rPr>
      </w:pPr>
      <w:r w:rsidRPr="00C75D83">
        <w:rPr>
          <w:iCs/>
          <w:color w:val="000000" w:themeColor="text1"/>
          <w:sz w:val="28"/>
          <w:szCs w:val="28"/>
        </w:rPr>
        <w:t xml:space="preserve">Punctul 2 </w:t>
      </w:r>
      <w:r w:rsidR="00301D7B" w:rsidRPr="00C75D83">
        <w:rPr>
          <w:iCs/>
          <w:color w:val="000000" w:themeColor="text1"/>
          <w:sz w:val="28"/>
          <w:szCs w:val="28"/>
        </w:rPr>
        <w:t>se expune în următoarea redacție</w:t>
      </w:r>
      <w:r w:rsidR="003F4E44">
        <w:rPr>
          <w:iCs/>
          <w:color w:val="000000" w:themeColor="text1"/>
          <w:sz w:val="28"/>
          <w:szCs w:val="28"/>
        </w:rPr>
        <w:t>:</w:t>
      </w:r>
    </w:p>
    <w:p w:rsidR="00E03869" w:rsidRDefault="00301D7B" w:rsidP="00E03869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BF088F">
        <w:rPr>
          <w:iCs/>
          <w:color w:val="000000" w:themeColor="text1"/>
          <w:sz w:val="28"/>
          <w:szCs w:val="28"/>
        </w:rPr>
        <w:t>,,</w:t>
      </w:r>
      <w:r w:rsidR="00A917A1" w:rsidRPr="00BF088F">
        <w:rPr>
          <w:sz w:val="28"/>
          <w:szCs w:val="28"/>
        </w:rPr>
        <w:t xml:space="preserve"> </w:t>
      </w:r>
      <w:r w:rsidR="00BF088F" w:rsidRPr="00BF088F">
        <w:rPr>
          <w:sz w:val="28"/>
          <w:szCs w:val="28"/>
        </w:rPr>
        <w:t xml:space="preserve">2. </w:t>
      </w:r>
      <w:r w:rsidR="00A917A1" w:rsidRPr="00BF088F">
        <w:rPr>
          <w:iCs/>
          <w:color w:val="000000" w:themeColor="text1"/>
          <w:sz w:val="28"/>
          <w:szCs w:val="28"/>
        </w:rPr>
        <w:t>Obligaţia</w:t>
      </w:r>
      <w:r w:rsidR="00A917A1" w:rsidRPr="00A917A1">
        <w:rPr>
          <w:iCs/>
          <w:color w:val="000000" w:themeColor="text1"/>
          <w:sz w:val="28"/>
          <w:szCs w:val="28"/>
        </w:rPr>
        <w:t xml:space="preserve"> de prezentare a Dării de seamă privind taxa pentru mărfurile care, în procesul utilizării, cauzează poluarea mediului o au </w:t>
      </w:r>
      <w:r w:rsidR="00115FF7" w:rsidRPr="003F4E44">
        <w:rPr>
          <w:iCs/>
          <w:color w:val="000000" w:themeColor="text1"/>
          <w:sz w:val="28"/>
          <w:szCs w:val="28"/>
        </w:rPr>
        <w:t>persoanele juridice, indiferent de tipul de proprietate şi forma juridică de organizare, şi persoanele fizice care desfăşoară activitate de întreprinzător, sub orice formă stabilită de legislaţie, şi care</w:t>
      </w:r>
      <w:r w:rsidR="00E03869">
        <w:rPr>
          <w:iCs/>
          <w:color w:val="000000" w:themeColor="text1"/>
          <w:sz w:val="28"/>
          <w:szCs w:val="28"/>
        </w:rPr>
        <w:t xml:space="preserve"> p</w:t>
      </w:r>
      <w:r w:rsidR="00115FF7" w:rsidRPr="00E03869">
        <w:rPr>
          <w:iCs/>
          <w:color w:val="000000" w:themeColor="text1"/>
          <w:sz w:val="28"/>
          <w:szCs w:val="28"/>
        </w:rPr>
        <w:t>roduc</w:t>
      </w:r>
      <w:r w:rsidR="00E03869" w:rsidRPr="00E03869">
        <w:rPr>
          <w:iCs/>
          <w:color w:val="000000" w:themeColor="text1"/>
          <w:sz w:val="28"/>
          <w:szCs w:val="28"/>
        </w:rPr>
        <w:t>, importă, procură de la persoane fizice şi juridice de pe teritoriul Republicii Moldova care nu au relaţii fiscale cu sistemul bugetar al acesteia</w:t>
      </w:r>
      <w:r w:rsidR="00E03869">
        <w:rPr>
          <w:iCs/>
          <w:color w:val="000000" w:themeColor="text1"/>
          <w:sz w:val="28"/>
          <w:szCs w:val="28"/>
        </w:rPr>
        <w:t>:</w:t>
      </w:r>
    </w:p>
    <w:p w:rsidR="00115FF7" w:rsidRPr="00E03869" w:rsidRDefault="00E03869" w:rsidP="00E16603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E03869">
        <w:rPr>
          <w:iCs/>
          <w:color w:val="000000" w:themeColor="text1"/>
          <w:sz w:val="28"/>
          <w:szCs w:val="28"/>
        </w:rPr>
        <w:t xml:space="preserve">- </w:t>
      </w:r>
      <w:r w:rsidR="00115FF7" w:rsidRPr="00E03869">
        <w:rPr>
          <w:iCs/>
          <w:color w:val="000000" w:themeColor="text1"/>
          <w:sz w:val="28"/>
          <w:szCs w:val="28"/>
        </w:rPr>
        <w:t>mărfuri</w:t>
      </w:r>
      <w:r w:rsidR="00301D7B" w:rsidRPr="00E03869">
        <w:rPr>
          <w:iCs/>
          <w:color w:val="000000" w:themeColor="text1"/>
          <w:sz w:val="28"/>
          <w:szCs w:val="28"/>
        </w:rPr>
        <w:t xml:space="preserve"> stabilite în anexa nr.8 din Lege</w:t>
      </w:r>
      <w:r w:rsidR="00115FF7" w:rsidRPr="00E03869">
        <w:rPr>
          <w:iCs/>
          <w:color w:val="000000" w:themeColor="text1"/>
          <w:sz w:val="28"/>
          <w:szCs w:val="28"/>
        </w:rPr>
        <w:t>;</w:t>
      </w:r>
      <w:r w:rsidR="00C75D83" w:rsidRPr="00E03869">
        <w:rPr>
          <w:iCs/>
          <w:color w:val="000000" w:themeColor="text1"/>
          <w:sz w:val="28"/>
          <w:szCs w:val="28"/>
        </w:rPr>
        <w:t xml:space="preserve"> </w:t>
      </w:r>
    </w:p>
    <w:p w:rsidR="00115FF7" w:rsidRPr="00E03869" w:rsidRDefault="00E03869" w:rsidP="00E16603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E03869">
        <w:rPr>
          <w:iCs/>
          <w:color w:val="000000" w:themeColor="text1"/>
          <w:sz w:val="28"/>
          <w:szCs w:val="28"/>
        </w:rPr>
        <w:t>-</w:t>
      </w:r>
      <w:r w:rsidR="00C75D83" w:rsidRPr="00E03869">
        <w:rPr>
          <w:iCs/>
          <w:color w:val="000000" w:themeColor="text1"/>
          <w:sz w:val="28"/>
          <w:szCs w:val="28"/>
        </w:rPr>
        <w:t xml:space="preserve"> ambalaj primar din materiale plastice (clasificat la poziţiile tarifare 3923 21 000, 3923 29 şi 3923 30) care conţine produse</w:t>
      </w:r>
      <w:r w:rsidR="00115FF7" w:rsidRPr="00E03869">
        <w:rPr>
          <w:iCs/>
          <w:color w:val="000000" w:themeColor="text1"/>
          <w:sz w:val="28"/>
          <w:szCs w:val="28"/>
        </w:rPr>
        <w:t>;</w:t>
      </w:r>
    </w:p>
    <w:p w:rsidR="00115FF7" w:rsidRPr="00E03869" w:rsidRDefault="00E03869" w:rsidP="00E16603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E03869">
        <w:rPr>
          <w:iCs/>
          <w:color w:val="000000" w:themeColor="text1"/>
          <w:sz w:val="28"/>
          <w:szCs w:val="28"/>
        </w:rPr>
        <w:t>-</w:t>
      </w:r>
      <w:r w:rsidR="00C75D83" w:rsidRPr="00E03869">
        <w:rPr>
          <w:iCs/>
          <w:color w:val="000000" w:themeColor="text1"/>
          <w:sz w:val="28"/>
          <w:szCs w:val="28"/>
        </w:rPr>
        <w:t xml:space="preserve"> ambalaj primar compozit care conţine produse</w:t>
      </w:r>
      <w:r w:rsidR="00115FF7" w:rsidRPr="00E03869">
        <w:rPr>
          <w:iCs/>
          <w:color w:val="000000" w:themeColor="text1"/>
          <w:sz w:val="28"/>
          <w:szCs w:val="28"/>
        </w:rPr>
        <w:t>;</w:t>
      </w:r>
    </w:p>
    <w:p w:rsidR="00C75D83" w:rsidRPr="00E03869" w:rsidRDefault="00E03869" w:rsidP="00E16603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E03869">
        <w:rPr>
          <w:iCs/>
          <w:color w:val="000000" w:themeColor="text1"/>
          <w:sz w:val="28"/>
          <w:szCs w:val="28"/>
        </w:rPr>
        <w:t xml:space="preserve">- </w:t>
      </w:r>
      <w:r w:rsidR="00C75D83" w:rsidRPr="00E03869">
        <w:rPr>
          <w:iCs/>
          <w:color w:val="000000" w:themeColor="text1"/>
          <w:sz w:val="28"/>
          <w:szCs w:val="28"/>
        </w:rPr>
        <w:t xml:space="preserve"> ambalaj primar din aluminiu (clasificat la poziţia tarifară 7612) care conţine produse</w:t>
      </w:r>
      <w:r>
        <w:rPr>
          <w:iCs/>
          <w:color w:val="000000" w:themeColor="text1"/>
          <w:sz w:val="28"/>
          <w:szCs w:val="28"/>
        </w:rPr>
        <w:t>.”</w:t>
      </w:r>
    </w:p>
    <w:p w:rsidR="003F4E44" w:rsidRDefault="003F4E44" w:rsidP="008F6BDE">
      <w:pPr>
        <w:pStyle w:val="ListParagraph"/>
        <w:numPr>
          <w:ilvl w:val="0"/>
          <w:numId w:val="4"/>
        </w:numPr>
        <w:ind w:left="0" w:firstLine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Punctul 4 se expune în următoarea redacție:</w:t>
      </w:r>
    </w:p>
    <w:p w:rsidR="003F4E44" w:rsidRDefault="003F4E44" w:rsidP="008F6BDE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3F4E44">
        <w:rPr>
          <w:iCs/>
          <w:color w:val="000000" w:themeColor="text1"/>
          <w:sz w:val="28"/>
          <w:szCs w:val="28"/>
        </w:rPr>
        <w:t xml:space="preserve"> ,,</w:t>
      </w:r>
      <w:r w:rsidR="00BF088F">
        <w:rPr>
          <w:iCs/>
          <w:color w:val="000000" w:themeColor="text1"/>
          <w:sz w:val="28"/>
          <w:szCs w:val="28"/>
        </w:rPr>
        <w:t xml:space="preserve">4. </w:t>
      </w:r>
      <w:r w:rsidRPr="008F6BDE">
        <w:rPr>
          <w:iCs/>
          <w:color w:val="000000" w:themeColor="text1"/>
          <w:sz w:val="28"/>
          <w:szCs w:val="28"/>
        </w:rPr>
        <w:t>Dacă în luna de raportare subiecţii ce desfăşoară activitate de întreprinzător au avut operaţiuni pasibile taxării şi operaţiuni scutite c</w:t>
      </w:r>
      <w:r w:rsidR="00163C5B">
        <w:rPr>
          <w:iCs/>
          <w:color w:val="000000" w:themeColor="text1"/>
          <w:sz w:val="28"/>
          <w:szCs w:val="28"/>
        </w:rPr>
        <w:t>onform art.11 alin.(6) din Lege</w:t>
      </w:r>
      <w:r w:rsidR="008F6BDE" w:rsidRPr="008F6BDE">
        <w:rPr>
          <w:iCs/>
          <w:color w:val="000000" w:themeColor="text1"/>
          <w:sz w:val="28"/>
          <w:szCs w:val="28"/>
        </w:rPr>
        <w:t>,</w:t>
      </w:r>
      <w:r w:rsidRPr="008F6BDE">
        <w:rPr>
          <w:iCs/>
          <w:color w:val="000000" w:themeColor="text1"/>
          <w:sz w:val="28"/>
          <w:szCs w:val="28"/>
        </w:rPr>
        <w:t xml:space="preserve"> ei sînt </w:t>
      </w:r>
      <w:proofErr w:type="spellStart"/>
      <w:r w:rsidRPr="008F6BDE">
        <w:rPr>
          <w:iCs/>
          <w:color w:val="000000" w:themeColor="text1"/>
          <w:sz w:val="28"/>
          <w:szCs w:val="28"/>
        </w:rPr>
        <w:t>obligaţi</w:t>
      </w:r>
      <w:proofErr w:type="spellEnd"/>
      <w:r w:rsidRPr="008F6BDE">
        <w:rPr>
          <w:iCs/>
          <w:color w:val="000000" w:themeColor="text1"/>
          <w:sz w:val="28"/>
          <w:szCs w:val="28"/>
        </w:rPr>
        <w:t xml:space="preserve"> să prezinte darea de seamă pentru perioada fiscală de raportare.</w:t>
      </w:r>
    </w:p>
    <w:p w:rsidR="004B71C0" w:rsidRPr="004B71C0" w:rsidRDefault="004B71C0" w:rsidP="004B71C0">
      <w:pPr>
        <w:pStyle w:val="ListParagraph"/>
        <w:numPr>
          <w:ilvl w:val="0"/>
          <w:numId w:val="4"/>
        </w:numPr>
        <w:ind w:left="0" w:firstLine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În punctul 5 textul ,,art.11 alin.(4)” se substitu</w:t>
      </w:r>
      <w:r w:rsidR="00163C5B">
        <w:rPr>
          <w:iCs/>
          <w:color w:val="000000" w:themeColor="text1"/>
          <w:sz w:val="28"/>
          <w:szCs w:val="28"/>
        </w:rPr>
        <w:t>ie cu textul ,,art.11 alin.(6)”.</w:t>
      </w:r>
    </w:p>
    <w:p w:rsidR="00723978" w:rsidRDefault="00723978" w:rsidP="00723978">
      <w:pPr>
        <w:pStyle w:val="ListParagraph"/>
        <w:numPr>
          <w:ilvl w:val="0"/>
          <w:numId w:val="4"/>
        </w:numPr>
        <w:ind w:left="0" w:firstLine="567"/>
        <w:jc w:val="both"/>
        <w:rPr>
          <w:iCs/>
          <w:color w:val="000000" w:themeColor="text1"/>
          <w:sz w:val="28"/>
          <w:szCs w:val="28"/>
        </w:rPr>
      </w:pPr>
      <w:r w:rsidRPr="00723978">
        <w:rPr>
          <w:iCs/>
          <w:color w:val="000000" w:themeColor="text1"/>
          <w:sz w:val="28"/>
          <w:szCs w:val="28"/>
        </w:rPr>
        <w:t>În p</w:t>
      </w:r>
      <w:r w:rsidR="008F6BDE" w:rsidRPr="00723978">
        <w:rPr>
          <w:iCs/>
          <w:color w:val="000000" w:themeColor="text1"/>
          <w:sz w:val="28"/>
          <w:szCs w:val="28"/>
        </w:rPr>
        <w:t>unctul 7</w:t>
      </w:r>
      <w:r w:rsidR="00BF088F">
        <w:rPr>
          <w:iCs/>
          <w:color w:val="000000" w:themeColor="text1"/>
          <w:sz w:val="28"/>
          <w:szCs w:val="28"/>
        </w:rPr>
        <w:t>:</w:t>
      </w:r>
    </w:p>
    <w:p w:rsidR="00723978" w:rsidRDefault="00A85864" w:rsidP="00A85864">
      <w:pPr>
        <w:pStyle w:val="ListParagraph"/>
        <w:numPr>
          <w:ilvl w:val="1"/>
          <w:numId w:val="4"/>
        </w:numPr>
        <w:ind w:left="0" w:firstLine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</w:t>
      </w:r>
      <w:r w:rsidR="008A355D">
        <w:rPr>
          <w:iCs/>
          <w:color w:val="000000" w:themeColor="text1"/>
          <w:sz w:val="28"/>
          <w:szCs w:val="28"/>
        </w:rPr>
        <w:t>Î</w:t>
      </w:r>
      <w:r w:rsidR="00723978">
        <w:rPr>
          <w:iCs/>
          <w:color w:val="000000" w:themeColor="text1"/>
          <w:sz w:val="28"/>
          <w:szCs w:val="28"/>
        </w:rPr>
        <w:t xml:space="preserve">n </w:t>
      </w:r>
      <w:r w:rsidR="008F6BDE" w:rsidRPr="00723978">
        <w:rPr>
          <w:iCs/>
          <w:color w:val="000000" w:themeColor="text1"/>
          <w:sz w:val="28"/>
          <w:szCs w:val="28"/>
        </w:rPr>
        <w:t>subpunctul</w:t>
      </w:r>
      <w:r w:rsidR="00723978">
        <w:rPr>
          <w:iCs/>
          <w:color w:val="000000" w:themeColor="text1"/>
          <w:sz w:val="28"/>
          <w:szCs w:val="28"/>
        </w:rPr>
        <w:t>ui</w:t>
      </w:r>
      <w:r w:rsidR="008F6BDE" w:rsidRPr="00723978">
        <w:rPr>
          <w:iCs/>
          <w:color w:val="000000" w:themeColor="text1"/>
          <w:sz w:val="28"/>
          <w:szCs w:val="28"/>
        </w:rPr>
        <w:t xml:space="preserve"> 2)</w:t>
      </w:r>
      <w:r w:rsidR="00723978" w:rsidRPr="00723978"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sintagma ,,</w:t>
      </w:r>
      <w:r w:rsidR="00723978" w:rsidRPr="00723978">
        <w:rPr>
          <w:iCs/>
          <w:color w:val="000000" w:themeColor="text1"/>
          <w:sz w:val="28"/>
          <w:szCs w:val="28"/>
        </w:rPr>
        <w:t>11 alin.(3</w:t>
      </w:r>
      <w:r>
        <w:rPr>
          <w:iCs/>
          <w:color w:val="000000" w:themeColor="text1"/>
          <w:sz w:val="28"/>
          <w:szCs w:val="28"/>
        </w:rPr>
        <w:t>) pct.2</w:t>
      </w:r>
      <w:r w:rsidR="00163C5B">
        <w:rPr>
          <w:iCs/>
          <w:color w:val="000000" w:themeColor="text1"/>
          <w:sz w:val="28"/>
          <w:szCs w:val="28"/>
        </w:rPr>
        <w:t>)</w:t>
      </w:r>
      <w:r>
        <w:rPr>
          <w:iCs/>
          <w:color w:val="000000" w:themeColor="text1"/>
          <w:sz w:val="28"/>
          <w:szCs w:val="28"/>
        </w:rPr>
        <w:t xml:space="preserve">” se substituie cu sintagma </w:t>
      </w:r>
      <w:r w:rsidR="00723978" w:rsidRPr="00723978">
        <w:rPr>
          <w:iCs/>
          <w:color w:val="000000" w:themeColor="text1"/>
          <w:sz w:val="28"/>
          <w:szCs w:val="28"/>
        </w:rPr>
        <w:t>,,</w:t>
      </w:r>
      <w:r w:rsidR="006F008E" w:rsidRPr="00723978">
        <w:rPr>
          <w:iCs/>
          <w:color w:val="000000" w:themeColor="text1"/>
          <w:sz w:val="28"/>
          <w:szCs w:val="28"/>
        </w:rPr>
        <w:t>11 alin.(2)</w:t>
      </w:r>
      <w:r w:rsidR="00723978" w:rsidRPr="00723978">
        <w:rPr>
          <w:iCs/>
          <w:color w:val="000000" w:themeColor="text1"/>
          <w:sz w:val="28"/>
          <w:szCs w:val="28"/>
        </w:rPr>
        <w:t>”</w:t>
      </w:r>
      <w:r>
        <w:rPr>
          <w:iCs/>
          <w:color w:val="000000" w:themeColor="text1"/>
          <w:sz w:val="28"/>
          <w:szCs w:val="28"/>
        </w:rPr>
        <w:t xml:space="preserve"> în ambele cazuri</w:t>
      </w:r>
      <w:r w:rsidR="00723978">
        <w:rPr>
          <w:iCs/>
          <w:color w:val="000000" w:themeColor="text1"/>
          <w:sz w:val="28"/>
          <w:szCs w:val="28"/>
        </w:rPr>
        <w:t>;</w:t>
      </w:r>
    </w:p>
    <w:p w:rsidR="00EF5BA1" w:rsidRPr="008A355D" w:rsidRDefault="00A85864" w:rsidP="00A85864">
      <w:pPr>
        <w:pStyle w:val="ListParagraph"/>
        <w:numPr>
          <w:ilvl w:val="1"/>
          <w:numId w:val="4"/>
        </w:numPr>
        <w:ind w:left="0" w:firstLine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S</w:t>
      </w:r>
      <w:r w:rsidR="00A756FE" w:rsidRPr="008A355D">
        <w:rPr>
          <w:iCs/>
          <w:color w:val="000000" w:themeColor="text1"/>
          <w:sz w:val="28"/>
          <w:szCs w:val="28"/>
        </w:rPr>
        <w:t xml:space="preserve">ubpunctului </w:t>
      </w:r>
      <w:r w:rsidR="00EF5BA1" w:rsidRPr="008A355D">
        <w:rPr>
          <w:iCs/>
          <w:color w:val="000000" w:themeColor="text1"/>
          <w:sz w:val="28"/>
          <w:szCs w:val="28"/>
        </w:rPr>
        <w:t>6) se expun</w:t>
      </w:r>
      <w:r>
        <w:rPr>
          <w:iCs/>
          <w:color w:val="000000" w:themeColor="text1"/>
          <w:sz w:val="28"/>
          <w:szCs w:val="28"/>
        </w:rPr>
        <w:t>e</w:t>
      </w:r>
      <w:r w:rsidR="00EF5BA1" w:rsidRPr="008A355D">
        <w:rPr>
          <w:iCs/>
          <w:color w:val="000000" w:themeColor="text1"/>
          <w:sz w:val="28"/>
          <w:szCs w:val="28"/>
        </w:rPr>
        <w:t xml:space="preserve"> în următoarea redacție:</w:t>
      </w:r>
    </w:p>
    <w:p w:rsidR="00EF5BA1" w:rsidRPr="00EF5BA1" w:rsidRDefault="00EF5BA1" w:rsidP="00A85864">
      <w:pPr>
        <w:pStyle w:val="NormalWeb"/>
        <w:rPr>
          <w:iCs/>
          <w:color w:val="000000" w:themeColor="text1"/>
          <w:sz w:val="28"/>
          <w:szCs w:val="28"/>
          <w:lang w:eastAsia="ru-RU"/>
        </w:rPr>
      </w:pPr>
      <w:r>
        <w:rPr>
          <w:iCs/>
          <w:color w:val="000000" w:themeColor="text1"/>
          <w:sz w:val="28"/>
          <w:szCs w:val="28"/>
          <w:lang w:eastAsia="ru-RU"/>
        </w:rPr>
        <w:t>,,</w:t>
      </w:r>
      <w:r w:rsidRPr="00EF5BA1">
        <w:rPr>
          <w:iCs/>
          <w:color w:val="000000" w:themeColor="text1"/>
          <w:sz w:val="28"/>
          <w:szCs w:val="28"/>
          <w:lang w:eastAsia="ru-RU"/>
        </w:rPr>
        <w:t xml:space="preserve"> </w:t>
      </w:r>
      <w:r w:rsidR="00A85864" w:rsidRPr="00E546E7">
        <w:rPr>
          <w:b/>
          <w:iCs/>
          <w:color w:val="000000" w:themeColor="text1"/>
          <w:sz w:val="28"/>
          <w:szCs w:val="28"/>
          <w:lang w:eastAsia="ru-RU"/>
        </w:rPr>
        <w:t>6)</w:t>
      </w:r>
      <w:r w:rsidR="00A85864">
        <w:rPr>
          <w:iCs/>
          <w:color w:val="000000" w:themeColor="text1"/>
          <w:sz w:val="28"/>
          <w:szCs w:val="28"/>
          <w:lang w:eastAsia="ru-RU"/>
        </w:rPr>
        <w:t xml:space="preserve"> </w:t>
      </w:r>
      <w:r w:rsidRPr="00EF5BA1">
        <w:rPr>
          <w:iCs/>
          <w:color w:val="000000" w:themeColor="text1"/>
          <w:sz w:val="28"/>
          <w:szCs w:val="28"/>
          <w:lang w:eastAsia="ru-RU"/>
        </w:rPr>
        <w:t>în coloana 6 pentru mărfurile indicate în anexa nr.8 la Lege se indică:</w:t>
      </w:r>
    </w:p>
    <w:p w:rsidR="00EF5BA1" w:rsidRPr="00EF5BA1" w:rsidRDefault="00EF5BA1" w:rsidP="00A85864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EF5BA1">
        <w:rPr>
          <w:iCs/>
          <w:color w:val="000000" w:themeColor="text1"/>
          <w:sz w:val="28"/>
          <w:szCs w:val="28"/>
        </w:rPr>
        <w:t>a) pentru mărfurile imp</w:t>
      </w:r>
      <w:r w:rsidR="003E59D9">
        <w:rPr>
          <w:iCs/>
          <w:color w:val="000000" w:themeColor="text1"/>
          <w:sz w:val="28"/>
          <w:szCs w:val="28"/>
        </w:rPr>
        <w:t>ortate – valoarea facturată (</w:t>
      </w:r>
      <w:proofErr w:type="spellStart"/>
      <w:r w:rsidRPr="00EF5BA1">
        <w:rPr>
          <w:iCs/>
          <w:color w:val="000000" w:themeColor="text1"/>
          <w:sz w:val="28"/>
          <w:szCs w:val="28"/>
        </w:rPr>
        <w:t>invoice</w:t>
      </w:r>
      <w:proofErr w:type="spellEnd"/>
      <w:r w:rsidRPr="00EF5BA1">
        <w:rPr>
          <w:iCs/>
          <w:color w:val="000000" w:themeColor="text1"/>
          <w:sz w:val="28"/>
          <w:szCs w:val="28"/>
        </w:rPr>
        <w:t>) a acestora;</w:t>
      </w:r>
    </w:p>
    <w:p w:rsidR="00EF5BA1" w:rsidRPr="00EF5BA1" w:rsidRDefault="00EF5BA1" w:rsidP="00A85864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EF5BA1">
        <w:rPr>
          <w:iCs/>
          <w:color w:val="000000" w:themeColor="text1"/>
          <w:sz w:val="28"/>
          <w:szCs w:val="28"/>
        </w:rPr>
        <w:lastRenderedPageBreak/>
        <w:t>b) pentru mărfurile procurate de la persoane fizice şi juridice de pe teritoriul Republicii Moldova care nu au relaţii fiscale cu sistemul bugetar al acestora –valoarea de procurare a mărfurilor respective;</w:t>
      </w:r>
    </w:p>
    <w:p w:rsidR="00A85864" w:rsidRDefault="00EF5BA1" w:rsidP="00A85864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EF5BA1">
        <w:rPr>
          <w:iCs/>
          <w:color w:val="000000" w:themeColor="text1"/>
          <w:sz w:val="28"/>
          <w:szCs w:val="28"/>
        </w:rPr>
        <w:t>c) pentru mărfurile de fabricaţie proprie – valoarea livrării mărfurilor respective, fără T.V.A</w:t>
      </w:r>
      <w:r w:rsidR="008A355D">
        <w:rPr>
          <w:iCs/>
          <w:color w:val="000000" w:themeColor="text1"/>
          <w:sz w:val="28"/>
          <w:szCs w:val="28"/>
        </w:rPr>
        <w:t>;</w:t>
      </w:r>
      <w:r w:rsidR="00A85864">
        <w:rPr>
          <w:iCs/>
          <w:color w:val="000000" w:themeColor="text1"/>
          <w:sz w:val="28"/>
          <w:szCs w:val="28"/>
        </w:rPr>
        <w:t>”</w:t>
      </w:r>
    </w:p>
    <w:p w:rsidR="008A355D" w:rsidRDefault="00A85864" w:rsidP="00A85864">
      <w:pPr>
        <w:ind w:firstLine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3)</w:t>
      </w:r>
      <w:r>
        <w:rPr>
          <w:iCs/>
          <w:color w:val="000000" w:themeColor="text1"/>
          <w:sz w:val="28"/>
          <w:szCs w:val="28"/>
        </w:rPr>
        <w:tab/>
      </w:r>
      <w:r w:rsidR="008A355D">
        <w:rPr>
          <w:iCs/>
          <w:color w:val="000000" w:themeColor="text1"/>
          <w:sz w:val="28"/>
          <w:szCs w:val="28"/>
        </w:rPr>
        <w:t xml:space="preserve">În subpunctul 8) textul ,,în mărime de 2%” se substituie cu textul ,,în </w:t>
      </w:r>
      <w:r>
        <w:rPr>
          <w:iCs/>
          <w:color w:val="000000" w:themeColor="text1"/>
          <w:sz w:val="28"/>
          <w:szCs w:val="28"/>
        </w:rPr>
        <w:t>mărimea s</w:t>
      </w:r>
      <w:r w:rsidR="008A355D">
        <w:rPr>
          <w:iCs/>
          <w:color w:val="000000" w:themeColor="text1"/>
          <w:sz w:val="28"/>
          <w:szCs w:val="28"/>
        </w:rPr>
        <w:t xml:space="preserve">tabilită pentru fiecare </w:t>
      </w:r>
      <w:r>
        <w:rPr>
          <w:iCs/>
          <w:color w:val="000000" w:themeColor="text1"/>
          <w:sz w:val="28"/>
          <w:szCs w:val="28"/>
        </w:rPr>
        <w:t>tip de marfă</w:t>
      </w:r>
      <w:r w:rsidR="008A355D">
        <w:rPr>
          <w:iCs/>
          <w:color w:val="000000" w:themeColor="text1"/>
          <w:sz w:val="28"/>
          <w:szCs w:val="28"/>
        </w:rPr>
        <w:t>”;</w:t>
      </w:r>
    </w:p>
    <w:p w:rsidR="00E742E4" w:rsidRDefault="00A85864" w:rsidP="008A355D">
      <w:pPr>
        <w:ind w:firstLine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4)</w:t>
      </w:r>
      <w:r>
        <w:rPr>
          <w:iCs/>
          <w:color w:val="000000" w:themeColor="text1"/>
          <w:sz w:val="28"/>
          <w:szCs w:val="28"/>
        </w:rPr>
        <w:tab/>
        <w:t xml:space="preserve">Subpunctele </w:t>
      </w:r>
      <w:r w:rsidR="00E742E4">
        <w:rPr>
          <w:iCs/>
          <w:color w:val="000000" w:themeColor="text1"/>
          <w:sz w:val="28"/>
          <w:szCs w:val="28"/>
        </w:rPr>
        <w:t>9</w:t>
      </w:r>
      <w:r>
        <w:rPr>
          <w:iCs/>
          <w:color w:val="000000" w:themeColor="text1"/>
          <w:sz w:val="28"/>
          <w:szCs w:val="28"/>
        </w:rPr>
        <w:t>, 10 și 11 se expun</w:t>
      </w:r>
      <w:r w:rsidR="00E742E4">
        <w:rPr>
          <w:iCs/>
          <w:color w:val="000000" w:themeColor="text1"/>
          <w:sz w:val="28"/>
          <w:szCs w:val="28"/>
        </w:rPr>
        <w:t xml:space="preserve"> în următoarea redacție:</w:t>
      </w:r>
    </w:p>
    <w:p w:rsidR="00E742E4" w:rsidRPr="00E742E4" w:rsidRDefault="00E742E4" w:rsidP="008A355D">
      <w:pPr>
        <w:ind w:firstLine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,,</w:t>
      </w:r>
      <w:r w:rsidRPr="00E742E4">
        <w:rPr>
          <w:iCs/>
          <w:color w:val="000000" w:themeColor="text1"/>
          <w:sz w:val="28"/>
          <w:szCs w:val="28"/>
        </w:rPr>
        <w:t xml:space="preserve"> </w:t>
      </w:r>
      <w:r w:rsidR="00A85864" w:rsidRPr="00E546E7">
        <w:rPr>
          <w:b/>
          <w:iCs/>
          <w:color w:val="000000" w:themeColor="text1"/>
          <w:sz w:val="28"/>
          <w:szCs w:val="28"/>
        </w:rPr>
        <w:t>9)</w:t>
      </w:r>
      <w:r w:rsidR="00A85864">
        <w:rPr>
          <w:iCs/>
          <w:color w:val="000000" w:themeColor="text1"/>
          <w:sz w:val="28"/>
          <w:szCs w:val="28"/>
        </w:rPr>
        <w:t xml:space="preserve"> </w:t>
      </w:r>
      <w:r w:rsidRPr="00E742E4">
        <w:rPr>
          <w:iCs/>
          <w:color w:val="000000" w:themeColor="text1"/>
          <w:sz w:val="28"/>
          <w:szCs w:val="28"/>
        </w:rPr>
        <w:t>în coloana 9</w:t>
      </w:r>
      <w:r w:rsidR="00A85864">
        <w:rPr>
          <w:iCs/>
          <w:color w:val="000000" w:themeColor="text1"/>
          <w:sz w:val="28"/>
          <w:szCs w:val="28"/>
        </w:rPr>
        <w:t xml:space="preserve"> </w:t>
      </w:r>
      <w:r w:rsidRPr="00E742E4">
        <w:rPr>
          <w:iCs/>
          <w:color w:val="000000" w:themeColor="text1"/>
          <w:sz w:val="28"/>
          <w:szCs w:val="28"/>
        </w:rPr>
        <w:t>se indică în lei separat pentru fiecare tip de capacitate</w:t>
      </w:r>
      <w:r w:rsidR="00C85026">
        <w:rPr>
          <w:iCs/>
          <w:color w:val="000000" w:themeColor="text1"/>
          <w:sz w:val="28"/>
          <w:szCs w:val="28"/>
        </w:rPr>
        <w:t>/greutate</w:t>
      </w:r>
      <w:r w:rsidRPr="00E742E4">
        <w:rPr>
          <w:iCs/>
          <w:color w:val="000000" w:themeColor="text1"/>
          <w:sz w:val="28"/>
          <w:szCs w:val="28"/>
        </w:rPr>
        <w:t xml:space="preserve"> </w:t>
      </w:r>
      <w:r w:rsidR="002F7ECC">
        <w:rPr>
          <w:iCs/>
          <w:color w:val="000000" w:themeColor="text1"/>
          <w:sz w:val="28"/>
          <w:szCs w:val="28"/>
        </w:rPr>
        <w:t xml:space="preserve">de ambalaj </w:t>
      </w:r>
      <w:r w:rsidR="00163C5B">
        <w:rPr>
          <w:iCs/>
          <w:color w:val="000000" w:themeColor="text1"/>
          <w:sz w:val="28"/>
          <w:szCs w:val="28"/>
        </w:rPr>
        <w:t>indicat</w:t>
      </w:r>
      <w:r w:rsidRPr="00E742E4">
        <w:rPr>
          <w:iCs/>
          <w:color w:val="000000" w:themeColor="text1"/>
          <w:sz w:val="28"/>
          <w:szCs w:val="28"/>
        </w:rPr>
        <w:t xml:space="preserve"> în coloana 7, cota taxei pentru ambalajul </w:t>
      </w:r>
      <w:r w:rsidR="00A85864">
        <w:rPr>
          <w:iCs/>
          <w:color w:val="000000" w:themeColor="text1"/>
          <w:sz w:val="28"/>
          <w:szCs w:val="28"/>
        </w:rPr>
        <w:t>care conține produse</w:t>
      </w:r>
      <w:r w:rsidR="002F7ECC">
        <w:rPr>
          <w:iCs/>
          <w:color w:val="000000" w:themeColor="text1"/>
          <w:sz w:val="28"/>
          <w:szCs w:val="28"/>
        </w:rPr>
        <w:t>,</w:t>
      </w:r>
      <w:r w:rsidR="00A85864">
        <w:rPr>
          <w:iCs/>
          <w:color w:val="000000" w:themeColor="text1"/>
          <w:sz w:val="28"/>
          <w:szCs w:val="28"/>
        </w:rPr>
        <w:t xml:space="preserve"> aprobată conform art.11 alin.(4) pct.2), 3) și 4) din Lege.”;</w:t>
      </w:r>
    </w:p>
    <w:p w:rsidR="00B2503E" w:rsidRPr="00CB2126" w:rsidRDefault="00B2503E" w:rsidP="00B2503E">
      <w:pPr>
        <w:pStyle w:val="NormalWeb"/>
        <w:rPr>
          <w:sz w:val="28"/>
          <w:szCs w:val="28"/>
          <w:lang w:eastAsia="ru-RU"/>
        </w:rPr>
      </w:pPr>
      <w:r w:rsidRPr="00CB2126">
        <w:rPr>
          <w:sz w:val="28"/>
          <w:szCs w:val="28"/>
        </w:rPr>
        <w:t>,,</w:t>
      </w:r>
      <w:r w:rsidRPr="00CB2126">
        <w:rPr>
          <w:rFonts w:ascii="Arial" w:hAnsi="Arial" w:cs="Arial"/>
        </w:rPr>
        <w:t xml:space="preserve"> </w:t>
      </w:r>
      <w:r w:rsidR="00A85864" w:rsidRPr="00E546E7">
        <w:rPr>
          <w:b/>
          <w:sz w:val="28"/>
          <w:szCs w:val="28"/>
          <w:lang w:eastAsia="ru-RU"/>
        </w:rPr>
        <w:t>10)</w:t>
      </w:r>
      <w:r w:rsidR="00A85864">
        <w:rPr>
          <w:rFonts w:ascii="Arial" w:hAnsi="Arial" w:cs="Arial"/>
        </w:rPr>
        <w:t xml:space="preserve"> </w:t>
      </w:r>
      <w:r w:rsidRPr="00CB2126">
        <w:rPr>
          <w:sz w:val="28"/>
          <w:szCs w:val="28"/>
          <w:lang w:eastAsia="ru-RU"/>
        </w:rPr>
        <w:t>în coloana 10</w:t>
      </w:r>
      <w:r w:rsidR="00FC4F5D">
        <w:rPr>
          <w:sz w:val="28"/>
          <w:szCs w:val="28"/>
          <w:lang w:eastAsia="ru-RU"/>
        </w:rPr>
        <w:t>,</w:t>
      </w:r>
      <w:r w:rsidRPr="00CB2126">
        <w:rPr>
          <w:sz w:val="28"/>
          <w:szCs w:val="28"/>
          <w:lang w:eastAsia="ru-RU"/>
        </w:rPr>
        <w:t xml:space="preserve"> </w:t>
      </w:r>
      <w:r w:rsidR="00FC4F5D">
        <w:rPr>
          <w:sz w:val="28"/>
          <w:szCs w:val="28"/>
          <w:lang w:eastAsia="ru-RU"/>
        </w:rPr>
        <w:t xml:space="preserve">în cazul efectuării </w:t>
      </w:r>
      <w:proofErr w:type="spellStart"/>
      <w:r w:rsidR="00FC4F5D">
        <w:rPr>
          <w:sz w:val="28"/>
          <w:szCs w:val="28"/>
          <w:lang w:eastAsia="ru-RU"/>
        </w:rPr>
        <w:t>operaţiunilor</w:t>
      </w:r>
      <w:proofErr w:type="spellEnd"/>
      <w:r w:rsidRPr="00CB2126">
        <w:rPr>
          <w:sz w:val="28"/>
          <w:szCs w:val="28"/>
          <w:lang w:eastAsia="ru-RU"/>
        </w:rPr>
        <w:t xml:space="preserve"> scutite de taxă</w:t>
      </w:r>
      <w:r w:rsidR="00FC4F5D">
        <w:rPr>
          <w:sz w:val="28"/>
          <w:szCs w:val="28"/>
          <w:lang w:eastAsia="ru-RU"/>
        </w:rPr>
        <w:t>,</w:t>
      </w:r>
      <w:r w:rsidRPr="00CB2126">
        <w:rPr>
          <w:sz w:val="28"/>
          <w:szCs w:val="28"/>
          <w:lang w:eastAsia="ru-RU"/>
        </w:rPr>
        <w:t xml:space="preserve"> conform articolului 11 alin.(6) din Lege</w:t>
      </w:r>
      <w:r w:rsidR="00FC4F5D">
        <w:rPr>
          <w:sz w:val="28"/>
          <w:szCs w:val="28"/>
          <w:lang w:eastAsia="ru-RU"/>
        </w:rPr>
        <w:t>,</w:t>
      </w:r>
      <w:r w:rsidRPr="00CB2126">
        <w:rPr>
          <w:sz w:val="28"/>
          <w:szCs w:val="28"/>
          <w:lang w:eastAsia="ru-RU"/>
        </w:rPr>
        <w:t xml:space="preserve"> se indică codul </w:t>
      </w:r>
      <w:proofErr w:type="spellStart"/>
      <w:r w:rsidRPr="00CB2126">
        <w:rPr>
          <w:sz w:val="28"/>
          <w:szCs w:val="28"/>
          <w:lang w:eastAsia="ru-RU"/>
        </w:rPr>
        <w:t>facilităţii</w:t>
      </w:r>
      <w:proofErr w:type="spellEnd"/>
      <w:r w:rsidRPr="00CB2126">
        <w:rPr>
          <w:sz w:val="28"/>
          <w:szCs w:val="28"/>
          <w:lang w:eastAsia="ru-RU"/>
        </w:rPr>
        <w:t xml:space="preserve"> după cum urmează:</w:t>
      </w:r>
    </w:p>
    <w:p w:rsidR="00B2503E" w:rsidRPr="00B2503E" w:rsidRDefault="00B2503E" w:rsidP="00B2503E">
      <w:pPr>
        <w:ind w:firstLine="567"/>
        <w:jc w:val="both"/>
        <w:rPr>
          <w:rFonts w:ascii="Arial" w:hAnsi="Arial" w:cs="Arial"/>
        </w:rPr>
      </w:pPr>
      <w:r w:rsidRPr="00B2503E">
        <w:rPr>
          <w:i/>
          <w:sz w:val="28"/>
          <w:szCs w:val="28"/>
        </w:rPr>
        <w:t>a</w:t>
      </w:r>
      <w:r w:rsidRPr="00B2503E">
        <w:rPr>
          <w:i/>
          <w:iCs/>
        </w:rPr>
        <w:t>)</w:t>
      </w:r>
      <w:r w:rsidRPr="00B2503E">
        <w:rPr>
          <w:rFonts w:ascii="Arial" w:hAnsi="Arial" w:cs="Arial"/>
        </w:rPr>
        <w:t xml:space="preserve"> </w:t>
      </w:r>
      <w:r w:rsidRPr="00B2503E">
        <w:rPr>
          <w:sz w:val="28"/>
          <w:szCs w:val="28"/>
        </w:rPr>
        <w:t>pentru operaţi</w:t>
      </w:r>
      <w:r w:rsidRPr="00CB2126">
        <w:rPr>
          <w:sz w:val="28"/>
          <w:szCs w:val="28"/>
        </w:rPr>
        <w:t>unile indicate la art.11 alin.(6</w:t>
      </w:r>
      <w:r w:rsidRPr="00B2503E">
        <w:rPr>
          <w:sz w:val="28"/>
          <w:szCs w:val="28"/>
        </w:rPr>
        <w:t xml:space="preserve">) </w:t>
      </w:r>
      <w:proofErr w:type="spellStart"/>
      <w:r w:rsidRPr="00B2503E">
        <w:rPr>
          <w:sz w:val="28"/>
          <w:szCs w:val="28"/>
        </w:rPr>
        <w:t>lit.a</w:t>
      </w:r>
      <w:proofErr w:type="spellEnd"/>
      <w:r w:rsidRPr="00B2503E">
        <w:rPr>
          <w:sz w:val="28"/>
          <w:szCs w:val="28"/>
        </w:rPr>
        <w:t>)</w:t>
      </w:r>
      <w:r w:rsidRPr="00B2503E">
        <w:rPr>
          <w:rFonts w:ascii="Arial" w:hAnsi="Arial" w:cs="Arial"/>
        </w:rPr>
        <w:t xml:space="preserve"> – </w:t>
      </w:r>
      <w:r w:rsidRPr="00B2503E">
        <w:rPr>
          <w:rFonts w:ascii="Arial" w:hAnsi="Arial" w:cs="Arial"/>
          <w:b/>
          <w:bCs/>
        </w:rPr>
        <w:t>11/4/a;</w:t>
      </w:r>
    </w:p>
    <w:p w:rsidR="00B2503E" w:rsidRPr="00B2503E" w:rsidRDefault="00B2503E" w:rsidP="00B2503E">
      <w:pPr>
        <w:ind w:firstLine="567"/>
        <w:jc w:val="both"/>
        <w:rPr>
          <w:rFonts w:ascii="Arial" w:hAnsi="Arial" w:cs="Arial"/>
        </w:rPr>
      </w:pPr>
      <w:r w:rsidRPr="00B2503E">
        <w:rPr>
          <w:i/>
          <w:sz w:val="28"/>
          <w:szCs w:val="28"/>
        </w:rPr>
        <w:t>b)</w:t>
      </w:r>
      <w:r w:rsidRPr="00B2503E">
        <w:rPr>
          <w:rFonts w:ascii="Arial" w:hAnsi="Arial" w:cs="Arial"/>
        </w:rPr>
        <w:t xml:space="preserve"> </w:t>
      </w:r>
      <w:r w:rsidRPr="00B2503E">
        <w:rPr>
          <w:sz w:val="28"/>
          <w:szCs w:val="28"/>
        </w:rPr>
        <w:t>pentru operaţi</w:t>
      </w:r>
      <w:r w:rsidRPr="00CB2126">
        <w:rPr>
          <w:sz w:val="28"/>
          <w:szCs w:val="28"/>
        </w:rPr>
        <w:t>unile indicate la art.11 alin.(6</w:t>
      </w:r>
      <w:r w:rsidRPr="00B2503E">
        <w:rPr>
          <w:sz w:val="28"/>
          <w:szCs w:val="28"/>
        </w:rPr>
        <w:t xml:space="preserve">) </w:t>
      </w:r>
      <w:proofErr w:type="spellStart"/>
      <w:r w:rsidRPr="00B2503E">
        <w:rPr>
          <w:sz w:val="28"/>
          <w:szCs w:val="28"/>
        </w:rPr>
        <w:t>lit.b</w:t>
      </w:r>
      <w:proofErr w:type="spellEnd"/>
      <w:r w:rsidRPr="00B2503E">
        <w:rPr>
          <w:sz w:val="28"/>
          <w:szCs w:val="28"/>
        </w:rPr>
        <w:t>)</w:t>
      </w:r>
      <w:r w:rsidRPr="00B2503E">
        <w:rPr>
          <w:rFonts w:ascii="Arial" w:hAnsi="Arial" w:cs="Arial"/>
        </w:rPr>
        <w:t xml:space="preserve"> – </w:t>
      </w:r>
      <w:r w:rsidRPr="00B2503E">
        <w:rPr>
          <w:rFonts w:ascii="Arial" w:hAnsi="Arial" w:cs="Arial"/>
          <w:b/>
          <w:bCs/>
        </w:rPr>
        <w:t>11/4/b;</w:t>
      </w:r>
    </w:p>
    <w:p w:rsidR="00B2503E" w:rsidRPr="00B2503E" w:rsidRDefault="00B2503E" w:rsidP="00B2503E">
      <w:pPr>
        <w:ind w:firstLine="567"/>
        <w:jc w:val="both"/>
        <w:rPr>
          <w:rFonts w:ascii="Arial" w:hAnsi="Arial" w:cs="Arial"/>
        </w:rPr>
      </w:pPr>
      <w:r w:rsidRPr="00B2503E">
        <w:rPr>
          <w:i/>
          <w:sz w:val="28"/>
          <w:szCs w:val="28"/>
        </w:rPr>
        <w:t>c)</w:t>
      </w:r>
      <w:r w:rsidRPr="00B2503E">
        <w:rPr>
          <w:sz w:val="28"/>
          <w:szCs w:val="28"/>
        </w:rPr>
        <w:t xml:space="preserve"> pentru operaţi</w:t>
      </w:r>
      <w:r w:rsidRPr="00CB2126">
        <w:rPr>
          <w:sz w:val="28"/>
          <w:szCs w:val="28"/>
        </w:rPr>
        <w:t>unile indicate la art.11 alin.(6</w:t>
      </w:r>
      <w:r w:rsidRPr="00B2503E">
        <w:rPr>
          <w:sz w:val="28"/>
          <w:szCs w:val="28"/>
        </w:rPr>
        <w:t xml:space="preserve">) </w:t>
      </w:r>
      <w:proofErr w:type="spellStart"/>
      <w:r w:rsidRPr="00B2503E">
        <w:rPr>
          <w:sz w:val="28"/>
          <w:szCs w:val="28"/>
        </w:rPr>
        <w:t>lit.c</w:t>
      </w:r>
      <w:proofErr w:type="spellEnd"/>
      <w:r w:rsidRPr="00B2503E">
        <w:rPr>
          <w:sz w:val="28"/>
          <w:szCs w:val="28"/>
        </w:rPr>
        <w:t>)</w:t>
      </w:r>
      <w:r w:rsidRPr="00B2503E">
        <w:rPr>
          <w:rFonts w:ascii="Arial" w:hAnsi="Arial" w:cs="Arial"/>
        </w:rPr>
        <w:t xml:space="preserve"> – </w:t>
      </w:r>
      <w:r w:rsidRPr="00B2503E">
        <w:rPr>
          <w:rFonts w:ascii="Arial" w:hAnsi="Arial" w:cs="Arial"/>
          <w:b/>
          <w:bCs/>
        </w:rPr>
        <w:t>11/4/c;</w:t>
      </w:r>
    </w:p>
    <w:p w:rsidR="00B2503E" w:rsidRPr="00B2503E" w:rsidRDefault="00B2503E" w:rsidP="00B2503E">
      <w:pPr>
        <w:ind w:firstLine="567"/>
        <w:jc w:val="both"/>
        <w:rPr>
          <w:rFonts w:ascii="Arial" w:hAnsi="Arial" w:cs="Arial"/>
        </w:rPr>
      </w:pPr>
      <w:r w:rsidRPr="00B2503E">
        <w:rPr>
          <w:i/>
          <w:sz w:val="28"/>
          <w:szCs w:val="28"/>
        </w:rPr>
        <w:t>d)</w:t>
      </w:r>
      <w:r w:rsidRPr="00B2503E">
        <w:rPr>
          <w:rFonts w:ascii="Arial" w:hAnsi="Arial" w:cs="Arial"/>
        </w:rPr>
        <w:t xml:space="preserve"> </w:t>
      </w:r>
      <w:r w:rsidRPr="00B2503E">
        <w:rPr>
          <w:sz w:val="28"/>
          <w:szCs w:val="28"/>
        </w:rPr>
        <w:t>pentru operaţi</w:t>
      </w:r>
      <w:r w:rsidRPr="00CB2126">
        <w:rPr>
          <w:sz w:val="28"/>
          <w:szCs w:val="28"/>
        </w:rPr>
        <w:t>unile indicate la art.11 alin.(6</w:t>
      </w:r>
      <w:r w:rsidRPr="00B2503E">
        <w:rPr>
          <w:sz w:val="28"/>
          <w:szCs w:val="28"/>
        </w:rPr>
        <w:t xml:space="preserve">) </w:t>
      </w:r>
      <w:proofErr w:type="spellStart"/>
      <w:r w:rsidRPr="00B2503E">
        <w:rPr>
          <w:sz w:val="28"/>
          <w:szCs w:val="28"/>
        </w:rPr>
        <w:t>lit.d</w:t>
      </w:r>
      <w:proofErr w:type="spellEnd"/>
      <w:r w:rsidRPr="00B2503E">
        <w:rPr>
          <w:sz w:val="28"/>
          <w:szCs w:val="28"/>
        </w:rPr>
        <w:t>)</w:t>
      </w:r>
      <w:r w:rsidRPr="00B2503E">
        <w:rPr>
          <w:rFonts w:ascii="Arial" w:hAnsi="Arial" w:cs="Arial"/>
        </w:rPr>
        <w:t xml:space="preserve"> – </w:t>
      </w:r>
      <w:r w:rsidRPr="00B2503E">
        <w:rPr>
          <w:rFonts w:ascii="Arial" w:hAnsi="Arial" w:cs="Arial"/>
          <w:b/>
          <w:bCs/>
        </w:rPr>
        <w:t>11/4/d;</w:t>
      </w:r>
    </w:p>
    <w:p w:rsidR="00B2503E" w:rsidRPr="00B2503E" w:rsidRDefault="00B2503E" w:rsidP="00B2503E">
      <w:pPr>
        <w:ind w:firstLine="567"/>
        <w:jc w:val="both"/>
        <w:rPr>
          <w:rFonts w:ascii="Arial" w:hAnsi="Arial" w:cs="Arial"/>
        </w:rPr>
      </w:pPr>
      <w:r w:rsidRPr="00B2503E">
        <w:rPr>
          <w:i/>
          <w:sz w:val="28"/>
          <w:szCs w:val="28"/>
        </w:rPr>
        <w:t>e)</w:t>
      </w:r>
      <w:r w:rsidRPr="00B2503E">
        <w:rPr>
          <w:rFonts w:ascii="Arial" w:hAnsi="Arial" w:cs="Arial"/>
        </w:rPr>
        <w:t xml:space="preserve"> </w:t>
      </w:r>
      <w:r w:rsidRPr="00B2503E">
        <w:rPr>
          <w:sz w:val="28"/>
          <w:szCs w:val="28"/>
        </w:rPr>
        <w:t>pentru operaţi</w:t>
      </w:r>
      <w:r w:rsidRPr="00CB2126">
        <w:rPr>
          <w:sz w:val="28"/>
          <w:szCs w:val="28"/>
        </w:rPr>
        <w:t>unile indicate la art.11 alin.(6</w:t>
      </w:r>
      <w:r w:rsidRPr="00B2503E">
        <w:rPr>
          <w:sz w:val="28"/>
          <w:szCs w:val="28"/>
        </w:rPr>
        <w:t xml:space="preserve">) </w:t>
      </w:r>
      <w:proofErr w:type="spellStart"/>
      <w:r w:rsidRPr="00B2503E">
        <w:rPr>
          <w:sz w:val="28"/>
          <w:szCs w:val="28"/>
        </w:rPr>
        <w:t>lit.e</w:t>
      </w:r>
      <w:proofErr w:type="spellEnd"/>
      <w:r w:rsidRPr="00B2503E">
        <w:rPr>
          <w:sz w:val="28"/>
          <w:szCs w:val="28"/>
        </w:rPr>
        <w:t>)</w:t>
      </w:r>
      <w:r w:rsidRPr="00B2503E">
        <w:rPr>
          <w:rFonts w:ascii="Arial" w:hAnsi="Arial" w:cs="Arial"/>
        </w:rPr>
        <w:t xml:space="preserve"> – </w:t>
      </w:r>
      <w:r w:rsidRPr="00B2503E">
        <w:rPr>
          <w:rFonts w:ascii="Arial" w:hAnsi="Arial" w:cs="Arial"/>
          <w:b/>
          <w:bCs/>
        </w:rPr>
        <w:t>11/4/e;</w:t>
      </w:r>
    </w:p>
    <w:p w:rsidR="00B2503E" w:rsidRPr="00CB2126" w:rsidRDefault="00B2503E" w:rsidP="00B2503E">
      <w:pPr>
        <w:ind w:firstLine="567"/>
        <w:jc w:val="both"/>
        <w:rPr>
          <w:rFonts w:ascii="Arial" w:hAnsi="Arial" w:cs="Arial"/>
          <w:b/>
          <w:bCs/>
        </w:rPr>
      </w:pPr>
      <w:r w:rsidRPr="00B2503E">
        <w:rPr>
          <w:i/>
          <w:sz w:val="28"/>
          <w:szCs w:val="28"/>
        </w:rPr>
        <w:t>f)</w:t>
      </w:r>
      <w:r w:rsidRPr="00B2503E">
        <w:rPr>
          <w:rFonts w:ascii="Arial" w:hAnsi="Arial" w:cs="Arial"/>
        </w:rPr>
        <w:t xml:space="preserve"> </w:t>
      </w:r>
      <w:r w:rsidRPr="00B2503E">
        <w:rPr>
          <w:sz w:val="28"/>
          <w:szCs w:val="28"/>
        </w:rPr>
        <w:t>pentru operaţi</w:t>
      </w:r>
      <w:r w:rsidRPr="00CB2126">
        <w:rPr>
          <w:sz w:val="28"/>
          <w:szCs w:val="28"/>
        </w:rPr>
        <w:t>unile indicate la art.11 alin.(6</w:t>
      </w:r>
      <w:r w:rsidRPr="00B2503E">
        <w:rPr>
          <w:sz w:val="28"/>
          <w:szCs w:val="28"/>
        </w:rPr>
        <w:t xml:space="preserve">) </w:t>
      </w:r>
      <w:proofErr w:type="spellStart"/>
      <w:r w:rsidRPr="00B2503E">
        <w:rPr>
          <w:sz w:val="28"/>
          <w:szCs w:val="28"/>
        </w:rPr>
        <w:t>lit.f</w:t>
      </w:r>
      <w:proofErr w:type="spellEnd"/>
      <w:r w:rsidRPr="00B2503E">
        <w:rPr>
          <w:sz w:val="28"/>
          <w:szCs w:val="28"/>
        </w:rPr>
        <w:t>)</w:t>
      </w:r>
      <w:r w:rsidRPr="00B2503E">
        <w:rPr>
          <w:rFonts w:ascii="Arial" w:hAnsi="Arial" w:cs="Arial"/>
        </w:rPr>
        <w:t xml:space="preserve"> – </w:t>
      </w:r>
      <w:r w:rsidRPr="00B2503E">
        <w:rPr>
          <w:rFonts w:ascii="Arial" w:hAnsi="Arial" w:cs="Arial"/>
          <w:b/>
          <w:bCs/>
        </w:rPr>
        <w:t>11/4/f;</w:t>
      </w:r>
    </w:p>
    <w:p w:rsidR="00B2503E" w:rsidRPr="00CB2126" w:rsidRDefault="00B2503E" w:rsidP="00B2503E">
      <w:pPr>
        <w:ind w:firstLine="567"/>
        <w:jc w:val="both"/>
        <w:rPr>
          <w:rFonts w:ascii="Arial" w:hAnsi="Arial" w:cs="Arial"/>
          <w:b/>
          <w:bCs/>
        </w:rPr>
      </w:pPr>
      <w:r w:rsidRPr="00CB2126">
        <w:rPr>
          <w:i/>
          <w:sz w:val="28"/>
          <w:szCs w:val="28"/>
        </w:rPr>
        <w:t>g)</w:t>
      </w:r>
      <w:r w:rsidRPr="00CB2126">
        <w:rPr>
          <w:rFonts w:ascii="Arial" w:hAnsi="Arial" w:cs="Arial"/>
          <w:b/>
          <w:bCs/>
        </w:rPr>
        <w:t xml:space="preserve"> </w:t>
      </w:r>
      <w:r w:rsidRPr="00B2503E">
        <w:rPr>
          <w:sz w:val="28"/>
          <w:szCs w:val="28"/>
        </w:rPr>
        <w:t>pentru operaţi</w:t>
      </w:r>
      <w:r w:rsidRPr="00CB2126">
        <w:rPr>
          <w:sz w:val="28"/>
          <w:szCs w:val="28"/>
        </w:rPr>
        <w:t xml:space="preserve">unile indicate la art.11 alin.(6) </w:t>
      </w:r>
      <w:proofErr w:type="spellStart"/>
      <w:r w:rsidRPr="00CB2126">
        <w:rPr>
          <w:sz w:val="28"/>
          <w:szCs w:val="28"/>
        </w:rPr>
        <w:t>lit.g</w:t>
      </w:r>
      <w:proofErr w:type="spellEnd"/>
      <w:r w:rsidRPr="00B2503E">
        <w:rPr>
          <w:sz w:val="28"/>
          <w:szCs w:val="28"/>
        </w:rPr>
        <w:t>)</w:t>
      </w:r>
      <w:r w:rsidRPr="00B2503E">
        <w:rPr>
          <w:rFonts w:ascii="Arial" w:hAnsi="Arial" w:cs="Arial"/>
        </w:rPr>
        <w:t xml:space="preserve"> – </w:t>
      </w:r>
      <w:r w:rsidRPr="00CB2126">
        <w:rPr>
          <w:rFonts w:ascii="Arial" w:hAnsi="Arial" w:cs="Arial"/>
          <w:b/>
          <w:bCs/>
        </w:rPr>
        <w:t>11/4/g;</w:t>
      </w:r>
    </w:p>
    <w:p w:rsidR="00B2503E" w:rsidRPr="00CB2126" w:rsidRDefault="00B2503E" w:rsidP="00B2503E">
      <w:pPr>
        <w:ind w:firstLine="567"/>
        <w:jc w:val="both"/>
        <w:rPr>
          <w:rFonts w:ascii="Arial" w:hAnsi="Arial" w:cs="Arial"/>
          <w:b/>
          <w:bCs/>
        </w:rPr>
      </w:pPr>
      <w:r w:rsidRPr="00CB2126">
        <w:rPr>
          <w:i/>
          <w:sz w:val="28"/>
          <w:szCs w:val="28"/>
        </w:rPr>
        <w:t>h)</w:t>
      </w:r>
      <w:r w:rsidRPr="00CB2126">
        <w:rPr>
          <w:rFonts w:ascii="Arial" w:hAnsi="Arial" w:cs="Arial"/>
        </w:rPr>
        <w:t xml:space="preserve"> </w:t>
      </w:r>
      <w:r w:rsidRPr="00B2503E">
        <w:rPr>
          <w:sz w:val="28"/>
          <w:szCs w:val="28"/>
        </w:rPr>
        <w:t>pentru operaţi</w:t>
      </w:r>
      <w:r w:rsidRPr="00CB2126">
        <w:rPr>
          <w:sz w:val="28"/>
          <w:szCs w:val="28"/>
        </w:rPr>
        <w:t xml:space="preserve">unile indicate la art.11 alin.(6) </w:t>
      </w:r>
      <w:proofErr w:type="spellStart"/>
      <w:r w:rsidRPr="00CB2126">
        <w:rPr>
          <w:sz w:val="28"/>
          <w:szCs w:val="28"/>
        </w:rPr>
        <w:t>lit.h</w:t>
      </w:r>
      <w:proofErr w:type="spellEnd"/>
      <w:r w:rsidRPr="00B2503E">
        <w:rPr>
          <w:sz w:val="28"/>
          <w:szCs w:val="28"/>
        </w:rPr>
        <w:t>)</w:t>
      </w:r>
      <w:r w:rsidRPr="00B2503E">
        <w:rPr>
          <w:rFonts w:ascii="Arial" w:hAnsi="Arial" w:cs="Arial"/>
        </w:rPr>
        <w:t xml:space="preserve"> – </w:t>
      </w:r>
      <w:r w:rsidRPr="00CB2126">
        <w:rPr>
          <w:rFonts w:ascii="Arial" w:hAnsi="Arial" w:cs="Arial"/>
          <w:b/>
          <w:bCs/>
        </w:rPr>
        <w:t>11/4/h;</w:t>
      </w:r>
    </w:p>
    <w:p w:rsidR="00B2503E" w:rsidRPr="00CB2126" w:rsidRDefault="00B2503E" w:rsidP="00B2503E">
      <w:pPr>
        <w:ind w:firstLine="567"/>
        <w:jc w:val="both"/>
        <w:rPr>
          <w:rFonts w:ascii="Arial" w:hAnsi="Arial" w:cs="Arial"/>
          <w:b/>
          <w:bCs/>
        </w:rPr>
      </w:pPr>
      <w:r w:rsidRPr="00CB2126">
        <w:rPr>
          <w:i/>
          <w:sz w:val="28"/>
          <w:szCs w:val="28"/>
        </w:rPr>
        <w:t>i)</w:t>
      </w:r>
      <w:r w:rsidRPr="00CB2126">
        <w:rPr>
          <w:rFonts w:ascii="Arial" w:hAnsi="Arial" w:cs="Arial"/>
          <w:b/>
          <w:bCs/>
        </w:rPr>
        <w:t xml:space="preserve"> </w:t>
      </w:r>
      <w:r w:rsidRPr="00B2503E">
        <w:rPr>
          <w:sz w:val="28"/>
          <w:szCs w:val="28"/>
        </w:rPr>
        <w:t>pentru operaţi</w:t>
      </w:r>
      <w:r w:rsidRPr="00CB2126">
        <w:rPr>
          <w:sz w:val="28"/>
          <w:szCs w:val="28"/>
        </w:rPr>
        <w:t xml:space="preserve">unile indicate la art.11 alin.(6) </w:t>
      </w:r>
      <w:proofErr w:type="spellStart"/>
      <w:r w:rsidRPr="00CB2126">
        <w:rPr>
          <w:sz w:val="28"/>
          <w:szCs w:val="28"/>
        </w:rPr>
        <w:t>lit.i</w:t>
      </w:r>
      <w:proofErr w:type="spellEnd"/>
      <w:r w:rsidRPr="00B2503E">
        <w:rPr>
          <w:sz w:val="28"/>
          <w:szCs w:val="28"/>
        </w:rPr>
        <w:t xml:space="preserve">) </w:t>
      </w:r>
      <w:r w:rsidRPr="00B2503E">
        <w:rPr>
          <w:rFonts w:ascii="Arial" w:hAnsi="Arial" w:cs="Arial"/>
        </w:rPr>
        <w:t xml:space="preserve">– </w:t>
      </w:r>
      <w:r w:rsidRPr="00CB2126">
        <w:rPr>
          <w:rFonts w:ascii="Arial" w:hAnsi="Arial" w:cs="Arial"/>
          <w:b/>
          <w:bCs/>
        </w:rPr>
        <w:t>11/4/i.</w:t>
      </w:r>
      <w:r w:rsidR="00E546E7">
        <w:rPr>
          <w:rFonts w:ascii="Arial" w:hAnsi="Arial" w:cs="Arial"/>
          <w:b/>
          <w:bCs/>
        </w:rPr>
        <w:t>”;</w:t>
      </w:r>
    </w:p>
    <w:p w:rsidR="003E59D9" w:rsidRPr="004B71C0" w:rsidRDefault="003E59D9" w:rsidP="003E59D9">
      <w:pPr>
        <w:pStyle w:val="NormalWeb"/>
        <w:rPr>
          <w:sz w:val="28"/>
          <w:szCs w:val="28"/>
          <w:lang w:eastAsia="ru-RU"/>
        </w:rPr>
      </w:pPr>
      <w:r>
        <w:rPr>
          <w:rFonts w:ascii="Arial" w:hAnsi="Arial" w:cs="Arial"/>
          <w:b/>
          <w:bCs/>
        </w:rPr>
        <w:t>,,</w:t>
      </w:r>
      <w:r w:rsidRPr="003E59D9">
        <w:rPr>
          <w:rFonts w:ascii="Arial" w:hAnsi="Arial" w:cs="Arial"/>
        </w:rPr>
        <w:t xml:space="preserve"> </w:t>
      </w:r>
      <w:r w:rsidR="00E546E7" w:rsidRPr="00E546E7">
        <w:rPr>
          <w:b/>
          <w:sz w:val="28"/>
          <w:szCs w:val="28"/>
          <w:lang w:eastAsia="ru-RU"/>
        </w:rPr>
        <w:t>11)</w:t>
      </w:r>
      <w:r w:rsidR="00E546E7">
        <w:rPr>
          <w:rFonts w:ascii="Arial" w:hAnsi="Arial" w:cs="Arial"/>
        </w:rPr>
        <w:t xml:space="preserve"> </w:t>
      </w:r>
      <w:r w:rsidRPr="004B71C0">
        <w:rPr>
          <w:sz w:val="28"/>
          <w:szCs w:val="28"/>
          <w:lang w:eastAsia="ru-RU"/>
        </w:rPr>
        <w:t>în coloana 11 se indică suma taxei pentru mărfurile care, în procesul utilizării, cauzează poluarea mediului, inclusiv pentru acelea care sunt scutite conform art.11 alin</w:t>
      </w:r>
      <w:r w:rsidR="00042585">
        <w:rPr>
          <w:sz w:val="28"/>
          <w:szCs w:val="28"/>
          <w:lang w:eastAsia="ru-RU"/>
        </w:rPr>
        <w:t xml:space="preserve">.(6) din Lege, care se determină în felul următor </w:t>
      </w:r>
      <w:r w:rsidRPr="004B71C0">
        <w:rPr>
          <w:sz w:val="28"/>
          <w:szCs w:val="28"/>
          <w:lang w:eastAsia="ru-RU"/>
        </w:rPr>
        <w:t>:</w:t>
      </w:r>
    </w:p>
    <w:p w:rsidR="003E59D9" w:rsidRPr="003E59D9" w:rsidRDefault="003E59D9" w:rsidP="003E59D9">
      <w:pPr>
        <w:ind w:firstLine="567"/>
        <w:jc w:val="both"/>
        <w:rPr>
          <w:sz w:val="28"/>
          <w:szCs w:val="28"/>
        </w:rPr>
      </w:pPr>
      <w:r w:rsidRPr="003E59D9">
        <w:rPr>
          <w:sz w:val="28"/>
          <w:szCs w:val="28"/>
        </w:rPr>
        <w:t>a) pentru mărfurile indicate în anexa nr.8 la Lege – ca produsul dintre indicatorii specificaţi în coloanele 6 şi 8 ale dării de seamă;</w:t>
      </w:r>
    </w:p>
    <w:p w:rsidR="003E59D9" w:rsidRPr="003E59D9" w:rsidRDefault="003E59D9" w:rsidP="004B71C0">
      <w:pPr>
        <w:pStyle w:val="NormalWeb"/>
        <w:rPr>
          <w:sz w:val="28"/>
          <w:szCs w:val="28"/>
          <w:lang w:eastAsia="ru-RU"/>
        </w:rPr>
      </w:pPr>
      <w:r w:rsidRPr="003E59D9">
        <w:rPr>
          <w:sz w:val="28"/>
          <w:szCs w:val="28"/>
          <w:lang w:eastAsia="ru-RU"/>
        </w:rPr>
        <w:t xml:space="preserve">b) pentru </w:t>
      </w:r>
      <w:r w:rsidR="004B71C0" w:rsidRPr="004B71C0">
        <w:rPr>
          <w:sz w:val="28"/>
          <w:szCs w:val="28"/>
          <w:lang w:eastAsia="ru-RU"/>
        </w:rPr>
        <w:t xml:space="preserve">ambalajul primar din materiale plastice (clasificat la poziţiile tarifare 3923 21 000, 3923 29 şi 3923 30) care conţine produse, ambalajul primar compozit care </w:t>
      </w:r>
      <w:proofErr w:type="spellStart"/>
      <w:r w:rsidR="004B71C0" w:rsidRPr="004B71C0">
        <w:rPr>
          <w:sz w:val="28"/>
          <w:szCs w:val="28"/>
          <w:lang w:eastAsia="ru-RU"/>
        </w:rPr>
        <w:t>conţine</w:t>
      </w:r>
      <w:proofErr w:type="spellEnd"/>
      <w:r w:rsidR="004B71C0" w:rsidRPr="004B71C0">
        <w:rPr>
          <w:sz w:val="28"/>
          <w:szCs w:val="28"/>
          <w:lang w:eastAsia="ru-RU"/>
        </w:rPr>
        <w:t xml:space="preserve"> produse</w:t>
      </w:r>
      <w:r w:rsidR="00042585">
        <w:rPr>
          <w:sz w:val="28"/>
          <w:szCs w:val="28"/>
          <w:lang w:eastAsia="ru-RU"/>
        </w:rPr>
        <w:t>,</w:t>
      </w:r>
      <w:r w:rsidR="004B71C0" w:rsidRPr="004B71C0">
        <w:rPr>
          <w:sz w:val="28"/>
          <w:szCs w:val="28"/>
          <w:lang w:eastAsia="ru-RU"/>
        </w:rPr>
        <w:t xml:space="preserve"> ambalajul primar din aluminiu (clasificat la poziţia tarifară 7612) care conţine produse </w:t>
      </w:r>
      <w:r w:rsidRPr="003E59D9">
        <w:rPr>
          <w:sz w:val="28"/>
          <w:szCs w:val="28"/>
          <w:lang w:eastAsia="ru-RU"/>
        </w:rPr>
        <w:t>– ca produsul dintre indicatorii specificaţi în coloanele 7 şi 9 ale dării de seamă.</w:t>
      </w:r>
      <w:r w:rsidR="00E546E7">
        <w:rPr>
          <w:sz w:val="28"/>
          <w:szCs w:val="28"/>
          <w:lang w:eastAsia="ru-RU"/>
        </w:rPr>
        <w:t>”</w:t>
      </w:r>
    </w:p>
    <w:p w:rsidR="00B2503E" w:rsidRDefault="00ED43B0" w:rsidP="00E546E7">
      <w:pPr>
        <w:pStyle w:val="ListParagraph"/>
        <w:ind w:left="0" w:firstLine="567"/>
        <w:jc w:val="both"/>
        <w:rPr>
          <w:iCs/>
          <w:color w:val="000000" w:themeColor="text1"/>
          <w:sz w:val="28"/>
          <w:szCs w:val="28"/>
        </w:rPr>
      </w:pPr>
      <w:r w:rsidRPr="00ED43B0">
        <w:rPr>
          <w:sz w:val="28"/>
          <w:szCs w:val="28"/>
        </w:rPr>
        <w:t>5) î</w:t>
      </w:r>
      <w:r w:rsidR="004B71C0" w:rsidRPr="00ED43B0">
        <w:rPr>
          <w:sz w:val="28"/>
          <w:szCs w:val="28"/>
        </w:rPr>
        <w:t>n</w:t>
      </w:r>
      <w:r w:rsidR="004B71C0">
        <w:rPr>
          <w:bCs/>
          <w:sz w:val="28"/>
          <w:szCs w:val="28"/>
        </w:rPr>
        <w:t xml:space="preserve"> </w:t>
      </w:r>
      <w:r w:rsidR="004B71C0">
        <w:rPr>
          <w:sz w:val="28"/>
          <w:szCs w:val="28"/>
        </w:rPr>
        <w:t>s</w:t>
      </w:r>
      <w:r w:rsidR="004B71C0" w:rsidRPr="00CB2126">
        <w:rPr>
          <w:sz w:val="28"/>
          <w:szCs w:val="28"/>
        </w:rPr>
        <w:t>u</w:t>
      </w:r>
      <w:r w:rsidR="004B71C0">
        <w:rPr>
          <w:sz w:val="28"/>
          <w:szCs w:val="28"/>
        </w:rPr>
        <w:t>bpunctul 12</w:t>
      </w:r>
      <w:r w:rsidR="004B71C0" w:rsidRPr="00CB2126">
        <w:rPr>
          <w:sz w:val="28"/>
          <w:szCs w:val="28"/>
        </w:rPr>
        <w:t xml:space="preserve"> </w:t>
      </w:r>
      <w:r w:rsidR="004B71C0">
        <w:rPr>
          <w:iCs/>
          <w:color w:val="000000" w:themeColor="text1"/>
          <w:sz w:val="28"/>
          <w:szCs w:val="28"/>
        </w:rPr>
        <w:t>textul ,,art.11 alin.(4)” se substituie cu textul ,,art.11 alin.(6)</w:t>
      </w:r>
      <w:r w:rsidR="0039194D">
        <w:rPr>
          <w:iCs/>
          <w:color w:val="000000" w:themeColor="text1"/>
          <w:sz w:val="28"/>
          <w:szCs w:val="28"/>
        </w:rPr>
        <w:t>”.</w:t>
      </w:r>
    </w:p>
    <w:p w:rsidR="0094517C" w:rsidRDefault="0094517C" w:rsidP="0094517C">
      <w:pPr>
        <w:ind w:firstLine="708"/>
        <w:jc w:val="center"/>
        <w:rPr>
          <w:b/>
          <w:sz w:val="28"/>
          <w:szCs w:val="28"/>
          <w:lang w:val="en-US"/>
        </w:rPr>
      </w:pPr>
      <w:r w:rsidRPr="00C97AD8">
        <w:rPr>
          <w:b/>
          <w:sz w:val="28"/>
          <w:szCs w:val="28"/>
          <w:lang w:val="en-US"/>
        </w:rPr>
        <w:t>MINISTRU                                      Octavian ARMAȘU</w:t>
      </w:r>
    </w:p>
    <w:p w:rsidR="00E546E7" w:rsidRDefault="00E546E7" w:rsidP="0094517C">
      <w:pPr>
        <w:ind w:firstLine="708"/>
        <w:jc w:val="center"/>
        <w:rPr>
          <w:b/>
          <w:sz w:val="28"/>
          <w:szCs w:val="28"/>
          <w:lang w:val="en-US"/>
        </w:rPr>
      </w:pPr>
    </w:p>
    <w:p w:rsidR="0094517C" w:rsidRPr="001413AC" w:rsidRDefault="0094517C" w:rsidP="00E546E7">
      <w:pPr>
        <w:ind w:firstLine="708"/>
        <w:jc w:val="center"/>
        <w:rPr>
          <w:b/>
          <w:sz w:val="26"/>
          <w:szCs w:val="26"/>
        </w:rPr>
      </w:pPr>
      <w:bookmarkStart w:id="0" w:name="_GoBack"/>
      <w:bookmarkEnd w:id="0"/>
    </w:p>
    <w:sectPr w:rsidR="0094517C" w:rsidRPr="001413AC" w:rsidSect="001413AC">
      <w:pgSz w:w="11906" w:h="16838"/>
      <w:pgMar w:top="851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A66"/>
    <w:multiLevelType w:val="hybridMultilevel"/>
    <w:tmpl w:val="0C0A39D0"/>
    <w:lvl w:ilvl="0" w:tplc="06AC60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1B85"/>
    <w:multiLevelType w:val="hybridMultilevel"/>
    <w:tmpl w:val="55D89FE4"/>
    <w:lvl w:ilvl="0" w:tplc="ECCA7F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AB2E62"/>
    <w:multiLevelType w:val="hybridMultilevel"/>
    <w:tmpl w:val="24C863D0"/>
    <w:lvl w:ilvl="0" w:tplc="F1864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916F4"/>
    <w:multiLevelType w:val="hybridMultilevel"/>
    <w:tmpl w:val="C310D04A"/>
    <w:lvl w:ilvl="0" w:tplc="8F88DA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1D5F17"/>
    <w:multiLevelType w:val="multilevel"/>
    <w:tmpl w:val="EF285A8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75AB0346"/>
    <w:multiLevelType w:val="hybridMultilevel"/>
    <w:tmpl w:val="4F18C298"/>
    <w:lvl w:ilvl="0" w:tplc="59F0C11E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1E7FA5"/>
    <w:multiLevelType w:val="hybridMultilevel"/>
    <w:tmpl w:val="8954D456"/>
    <w:lvl w:ilvl="0" w:tplc="89FABF5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DC"/>
    <w:rsid w:val="00003119"/>
    <w:rsid w:val="00023299"/>
    <w:rsid w:val="00042585"/>
    <w:rsid w:val="00054F2C"/>
    <w:rsid w:val="00067017"/>
    <w:rsid w:val="00076374"/>
    <w:rsid w:val="000904F4"/>
    <w:rsid w:val="000A2F92"/>
    <w:rsid w:val="000F5C79"/>
    <w:rsid w:val="00115FF7"/>
    <w:rsid w:val="00122471"/>
    <w:rsid w:val="001413AC"/>
    <w:rsid w:val="00153C67"/>
    <w:rsid w:val="00163C5B"/>
    <w:rsid w:val="00184695"/>
    <w:rsid w:val="001C3852"/>
    <w:rsid w:val="00252582"/>
    <w:rsid w:val="0026629D"/>
    <w:rsid w:val="002D0811"/>
    <w:rsid w:val="002D1086"/>
    <w:rsid w:val="002D57F0"/>
    <w:rsid w:val="002E2556"/>
    <w:rsid w:val="002E4764"/>
    <w:rsid w:val="002E5C6F"/>
    <w:rsid w:val="002F3779"/>
    <w:rsid w:val="002F7ECC"/>
    <w:rsid w:val="00301D7B"/>
    <w:rsid w:val="00314B08"/>
    <w:rsid w:val="0033670F"/>
    <w:rsid w:val="00353C30"/>
    <w:rsid w:val="00361633"/>
    <w:rsid w:val="0036387F"/>
    <w:rsid w:val="00390F8F"/>
    <w:rsid w:val="0039194D"/>
    <w:rsid w:val="003964D8"/>
    <w:rsid w:val="003C27D0"/>
    <w:rsid w:val="003C7308"/>
    <w:rsid w:val="003E59D9"/>
    <w:rsid w:val="003F4E44"/>
    <w:rsid w:val="00410DAC"/>
    <w:rsid w:val="004121A5"/>
    <w:rsid w:val="0041458B"/>
    <w:rsid w:val="00442377"/>
    <w:rsid w:val="004A0E5C"/>
    <w:rsid w:val="004B3015"/>
    <w:rsid w:val="004B71C0"/>
    <w:rsid w:val="004D3E6B"/>
    <w:rsid w:val="00554231"/>
    <w:rsid w:val="005C6A58"/>
    <w:rsid w:val="005F1CE1"/>
    <w:rsid w:val="00606E36"/>
    <w:rsid w:val="006527D4"/>
    <w:rsid w:val="006A315A"/>
    <w:rsid w:val="006B00BD"/>
    <w:rsid w:val="006B6FC2"/>
    <w:rsid w:val="006D1BD3"/>
    <w:rsid w:val="006F008E"/>
    <w:rsid w:val="006F0197"/>
    <w:rsid w:val="006F380A"/>
    <w:rsid w:val="0070083E"/>
    <w:rsid w:val="007103A6"/>
    <w:rsid w:val="00723978"/>
    <w:rsid w:val="00727147"/>
    <w:rsid w:val="00786A4D"/>
    <w:rsid w:val="00793437"/>
    <w:rsid w:val="007A0635"/>
    <w:rsid w:val="007B4200"/>
    <w:rsid w:val="007C329B"/>
    <w:rsid w:val="00803087"/>
    <w:rsid w:val="00842CA1"/>
    <w:rsid w:val="008708B7"/>
    <w:rsid w:val="00873513"/>
    <w:rsid w:val="008923B0"/>
    <w:rsid w:val="008A355D"/>
    <w:rsid w:val="008B7830"/>
    <w:rsid w:val="008F6BDE"/>
    <w:rsid w:val="00914EBE"/>
    <w:rsid w:val="0091750A"/>
    <w:rsid w:val="0094517C"/>
    <w:rsid w:val="009544E3"/>
    <w:rsid w:val="009F684E"/>
    <w:rsid w:val="00A637D9"/>
    <w:rsid w:val="00A742D9"/>
    <w:rsid w:val="00A756FE"/>
    <w:rsid w:val="00A85864"/>
    <w:rsid w:val="00A917A1"/>
    <w:rsid w:val="00A926DC"/>
    <w:rsid w:val="00AB36D4"/>
    <w:rsid w:val="00AB475F"/>
    <w:rsid w:val="00B13A43"/>
    <w:rsid w:val="00B2503E"/>
    <w:rsid w:val="00B6019D"/>
    <w:rsid w:val="00B64A11"/>
    <w:rsid w:val="00B67C5D"/>
    <w:rsid w:val="00B77310"/>
    <w:rsid w:val="00BB04B8"/>
    <w:rsid w:val="00BB5E44"/>
    <w:rsid w:val="00BF088F"/>
    <w:rsid w:val="00C75D83"/>
    <w:rsid w:val="00C85026"/>
    <w:rsid w:val="00CB2126"/>
    <w:rsid w:val="00D65DA6"/>
    <w:rsid w:val="00D80B69"/>
    <w:rsid w:val="00DE6C6B"/>
    <w:rsid w:val="00E03869"/>
    <w:rsid w:val="00E16603"/>
    <w:rsid w:val="00E4363E"/>
    <w:rsid w:val="00E546E7"/>
    <w:rsid w:val="00E6657F"/>
    <w:rsid w:val="00E742E4"/>
    <w:rsid w:val="00EA43F1"/>
    <w:rsid w:val="00ED43B0"/>
    <w:rsid w:val="00EE618E"/>
    <w:rsid w:val="00EE66DF"/>
    <w:rsid w:val="00EF5BA1"/>
    <w:rsid w:val="00F103BA"/>
    <w:rsid w:val="00F8742D"/>
    <w:rsid w:val="00FC4F5D"/>
    <w:rsid w:val="00FF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8DB67-DC35-40B0-9CD7-FADEA27D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C5D"/>
    <w:pPr>
      <w:ind w:left="720"/>
      <w:contextualSpacing/>
    </w:pPr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B67C5D"/>
    <w:pPr>
      <w:ind w:firstLine="567"/>
      <w:jc w:val="both"/>
    </w:pPr>
    <w:rPr>
      <w:lang w:eastAsia="ro-RO"/>
    </w:rPr>
  </w:style>
  <w:style w:type="paragraph" w:customStyle="1" w:styleId="cp">
    <w:name w:val="cp"/>
    <w:basedOn w:val="Normal"/>
    <w:rsid w:val="00B67C5D"/>
    <w:pPr>
      <w:jc w:val="center"/>
    </w:pPr>
    <w:rPr>
      <w:b/>
      <w:bCs/>
      <w:lang w:eastAsia="ro-RO"/>
    </w:rPr>
  </w:style>
  <w:style w:type="paragraph" w:customStyle="1" w:styleId="rg">
    <w:name w:val="rg"/>
    <w:basedOn w:val="Normal"/>
    <w:rsid w:val="00B67C5D"/>
    <w:pPr>
      <w:jc w:val="right"/>
    </w:pPr>
    <w:rPr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67C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2C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12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1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rsid w:val="00EE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2D081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2E5C6F"/>
    <w:pPr>
      <w:jc w:val="center"/>
    </w:pPr>
    <w:rPr>
      <w:b/>
      <w:bCs/>
      <w:lang w:val="en-US" w:eastAsia="en-US"/>
    </w:rPr>
  </w:style>
  <w:style w:type="paragraph" w:customStyle="1" w:styleId="pb">
    <w:name w:val="pb"/>
    <w:basedOn w:val="Normal"/>
    <w:rsid w:val="002E5C6F"/>
    <w:pPr>
      <w:jc w:val="center"/>
    </w:pPr>
    <w:rPr>
      <w:i/>
      <w:iCs/>
      <w:color w:val="663300"/>
      <w:sz w:val="20"/>
      <w:szCs w:val="20"/>
      <w:lang w:val="en-US" w:eastAsia="en-US"/>
    </w:rPr>
  </w:style>
  <w:style w:type="paragraph" w:customStyle="1" w:styleId="cb">
    <w:name w:val="cb"/>
    <w:basedOn w:val="Normal"/>
    <w:rsid w:val="002E5C6F"/>
    <w:pPr>
      <w:jc w:val="center"/>
    </w:pPr>
    <w:rPr>
      <w:b/>
      <w:bCs/>
      <w:lang w:val="en-US" w:eastAsia="en-US"/>
    </w:rPr>
  </w:style>
  <w:style w:type="paragraph" w:customStyle="1" w:styleId="lf">
    <w:name w:val="lf"/>
    <w:basedOn w:val="Normal"/>
    <w:rsid w:val="00E742E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F580-DEE2-4200-8AF3-970227F6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Popa Valentina</dc:creator>
  <cp:lastModifiedBy>Culicova Alexandra</cp:lastModifiedBy>
  <cp:revision>2</cp:revision>
  <cp:lastPrinted>2018-01-19T08:50:00Z</cp:lastPrinted>
  <dcterms:created xsi:type="dcterms:W3CDTF">2018-01-24T12:07:00Z</dcterms:created>
  <dcterms:modified xsi:type="dcterms:W3CDTF">2018-01-24T12:07:00Z</dcterms:modified>
</cp:coreProperties>
</file>