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3E0" w:rsidRPr="00255788" w:rsidRDefault="000973E0" w:rsidP="001E1AEA">
      <w:pPr>
        <w:jc w:val="right"/>
        <w:rPr>
          <w:sz w:val="28"/>
          <w:szCs w:val="28"/>
        </w:rPr>
      </w:pPr>
      <w:r w:rsidRPr="00255788">
        <w:rPr>
          <w:sz w:val="28"/>
          <w:szCs w:val="28"/>
        </w:rPr>
        <w:t>Anexa nr.</w:t>
      </w:r>
      <w:r w:rsidR="00CF67B3" w:rsidRPr="00255788">
        <w:rPr>
          <w:sz w:val="28"/>
          <w:szCs w:val="28"/>
        </w:rPr>
        <w:t xml:space="preserve"> 4</w:t>
      </w:r>
    </w:p>
    <w:p w:rsidR="000973E0" w:rsidRPr="00255788" w:rsidRDefault="000973E0" w:rsidP="001E1AEA">
      <w:pPr>
        <w:jc w:val="center"/>
        <w:rPr>
          <w:sz w:val="28"/>
          <w:szCs w:val="28"/>
        </w:rPr>
      </w:pPr>
      <w:r w:rsidRPr="00255788">
        <w:rPr>
          <w:sz w:val="28"/>
          <w:szCs w:val="28"/>
        </w:rPr>
        <w:t xml:space="preserve">                                        </w:t>
      </w:r>
    </w:p>
    <w:p w:rsidR="00C25AD9" w:rsidRPr="00255788" w:rsidRDefault="00C25AD9" w:rsidP="000973E0">
      <w:pPr>
        <w:rPr>
          <w:sz w:val="28"/>
          <w:szCs w:val="28"/>
        </w:rPr>
      </w:pPr>
    </w:p>
    <w:p w:rsidR="00C25AD9" w:rsidRPr="00255788" w:rsidRDefault="00C25AD9" w:rsidP="00C25AD9">
      <w:pPr>
        <w:jc w:val="center"/>
        <w:rPr>
          <w:b/>
          <w:sz w:val="28"/>
          <w:szCs w:val="28"/>
        </w:rPr>
      </w:pPr>
      <w:r w:rsidRPr="00255788">
        <w:rPr>
          <w:b/>
          <w:sz w:val="28"/>
          <w:szCs w:val="28"/>
        </w:rPr>
        <w:t>NOMENCLATORUL</w:t>
      </w:r>
    </w:p>
    <w:p w:rsidR="00C25AD9" w:rsidRPr="00255788" w:rsidRDefault="00C25AD9" w:rsidP="00C25AD9">
      <w:pPr>
        <w:jc w:val="center"/>
        <w:rPr>
          <w:b/>
          <w:sz w:val="28"/>
          <w:szCs w:val="28"/>
        </w:rPr>
      </w:pPr>
      <w:r w:rsidRPr="00255788">
        <w:rPr>
          <w:b/>
          <w:sz w:val="28"/>
          <w:szCs w:val="28"/>
        </w:rPr>
        <w:t>produselor de uz fitosanitar și fertilizanților supuse controlului fitosanitar</w:t>
      </w:r>
    </w:p>
    <w:p w:rsidR="000973E0" w:rsidRPr="00255788" w:rsidRDefault="000973E0" w:rsidP="00C25AD9">
      <w:pPr>
        <w:tabs>
          <w:tab w:val="left" w:pos="2905"/>
        </w:tabs>
        <w:jc w:val="center"/>
        <w:rPr>
          <w:b/>
          <w:sz w:val="28"/>
          <w:szCs w:val="28"/>
        </w:rPr>
      </w:pPr>
    </w:p>
    <w:tbl>
      <w:tblPr>
        <w:tblpPr w:leftFromText="180" w:rightFromText="180" w:vertAnchor="page" w:horzAnchor="margin" w:tblpXSpec="center" w:tblpY="3282"/>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6804"/>
        <w:gridCol w:w="1838"/>
      </w:tblGrid>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3101 00 000 </w:t>
            </w:r>
          </w:p>
        </w:tc>
        <w:tc>
          <w:tcPr>
            <w:tcW w:w="6804" w:type="dxa"/>
          </w:tcPr>
          <w:p w:rsidR="000973E0" w:rsidRPr="00255788" w:rsidRDefault="000973E0" w:rsidP="00A76D42">
            <w:pPr>
              <w:rPr>
                <w:color w:val="000000"/>
                <w:sz w:val="24"/>
                <w:szCs w:val="24"/>
              </w:rPr>
            </w:pPr>
            <w:r w:rsidRPr="00255788">
              <w:rPr>
                <w:color w:val="000000"/>
                <w:sz w:val="24"/>
                <w:szCs w:val="24"/>
              </w:rPr>
              <w:t>Îngrăşăminte de origine animală sau vegetală, chiar amestecate între ele sau tratate chimic; îngrăşăminte obţinute prin amestecarea sau tratarea chimică a produselor de origine animală sau vegetală</w:t>
            </w:r>
          </w:p>
        </w:tc>
        <w:tc>
          <w:tcPr>
            <w:tcW w:w="1838" w:type="dxa"/>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3102</w:t>
            </w:r>
          </w:p>
        </w:tc>
        <w:tc>
          <w:tcPr>
            <w:tcW w:w="6804" w:type="dxa"/>
          </w:tcPr>
          <w:p w:rsidR="000973E0" w:rsidRPr="00255788" w:rsidRDefault="000973E0" w:rsidP="00A76D42">
            <w:pPr>
              <w:rPr>
                <w:b/>
                <w:color w:val="000000"/>
                <w:sz w:val="24"/>
                <w:szCs w:val="24"/>
              </w:rPr>
            </w:pPr>
            <w:r w:rsidRPr="00255788">
              <w:rPr>
                <w:b/>
                <w:color w:val="000000"/>
                <w:sz w:val="24"/>
                <w:szCs w:val="24"/>
              </w:rPr>
              <w:t>Îngrăşăminte minerale sau chimice azotate:</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3102 10</w:t>
            </w:r>
          </w:p>
        </w:tc>
        <w:tc>
          <w:tcPr>
            <w:tcW w:w="6804" w:type="dxa"/>
          </w:tcPr>
          <w:p w:rsidR="000973E0" w:rsidRPr="00255788" w:rsidRDefault="000973E0" w:rsidP="00A76D42">
            <w:pPr>
              <w:jc w:val="both"/>
              <w:rPr>
                <w:b/>
                <w:color w:val="000000"/>
                <w:sz w:val="24"/>
                <w:szCs w:val="24"/>
              </w:rPr>
            </w:pPr>
            <w:r w:rsidRPr="00255788">
              <w:rPr>
                <w:color w:val="000000"/>
                <w:sz w:val="24"/>
                <w:szCs w:val="24"/>
              </w:rPr>
              <w:t>– uree, chiar în soluţie apoasă:</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3102 10 100 </w:t>
            </w:r>
          </w:p>
        </w:tc>
        <w:tc>
          <w:tcPr>
            <w:tcW w:w="6804" w:type="dxa"/>
          </w:tcPr>
          <w:p w:rsidR="000973E0" w:rsidRPr="00255788" w:rsidRDefault="000973E0" w:rsidP="00A76D42">
            <w:pPr>
              <w:jc w:val="both"/>
              <w:rPr>
                <w:color w:val="000000"/>
                <w:sz w:val="24"/>
                <w:szCs w:val="24"/>
              </w:rPr>
            </w:pPr>
            <w:r w:rsidRPr="00255788">
              <w:rPr>
                <w:color w:val="000000"/>
                <w:sz w:val="24"/>
                <w:szCs w:val="24"/>
              </w:rPr>
              <w:t>– – uree, cu un conţinut de azot peste 45% din greutatea produsului anhidru în stare uscată</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3102 10 900 </w:t>
            </w:r>
          </w:p>
        </w:tc>
        <w:tc>
          <w:tcPr>
            <w:tcW w:w="6804" w:type="dxa"/>
          </w:tcPr>
          <w:p w:rsidR="000973E0" w:rsidRPr="00255788" w:rsidRDefault="000973E0" w:rsidP="00A76D42">
            <w:pPr>
              <w:jc w:val="both"/>
              <w:rPr>
                <w:color w:val="000000"/>
                <w:sz w:val="24"/>
                <w:szCs w:val="24"/>
              </w:rPr>
            </w:pPr>
            <w:r w:rsidRPr="00255788">
              <w:rPr>
                <w:color w:val="000000"/>
                <w:sz w:val="24"/>
                <w:szCs w:val="24"/>
              </w:rPr>
              <w:t>– – altele</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p>
        </w:tc>
        <w:tc>
          <w:tcPr>
            <w:tcW w:w="6804" w:type="dxa"/>
          </w:tcPr>
          <w:p w:rsidR="000973E0" w:rsidRPr="00255788" w:rsidRDefault="000973E0" w:rsidP="00A76D42">
            <w:pPr>
              <w:jc w:val="both"/>
              <w:rPr>
                <w:color w:val="000000"/>
                <w:sz w:val="24"/>
                <w:szCs w:val="24"/>
              </w:rPr>
            </w:pPr>
            <w:r w:rsidRPr="00255788">
              <w:rPr>
                <w:color w:val="000000"/>
                <w:sz w:val="24"/>
                <w:szCs w:val="24"/>
              </w:rPr>
              <w:t>– sulfat de amoniu; săruri duble şi amestecuri de sulfat de amoniu şi de nitrat de amoniu:</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3102 21 000 </w:t>
            </w:r>
          </w:p>
        </w:tc>
        <w:tc>
          <w:tcPr>
            <w:tcW w:w="6804" w:type="dxa"/>
          </w:tcPr>
          <w:p w:rsidR="000973E0" w:rsidRPr="00255788" w:rsidRDefault="000973E0" w:rsidP="00A76D42">
            <w:pPr>
              <w:jc w:val="both"/>
              <w:rPr>
                <w:color w:val="000000"/>
                <w:sz w:val="24"/>
                <w:szCs w:val="24"/>
              </w:rPr>
            </w:pPr>
            <w:r w:rsidRPr="00255788">
              <w:rPr>
                <w:color w:val="000000"/>
                <w:sz w:val="24"/>
                <w:szCs w:val="24"/>
              </w:rPr>
              <w:t>– – sulfat de amoniu</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3102 29 000 </w:t>
            </w:r>
          </w:p>
        </w:tc>
        <w:tc>
          <w:tcPr>
            <w:tcW w:w="6804" w:type="dxa"/>
          </w:tcPr>
          <w:p w:rsidR="000973E0" w:rsidRPr="00255788" w:rsidRDefault="000973E0" w:rsidP="00A76D42">
            <w:pPr>
              <w:jc w:val="both"/>
              <w:rPr>
                <w:color w:val="000000"/>
                <w:sz w:val="24"/>
                <w:szCs w:val="24"/>
              </w:rPr>
            </w:pPr>
            <w:r w:rsidRPr="00255788">
              <w:rPr>
                <w:color w:val="000000"/>
                <w:sz w:val="24"/>
                <w:szCs w:val="24"/>
              </w:rPr>
              <w:t>– – altele</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3102 30</w:t>
            </w:r>
          </w:p>
        </w:tc>
        <w:tc>
          <w:tcPr>
            <w:tcW w:w="6804" w:type="dxa"/>
          </w:tcPr>
          <w:p w:rsidR="000973E0" w:rsidRPr="00255788" w:rsidRDefault="000973E0" w:rsidP="00A76D42">
            <w:pPr>
              <w:jc w:val="both"/>
              <w:rPr>
                <w:color w:val="000000"/>
                <w:sz w:val="24"/>
                <w:szCs w:val="24"/>
              </w:rPr>
            </w:pPr>
            <w:r w:rsidRPr="00255788">
              <w:rPr>
                <w:color w:val="000000"/>
                <w:sz w:val="24"/>
                <w:szCs w:val="24"/>
              </w:rPr>
              <w:t>– nitrat de amoniu, chiar în soluţie apoasă:</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3102 30 100 </w:t>
            </w:r>
          </w:p>
        </w:tc>
        <w:tc>
          <w:tcPr>
            <w:tcW w:w="6804" w:type="dxa"/>
          </w:tcPr>
          <w:p w:rsidR="000973E0" w:rsidRPr="00255788" w:rsidRDefault="000973E0" w:rsidP="00A76D42">
            <w:pPr>
              <w:jc w:val="both"/>
              <w:rPr>
                <w:color w:val="000000"/>
                <w:sz w:val="24"/>
                <w:szCs w:val="24"/>
              </w:rPr>
            </w:pPr>
            <w:r w:rsidRPr="00255788">
              <w:rPr>
                <w:color w:val="000000"/>
                <w:sz w:val="24"/>
                <w:szCs w:val="24"/>
              </w:rPr>
              <w:t>– – în soluţie apoasă</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3102 30 900 </w:t>
            </w:r>
          </w:p>
        </w:tc>
        <w:tc>
          <w:tcPr>
            <w:tcW w:w="6804" w:type="dxa"/>
          </w:tcPr>
          <w:p w:rsidR="000973E0" w:rsidRPr="00255788" w:rsidRDefault="000973E0" w:rsidP="00A76D42">
            <w:pPr>
              <w:jc w:val="both"/>
              <w:rPr>
                <w:color w:val="000000"/>
                <w:sz w:val="24"/>
                <w:szCs w:val="24"/>
              </w:rPr>
            </w:pPr>
            <w:r w:rsidRPr="00255788">
              <w:rPr>
                <w:color w:val="000000"/>
                <w:sz w:val="24"/>
                <w:szCs w:val="24"/>
              </w:rPr>
              <w:t xml:space="preserve">– – altele </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3102 40</w:t>
            </w:r>
          </w:p>
        </w:tc>
        <w:tc>
          <w:tcPr>
            <w:tcW w:w="6804" w:type="dxa"/>
          </w:tcPr>
          <w:p w:rsidR="000973E0" w:rsidRPr="00255788" w:rsidRDefault="000973E0" w:rsidP="00A76D42">
            <w:pPr>
              <w:rPr>
                <w:color w:val="000000"/>
                <w:sz w:val="24"/>
                <w:szCs w:val="24"/>
              </w:rPr>
            </w:pPr>
            <w:r w:rsidRPr="00255788">
              <w:rPr>
                <w:color w:val="000000"/>
                <w:sz w:val="24"/>
                <w:szCs w:val="24"/>
              </w:rPr>
              <w:t>– amestecuri de nitrat de amoniu cu carbonat de calciu sau alte substanţe anorganice fără putere de fertilizare:</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3102 40 100 </w:t>
            </w:r>
          </w:p>
        </w:tc>
        <w:tc>
          <w:tcPr>
            <w:tcW w:w="6804" w:type="dxa"/>
          </w:tcPr>
          <w:p w:rsidR="000973E0" w:rsidRPr="00255788" w:rsidRDefault="000973E0" w:rsidP="00A76D42">
            <w:pPr>
              <w:rPr>
                <w:color w:val="000000"/>
                <w:sz w:val="24"/>
                <w:szCs w:val="24"/>
              </w:rPr>
            </w:pPr>
            <w:r w:rsidRPr="00255788">
              <w:rPr>
                <w:color w:val="000000"/>
                <w:sz w:val="24"/>
                <w:szCs w:val="24"/>
              </w:rPr>
              <w:t>– – cu un conţinut de azot de maximum 28% din greutate</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3102 40 900 </w:t>
            </w:r>
          </w:p>
        </w:tc>
        <w:tc>
          <w:tcPr>
            <w:tcW w:w="6804" w:type="dxa"/>
          </w:tcPr>
          <w:p w:rsidR="000973E0" w:rsidRPr="00255788" w:rsidRDefault="000973E0" w:rsidP="00A76D42">
            <w:pPr>
              <w:rPr>
                <w:color w:val="000000"/>
                <w:sz w:val="24"/>
                <w:szCs w:val="24"/>
              </w:rPr>
            </w:pPr>
            <w:r w:rsidRPr="00255788">
              <w:rPr>
                <w:color w:val="000000"/>
                <w:sz w:val="24"/>
                <w:szCs w:val="24"/>
              </w:rPr>
              <w:t>– – cu un conţinut de azot peste 28 % din greutate</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3102 50</w:t>
            </w:r>
          </w:p>
        </w:tc>
        <w:tc>
          <w:tcPr>
            <w:tcW w:w="6804" w:type="dxa"/>
          </w:tcPr>
          <w:p w:rsidR="000973E0" w:rsidRPr="00255788" w:rsidRDefault="000973E0" w:rsidP="00A76D42">
            <w:pPr>
              <w:rPr>
                <w:color w:val="000000"/>
                <w:sz w:val="24"/>
                <w:szCs w:val="24"/>
              </w:rPr>
            </w:pPr>
            <w:r w:rsidRPr="00255788">
              <w:rPr>
                <w:color w:val="000000"/>
                <w:sz w:val="24"/>
                <w:szCs w:val="24"/>
              </w:rPr>
              <w:t>– nitrat de sodiu:</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3102 50 100 </w:t>
            </w:r>
          </w:p>
        </w:tc>
        <w:tc>
          <w:tcPr>
            <w:tcW w:w="6804" w:type="dxa"/>
          </w:tcPr>
          <w:p w:rsidR="000973E0" w:rsidRPr="00255788" w:rsidRDefault="000973E0" w:rsidP="00A76D42">
            <w:pPr>
              <w:rPr>
                <w:color w:val="000000"/>
                <w:sz w:val="24"/>
                <w:szCs w:val="24"/>
              </w:rPr>
            </w:pPr>
            <w:r w:rsidRPr="00255788">
              <w:rPr>
                <w:color w:val="000000"/>
                <w:sz w:val="24"/>
                <w:szCs w:val="24"/>
              </w:rPr>
              <w:t>– – nitrat de sodiu natural</w:t>
            </w:r>
          </w:p>
        </w:tc>
        <w:tc>
          <w:tcPr>
            <w:tcW w:w="1838" w:type="dxa"/>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3102 50 900 </w:t>
            </w:r>
          </w:p>
        </w:tc>
        <w:tc>
          <w:tcPr>
            <w:tcW w:w="6804" w:type="dxa"/>
          </w:tcPr>
          <w:p w:rsidR="000973E0" w:rsidRPr="00255788" w:rsidRDefault="000973E0" w:rsidP="00A76D42">
            <w:pPr>
              <w:rPr>
                <w:color w:val="000000"/>
                <w:sz w:val="24"/>
                <w:szCs w:val="24"/>
              </w:rPr>
            </w:pPr>
            <w:r w:rsidRPr="00255788">
              <w:rPr>
                <w:color w:val="000000"/>
                <w:sz w:val="24"/>
                <w:szCs w:val="24"/>
              </w:rPr>
              <w:t>– – altele</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3102 60 000 </w:t>
            </w:r>
          </w:p>
        </w:tc>
        <w:tc>
          <w:tcPr>
            <w:tcW w:w="6804" w:type="dxa"/>
          </w:tcPr>
          <w:p w:rsidR="000973E0" w:rsidRPr="00255788" w:rsidRDefault="000973E0" w:rsidP="00A76D42">
            <w:pPr>
              <w:rPr>
                <w:color w:val="000000"/>
                <w:sz w:val="24"/>
                <w:szCs w:val="24"/>
              </w:rPr>
            </w:pPr>
            <w:r w:rsidRPr="00255788">
              <w:rPr>
                <w:color w:val="000000"/>
                <w:sz w:val="24"/>
                <w:szCs w:val="24"/>
              </w:rPr>
              <w:t>– săruri duble şi amestecuri de nitrat de calciu şi de nitrat de amoniu</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3102 80 000 </w:t>
            </w:r>
          </w:p>
        </w:tc>
        <w:tc>
          <w:tcPr>
            <w:tcW w:w="6804" w:type="dxa"/>
          </w:tcPr>
          <w:p w:rsidR="000973E0" w:rsidRPr="00255788" w:rsidRDefault="000973E0" w:rsidP="00A76D42">
            <w:pPr>
              <w:rPr>
                <w:color w:val="000000"/>
                <w:sz w:val="24"/>
                <w:szCs w:val="24"/>
              </w:rPr>
            </w:pPr>
            <w:r w:rsidRPr="00255788">
              <w:rPr>
                <w:color w:val="000000"/>
                <w:sz w:val="24"/>
                <w:szCs w:val="24"/>
              </w:rPr>
              <w:t>– amestecuri de uree şi de nitrat de amoniu în soluţii apoase sau amoniacale</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3102 90 000 </w:t>
            </w:r>
          </w:p>
        </w:tc>
        <w:tc>
          <w:tcPr>
            <w:tcW w:w="6804" w:type="dxa"/>
          </w:tcPr>
          <w:p w:rsidR="000973E0" w:rsidRPr="00255788" w:rsidRDefault="000973E0" w:rsidP="00A76D42">
            <w:pPr>
              <w:rPr>
                <w:color w:val="000000"/>
                <w:sz w:val="24"/>
                <w:szCs w:val="24"/>
              </w:rPr>
            </w:pPr>
            <w:r w:rsidRPr="00255788">
              <w:rPr>
                <w:color w:val="000000"/>
                <w:sz w:val="24"/>
                <w:szCs w:val="24"/>
              </w:rPr>
              <w:t>– altele, inclusiv amestecurile nedenumite la subpoziţiile precedente</w:t>
            </w:r>
          </w:p>
        </w:tc>
        <w:tc>
          <w:tcPr>
            <w:tcW w:w="1838" w:type="dxa"/>
          </w:tcPr>
          <w:p w:rsidR="000973E0" w:rsidRPr="00255788" w:rsidRDefault="000973E0" w:rsidP="00A76D42">
            <w:pPr>
              <w:jc w:val="center"/>
              <w:rPr>
                <w:color w:val="000000"/>
                <w:sz w:val="24"/>
                <w:szCs w:val="24"/>
              </w:rPr>
            </w:pPr>
            <w:r w:rsidRPr="00255788">
              <w:rPr>
                <w:color w:val="000000"/>
                <w:sz w:val="24"/>
                <w:szCs w:val="24"/>
              </w:rPr>
              <w:t>kg N</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3103</w:t>
            </w:r>
          </w:p>
        </w:tc>
        <w:tc>
          <w:tcPr>
            <w:tcW w:w="6804" w:type="dxa"/>
          </w:tcPr>
          <w:p w:rsidR="000973E0" w:rsidRPr="00255788" w:rsidRDefault="000973E0" w:rsidP="00A76D42">
            <w:pPr>
              <w:rPr>
                <w:color w:val="000000"/>
                <w:sz w:val="24"/>
                <w:szCs w:val="24"/>
              </w:rPr>
            </w:pPr>
            <w:r w:rsidRPr="00255788">
              <w:rPr>
                <w:b/>
                <w:color w:val="000000"/>
                <w:sz w:val="24"/>
                <w:szCs w:val="24"/>
              </w:rPr>
              <w:t>Îngrăşăminte minerale sau chimice, fosfatice:</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3103 10</w:t>
            </w:r>
          </w:p>
        </w:tc>
        <w:tc>
          <w:tcPr>
            <w:tcW w:w="6804" w:type="dxa"/>
          </w:tcPr>
          <w:p w:rsidR="000973E0" w:rsidRPr="00255788" w:rsidRDefault="000973E0" w:rsidP="00A76D42">
            <w:pPr>
              <w:rPr>
                <w:b/>
                <w:color w:val="000000"/>
                <w:sz w:val="24"/>
                <w:szCs w:val="24"/>
              </w:rPr>
            </w:pPr>
            <w:r w:rsidRPr="00255788">
              <w:rPr>
                <w:color w:val="000000"/>
                <w:sz w:val="24"/>
                <w:szCs w:val="24"/>
              </w:rPr>
              <w:t>– superfosfaţi:</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3103 10 100 </w:t>
            </w:r>
          </w:p>
        </w:tc>
        <w:tc>
          <w:tcPr>
            <w:tcW w:w="6804" w:type="dxa"/>
          </w:tcPr>
          <w:p w:rsidR="000973E0" w:rsidRPr="00255788" w:rsidRDefault="000973E0" w:rsidP="00A76D42">
            <w:pPr>
              <w:rPr>
                <w:color w:val="000000"/>
                <w:sz w:val="24"/>
                <w:szCs w:val="24"/>
              </w:rPr>
            </w:pPr>
            <w:r w:rsidRPr="00255788">
              <w:rPr>
                <w:color w:val="000000"/>
                <w:sz w:val="24"/>
                <w:szCs w:val="24"/>
              </w:rPr>
              <w:t>– – conţinînd peste 35% din greutate pentaoxid de difosfor</w:t>
            </w:r>
          </w:p>
        </w:tc>
        <w:tc>
          <w:tcPr>
            <w:tcW w:w="1838" w:type="dxa"/>
          </w:tcPr>
          <w:p w:rsidR="000973E0" w:rsidRPr="00255788" w:rsidRDefault="000973E0" w:rsidP="00A76D42">
            <w:pPr>
              <w:jc w:val="center"/>
              <w:rPr>
                <w:color w:val="000000"/>
                <w:sz w:val="24"/>
                <w:szCs w:val="24"/>
                <w:vertAlign w:val="subscript"/>
              </w:rPr>
            </w:pPr>
            <w:r w:rsidRPr="00255788">
              <w:rPr>
                <w:color w:val="000000"/>
                <w:sz w:val="24"/>
                <w:szCs w:val="24"/>
              </w:rPr>
              <w:t>kg P</w:t>
            </w:r>
            <w:r w:rsidRPr="00255788">
              <w:rPr>
                <w:color w:val="000000"/>
                <w:sz w:val="24"/>
                <w:szCs w:val="24"/>
                <w:vertAlign w:val="subscript"/>
              </w:rPr>
              <w:t>2</w:t>
            </w:r>
            <w:r w:rsidRPr="00255788">
              <w:rPr>
                <w:color w:val="000000"/>
                <w:sz w:val="24"/>
                <w:szCs w:val="24"/>
              </w:rPr>
              <w:t>O</w:t>
            </w:r>
            <w:r w:rsidRPr="00255788">
              <w:rPr>
                <w:color w:val="000000"/>
                <w:sz w:val="24"/>
                <w:szCs w:val="24"/>
                <w:vertAlign w:val="subscript"/>
              </w:rPr>
              <w:t>5</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3103 10 900 </w:t>
            </w:r>
          </w:p>
        </w:tc>
        <w:tc>
          <w:tcPr>
            <w:tcW w:w="6804" w:type="dxa"/>
          </w:tcPr>
          <w:p w:rsidR="000973E0" w:rsidRPr="00255788" w:rsidRDefault="000973E0" w:rsidP="00A76D42">
            <w:pPr>
              <w:rPr>
                <w:color w:val="000000"/>
                <w:sz w:val="24"/>
                <w:szCs w:val="24"/>
              </w:rPr>
            </w:pPr>
            <w:r w:rsidRPr="00255788">
              <w:rPr>
                <w:color w:val="000000"/>
                <w:sz w:val="24"/>
                <w:szCs w:val="24"/>
              </w:rPr>
              <w:t>– – altele</w:t>
            </w:r>
          </w:p>
        </w:tc>
        <w:tc>
          <w:tcPr>
            <w:tcW w:w="1838" w:type="dxa"/>
          </w:tcPr>
          <w:p w:rsidR="000973E0" w:rsidRPr="00255788" w:rsidRDefault="000973E0" w:rsidP="00A76D42">
            <w:pPr>
              <w:jc w:val="center"/>
              <w:rPr>
                <w:color w:val="000000"/>
                <w:sz w:val="24"/>
                <w:szCs w:val="24"/>
                <w:vertAlign w:val="subscript"/>
              </w:rPr>
            </w:pPr>
            <w:r w:rsidRPr="00255788">
              <w:rPr>
                <w:color w:val="000000"/>
                <w:sz w:val="24"/>
                <w:szCs w:val="24"/>
              </w:rPr>
              <w:t>kg P</w:t>
            </w:r>
            <w:r w:rsidRPr="00255788">
              <w:rPr>
                <w:color w:val="000000"/>
                <w:sz w:val="24"/>
                <w:szCs w:val="24"/>
                <w:vertAlign w:val="subscript"/>
              </w:rPr>
              <w:t>2</w:t>
            </w:r>
            <w:r w:rsidRPr="00255788">
              <w:rPr>
                <w:color w:val="000000"/>
                <w:sz w:val="24"/>
                <w:szCs w:val="24"/>
              </w:rPr>
              <w:t>O</w:t>
            </w:r>
            <w:r w:rsidRPr="00255788">
              <w:rPr>
                <w:color w:val="000000"/>
                <w:sz w:val="24"/>
                <w:szCs w:val="24"/>
                <w:vertAlign w:val="subscript"/>
              </w:rPr>
              <w:t>5</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3103 90 000 </w:t>
            </w:r>
          </w:p>
        </w:tc>
        <w:tc>
          <w:tcPr>
            <w:tcW w:w="6804" w:type="dxa"/>
          </w:tcPr>
          <w:p w:rsidR="000973E0" w:rsidRPr="00255788" w:rsidRDefault="000973E0" w:rsidP="00A76D42">
            <w:pPr>
              <w:rPr>
                <w:color w:val="000000"/>
                <w:sz w:val="24"/>
                <w:szCs w:val="24"/>
              </w:rPr>
            </w:pPr>
            <w:r w:rsidRPr="00255788">
              <w:rPr>
                <w:color w:val="000000"/>
                <w:sz w:val="24"/>
                <w:szCs w:val="24"/>
              </w:rPr>
              <w:t>– altele</w:t>
            </w:r>
          </w:p>
        </w:tc>
        <w:tc>
          <w:tcPr>
            <w:tcW w:w="1838" w:type="dxa"/>
          </w:tcPr>
          <w:p w:rsidR="000973E0" w:rsidRPr="00255788" w:rsidRDefault="000973E0" w:rsidP="00A76D42">
            <w:pPr>
              <w:jc w:val="center"/>
              <w:rPr>
                <w:color w:val="000000"/>
                <w:sz w:val="24"/>
                <w:szCs w:val="24"/>
                <w:vertAlign w:val="subscript"/>
              </w:rPr>
            </w:pPr>
            <w:r w:rsidRPr="00255788">
              <w:rPr>
                <w:color w:val="000000"/>
                <w:sz w:val="24"/>
                <w:szCs w:val="24"/>
              </w:rPr>
              <w:t>kg P</w:t>
            </w:r>
            <w:r w:rsidRPr="00255788">
              <w:rPr>
                <w:color w:val="000000"/>
                <w:sz w:val="24"/>
                <w:szCs w:val="24"/>
                <w:vertAlign w:val="subscript"/>
              </w:rPr>
              <w:t>2</w:t>
            </w:r>
            <w:r w:rsidRPr="00255788">
              <w:rPr>
                <w:color w:val="000000"/>
                <w:sz w:val="24"/>
                <w:szCs w:val="24"/>
              </w:rPr>
              <w:t>O</w:t>
            </w:r>
            <w:r w:rsidRPr="00255788">
              <w:rPr>
                <w:color w:val="000000"/>
                <w:sz w:val="24"/>
                <w:szCs w:val="24"/>
                <w:vertAlign w:val="subscript"/>
              </w:rPr>
              <w:t>5</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3104</w:t>
            </w:r>
          </w:p>
        </w:tc>
        <w:tc>
          <w:tcPr>
            <w:tcW w:w="6804" w:type="dxa"/>
          </w:tcPr>
          <w:p w:rsidR="000973E0" w:rsidRPr="00255788" w:rsidRDefault="000973E0" w:rsidP="00A76D42">
            <w:pPr>
              <w:rPr>
                <w:color w:val="000000"/>
                <w:sz w:val="24"/>
                <w:szCs w:val="24"/>
              </w:rPr>
            </w:pPr>
            <w:r w:rsidRPr="00255788">
              <w:rPr>
                <w:b/>
                <w:color w:val="000000"/>
                <w:sz w:val="24"/>
                <w:szCs w:val="24"/>
              </w:rPr>
              <w:t>Îngrăşăminte minerale sau chimice, potasice:</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3104 20</w:t>
            </w:r>
          </w:p>
        </w:tc>
        <w:tc>
          <w:tcPr>
            <w:tcW w:w="6804" w:type="dxa"/>
          </w:tcPr>
          <w:p w:rsidR="000973E0" w:rsidRPr="00255788" w:rsidRDefault="000973E0" w:rsidP="00A76D42">
            <w:pPr>
              <w:rPr>
                <w:color w:val="000000"/>
                <w:sz w:val="24"/>
                <w:szCs w:val="24"/>
              </w:rPr>
            </w:pPr>
            <w:r w:rsidRPr="00255788">
              <w:rPr>
                <w:color w:val="000000"/>
                <w:sz w:val="24"/>
                <w:szCs w:val="24"/>
              </w:rPr>
              <w:t>– clorură de potasiu:</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3104 20 100 </w:t>
            </w:r>
          </w:p>
        </w:tc>
        <w:tc>
          <w:tcPr>
            <w:tcW w:w="6804" w:type="dxa"/>
          </w:tcPr>
          <w:p w:rsidR="000973E0" w:rsidRPr="00255788" w:rsidRDefault="000973E0" w:rsidP="00A76D42">
            <w:pPr>
              <w:rPr>
                <w:color w:val="000000"/>
                <w:sz w:val="24"/>
                <w:szCs w:val="24"/>
              </w:rPr>
            </w:pPr>
            <w:r w:rsidRPr="00255788">
              <w:rPr>
                <w:color w:val="000000"/>
                <w:sz w:val="24"/>
                <w:szCs w:val="24"/>
              </w:rPr>
              <w:t>– – cu un conţinut de potasiu calculat în K</w:t>
            </w:r>
            <w:r w:rsidRPr="00255788">
              <w:rPr>
                <w:color w:val="000000"/>
                <w:sz w:val="24"/>
                <w:szCs w:val="24"/>
                <w:vertAlign w:val="subscript"/>
              </w:rPr>
              <w:t>2</w:t>
            </w:r>
            <w:r w:rsidRPr="00255788">
              <w:rPr>
                <w:color w:val="000000"/>
                <w:sz w:val="24"/>
                <w:szCs w:val="24"/>
              </w:rPr>
              <w:t>O de maximum 40% din greutatea produsului anhidru în stare uscată</w:t>
            </w:r>
          </w:p>
        </w:tc>
        <w:tc>
          <w:tcPr>
            <w:tcW w:w="1838" w:type="dxa"/>
          </w:tcPr>
          <w:p w:rsidR="000973E0" w:rsidRPr="00255788" w:rsidRDefault="000973E0" w:rsidP="00A76D42">
            <w:pPr>
              <w:jc w:val="center"/>
              <w:rPr>
                <w:color w:val="000000"/>
                <w:sz w:val="24"/>
                <w:szCs w:val="24"/>
                <w:vertAlign w:val="subscript"/>
              </w:rPr>
            </w:pPr>
            <w:r w:rsidRPr="00255788">
              <w:rPr>
                <w:color w:val="000000"/>
                <w:sz w:val="24"/>
                <w:szCs w:val="24"/>
              </w:rPr>
              <w:t>kg K</w:t>
            </w:r>
            <w:r w:rsidRPr="00255788">
              <w:rPr>
                <w:color w:val="000000"/>
                <w:sz w:val="24"/>
                <w:szCs w:val="24"/>
                <w:vertAlign w:val="subscript"/>
              </w:rPr>
              <w:t>2</w:t>
            </w:r>
            <w:r w:rsidRPr="00255788">
              <w:rPr>
                <w:color w:val="000000"/>
                <w:sz w:val="24"/>
                <w:szCs w:val="24"/>
              </w:rPr>
              <w:t>O</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3104 20 500 </w:t>
            </w:r>
          </w:p>
        </w:tc>
        <w:tc>
          <w:tcPr>
            <w:tcW w:w="6804" w:type="dxa"/>
          </w:tcPr>
          <w:p w:rsidR="000973E0" w:rsidRPr="00255788" w:rsidRDefault="000973E0" w:rsidP="00A76D42">
            <w:pPr>
              <w:rPr>
                <w:color w:val="000000"/>
                <w:sz w:val="24"/>
                <w:szCs w:val="24"/>
              </w:rPr>
            </w:pPr>
            <w:r w:rsidRPr="00255788">
              <w:rPr>
                <w:color w:val="000000"/>
                <w:sz w:val="24"/>
                <w:szCs w:val="24"/>
              </w:rPr>
              <w:t>– – cu un conţinut de potasiu calculat în K</w:t>
            </w:r>
            <w:r w:rsidRPr="00255788">
              <w:rPr>
                <w:color w:val="000000"/>
                <w:sz w:val="24"/>
                <w:szCs w:val="24"/>
                <w:vertAlign w:val="subscript"/>
              </w:rPr>
              <w:t>2</w:t>
            </w:r>
            <w:r w:rsidRPr="00255788">
              <w:rPr>
                <w:color w:val="000000"/>
                <w:sz w:val="24"/>
                <w:szCs w:val="24"/>
              </w:rPr>
              <w:t>O peste 40%, dar de maximum 62% din greutatea produsului anhidru în stare uscată</w:t>
            </w:r>
          </w:p>
        </w:tc>
        <w:tc>
          <w:tcPr>
            <w:tcW w:w="1838" w:type="dxa"/>
          </w:tcPr>
          <w:p w:rsidR="000973E0" w:rsidRPr="00255788" w:rsidRDefault="000973E0" w:rsidP="00A76D42">
            <w:pPr>
              <w:jc w:val="center"/>
              <w:rPr>
                <w:color w:val="000000"/>
                <w:sz w:val="24"/>
                <w:szCs w:val="24"/>
                <w:vertAlign w:val="subscript"/>
              </w:rPr>
            </w:pPr>
            <w:r w:rsidRPr="00255788">
              <w:rPr>
                <w:color w:val="000000"/>
                <w:sz w:val="24"/>
                <w:szCs w:val="24"/>
              </w:rPr>
              <w:t>kg K</w:t>
            </w:r>
            <w:r w:rsidRPr="00255788">
              <w:rPr>
                <w:color w:val="000000"/>
                <w:sz w:val="24"/>
                <w:szCs w:val="24"/>
                <w:vertAlign w:val="subscript"/>
              </w:rPr>
              <w:t>2</w:t>
            </w:r>
            <w:r w:rsidRPr="00255788">
              <w:rPr>
                <w:color w:val="000000"/>
                <w:sz w:val="24"/>
                <w:szCs w:val="24"/>
              </w:rPr>
              <w:t>O</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3104 20 900 </w:t>
            </w:r>
          </w:p>
        </w:tc>
        <w:tc>
          <w:tcPr>
            <w:tcW w:w="6804" w:type="dxa"/>
          </w:tcPr>
          <w:p w:rsidR="000973E0" w:rsidRPr="00255788" w:rsidRDefault="000973E0" w:rsidP="00A76D42">
            <w:pPr>
              <w:rPr>
                <w:color w:val="000000"/>
                <w:sz w:val="24"/>
                <w:szCs w:val="24"/>
              </w:rPr>
            </w:pPr>
            <w:r w:rsidRPr="00255788">
              <w:rPr>
                <w:color w:val="000000"/>
                <w:sz w:val="24"/>
                <w:szCs w:val="24"/>
              </w:rPr>
              <w:t>– – cu un conţinut de potasiu calculat în K</w:t>
            </w:r>
            <w:r w:rsidRPr="00255788">
              <w:rPr>
                <w:color w:val="000000"/>
                <w:sz w:val="24"/>
                <w:szCs w:val="24"/>
                <w:vertAlign w:val="subscript"/>
              </w:rPr>
              <w:t>2</w:t>
            </w:r>
            <w:r w:rsidRPr="00255788">
              <w:rPr>
                <w:color w:val="000000"/>
                <w:sz w:val="24"/>
                <w:szCs w:val="24"/>
              </w:rPr>
              <w:t>O peste 62% din greutatea produsului anhidru în stare uscată</w:t>
            </w:r>
          </w:p>
        </w:tc>
        <w:tc>
          <w:tcPr>
            <w:tcW w:w="1838" w:type="dxa"/>
          </w:tcPr>
          <w:p w:rsidR="000973E0" w:rsidRPr="00255788" w:rsidRDefault="000973E0" w:rsidP="00A76D42">
            <w:pPr>
              <w:jc w:val="center"/>
              <w:rPr>
                <w:color w:val="000000"/>
                <w:sz w:val="24"/>
                <w:szCs w:val="24"/>
                <w:vertAlign w:val="subscript"/>
              </w:rPr>
            </w:pPr>
            <w:r w:rsidRPr="00255788">
              <w:rPr>
                <w:color w:val="000000"/>
                <w:sz w:val="24"/>
                <w:szCs w:val="24"/>
              </w:rPr>
              <w:t>kg K</w:t>
            </w:r>
            <w:r w:rsidRPr="00255788">
              <w:rPr>
                <w:color w:val="000000"/>
                <w:sz w:val="24"/>
                <w:szCs w:val="24"/>
                <w:vertAlign w:val="subscript"/>
              </w:rPr>
              <w:t>2</w:t>
            </w:r>
            <w:r w:rsidRPr="00255788">
              <w:rPr>
                <w:color w:val="000000"/>
                <w:sz w:val="24"/>
                <w:szCs w:val="24"/>
              </w:rPr>
              <w:t>O</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3104 30 000 </w:t>
            </w:r>
          </w:p>
        </w:tc>
        <w:tc>
          <w:tcPr>
            <w:tcW w:w="6804" w:type="dxa"/>
          </w:tcPr>
          <w:p w:rsidR="000973E0" w:rsidRPr="00255788" w:rsidRDefault="000973E0" w:rsidP="00A76D42">
            <w:pPr>
              <w:rPr>
                <w:color w:val="000000"/>
                <w:sz w:val="24"/>
                <w:szCs w:val="24"/>
              </w:rPr>
            </w:pPr>
            <w:r w:rsidRPr="00255788">
              <w:rPr>
                <w:color w:val="000000"/>
                <w:sz w:val="24"/>
                <w:szCs w:val="24"/>
              </w:rPr>
              <w:t>– sulfat de potasiu</w:t>
            </w:r>
          </w:p>
        </w:tc>
        <w:tc>
          <w:tcPr>
            <w:tcW w:w="1838" w:type="dxa"/>
          </w:tcPr>
          <w:p w:rsidR="000973E0" w:rsidRPr="00255788" w:rsidRDefault="000973E0" w:rsidP="00A76D42">
            <w:pPr>
              <w:jc w:val="center"/>
              <w:rPr>
                <w:color w:val="000000"/>
                <w:sz w:val="24"/>
                <w:szCs w:val="24"/>
                <w:vertAlign w:val="subscript"/>
              </w:rPr>
            </w:pPr>
            <w:r w:rsidRPr="00255788">
              <w:rPr>
                <w:color w:val="000000"/>
                <w:sz w:val="24"/>
                <w:szCs w:val="24"/>
              </w:rPr>
              <w:t>kg K</w:t>
            </w:r>
            <w:r w:rsidRPr="00255788">
              <w:rPr>
                <w:color w:val="000000"/>
                <w:sz w:val="24"/>
                <w:szCs w:val="24"/>
                <w:vertAlign w:val="subscript"/>
              </w:rPr>
              <w:t>2</w:t>
            </w:r>
            <w:r w:rsidRPr="00255788">
              <w:rPr>
                <w:color w:val="000000"/>
                <w:sz w:val="24"/>
                <w:szCs w:val="24"/>
              </w:rPr>
              <w:t>O</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3104 90 000 </w:t>
            </w:r>
          </w:p>
        </w:tc>
        <w:tc>
          <w:tcPr>
            <w:tcW w:w="6804" w:type="dxa"/>
          </w:tcPr>
          <w:p w:rsidR="000973E0" w:rsidRPr="00255788" w:rsidRDefault="000973E0" w:rsidP="00A76D42">
            <w:pPr>
              <w:rPr>
                <w:color w:val="000000"/>
                <w:sz w:val="24"/>
                <w:szCs w:val="24"/>
              </w:rPr>
            </w:pPr>
            <w:r w:rsidRPr="00255788">
              <w:rPr>
                <w:color w:val="000000"/>
                <w:sz w:val="24"/>
                <w:szCs w:val="24"/>
              </w:rPr>
              <w:t>– altele</w:t>
            </w:r>
          </w:p>
        </w:tc>
        <w:tc>
          <w:tcPr>
            <w:tcW w:w="1838" w:type="dxa"/>
          </w:tcPr>
          <w:p w:rsidR="000973E0" w:rsidRPr="00255788" w:rsidRDefault="000973E0" w:rsidP="00A76D42">
            <w:pPr>
              <w:jc w:val="center"/>
              <w:rPr>
                <w:color w:val="000000"/>
                <w:sz w:val="24"/>
                <w:szCs w:val="24"/>
                <w:vertAlign w:val="subscript"/>
              </w:rPr>
            </w:pPr>
            <w:r w:rsidRPr="00255788">
              <w:rPr>
                <w:color w:val="000000"/>
                <w:sz w:val="24"/>
                <w:szCs w:val="24"/>
              </w:rPr>
              <w:t>kg K</w:t>
            </w:r>
            <w:r w:rsidRPr="00255788">
              <w:rPr>
                <w:color w:val="000000"/>
                <w:sz w:val="24"/>
                <w:szCs w:val="24"/>
                <w:vertAlign w:val="subscript"/>
              </w:rPr>
              <w:t>2</w:t>
            </w:r>
            <w:r w:rsidRPr="00255788">
              <w:rPr>
                <w:color w:val="000000"/>
                <w:sz w:val="24"/>
                <w:szCs w:val="24"/>
              </w:rPr>
              <w:t>O</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3105</w:t>
            </w:r>
          </w:p>
        </w:tc>
        <w:tc>
          <w:tcPr>
            <w:tcW w:w="6804" w:type="dxa"/>
          </w:tcPr>
          <w:p w:rsidR="000973E0" w:rsidRPr="00255788" w:rsidRDefault="000973E0" w:rsidP="00A76D42">
            <w:pPr>
              <w:rPr>
                <w:color w:val="000000"/>
                <w:sz w:val="24"/>
                <w:szCs w:val="24"/>
              </w:rPr>
            </w:pPr>
            <w:r w:rsidRPr="00255788">
              <w:rPr>
                <w:b/>
                <w:color w:val="000000"/>
                <w:sz w:val="24"/>
                <w:szCs w:val="24"/>
              </w:rPr>
              <w:t>Îngrăşăminte minerale sau chimice conţinînd două sau trei din următoarele elemente fertilizante: azot, fosfor şi potasiu; alte îngrăşăminte; produse de la prezentul Capitol prezentate fie în tablete sau forme similare, fie în ambalaje cu o greutate brută de maximum 10 kg:</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3105 10 000 </w:t>
            </w:r>
          </w:p>
        </w:tc>
        <w:tc>
          <w:tcPr>
            <w:tcW w:w="6804" w:type="dxa"/>
          </w:tcPr>
          <w:p w:rsidR="000973E0" w:rsidRPr="00255788" w:rsidRDefault="000973E0" w:rsidP="00A76D42">
            <w:pPr>
              <w:rPr>
                <w:b/>
                <w:color w:val="000000"/>
                <w:sz w:val="24"/>
                <w:szCs w:val="24"/>
              </w:rPr>
            </w:pPr>
            <w:r w:rsidRPr="00255788">
              <w:rPr>
                <w:color w:val="000000"/>
                <w:sz w:val="24"/>
                <w:szCs w:val="24"/>
              </w:rPr>
              <w:t xml:space="preserve">– produsele prezentului Capitol prezentate fie în tablete sau forme </w:t>
            </w:r>
            <w:r w:rsidRPr="00255788">
              <w:rPr>
                <w:color w:val="000000"/>
                <w:sz w:val="24"/>
                <w:szCs w:val="24"/>
              </w:rPr>
              <w:lastRenderedPageBreak/>
              <w:t xml:space="preserve">similare, fie în ambalaje cu o greutate brută de maximum </w:t>
            </w:r>
            <w:smartTag w:uri="urn:schemas-microsoft-com:office:smarttags" w:element="metricconverter">
              <w:smartTagPr>
                <w:attr w:name="ProductID" w:val="10 kg"/>
              </w:smartTagPr>
              <w:r w:rsidRPr="00255788">
                <w:rPr>
                  <w:color w:val="000000"/>
                  <w:sz w:val="24"/>
                  <w:szCs w:val="24"/>
                </w:rPr>
                <w:t>10 kg</w:t>
              </w:r>
            </w:smartTag>
          </w:p>
        </w:tc>
        <w:tc>
          <w:tcPr>
            <w:tcW w:w="1838" w:type="dxa"/>
          </w:tcPr>
          <w:p w:rsidR="000973E0" w:rsidRPr="00255788" w:rsidRDefault="000973E0" w:rsidP="00A76D42">
            <w:pPr>
              <w:jc w:val="center"/>
              <w:rPr>
                <w:color w:val="000000"/>
                <w:sz w:val="24"/>
                <w:szCs w:val="24"/>
              </w:rPr>
            </w:pPr>
            <w:r w:rsidRPr="00255788">
              <w:rPr>
                <w:color w:val="000000"/>
                <w:sz w:val="24"/>
                <w:szCs w:val="24"/>
              </w:rPr>
              <w:lastRenderedPageBreak/>
              <w:t>–</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lastRenderedPageBreak/>
              <w:t>3105 20</w:t>
            </w:r>
          </w:p>
        </w:tc>
        <w:tc>
          <w:tcPr>
            <w:tcW w:w="6804" w:type="dxa"/>
          </w:tcPr>
          <w:p w:rsidR="000973E0" w:rsidRPr="00255788" w:rsidRDefault="000973E0" w:rsidP="00A76D42">
            <w:pPr>
              <w:rPr>
                <w:color w:val="000000"/>
                <w:sz w:val="24"/>
                <w:szCs w:val="24"/>
              </w:rPr>
            </w:pPr>
            <w:r w:rsidRPr="00255788">
              <w:rPr>
                <w:color w:val="000000"/>
                <w:sz w:val="24"/>
                <w:szCs w:val="24"/>
              </w:rPr>
              <w:t>– îngrăşăminte minerale sau chimice conţinînd cele trei elemente fertilizante: azot, fosfor şi potasiu:</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3105 20 100 </w:t>
            </w:r>
          </w:p>
        </w:tc>
        <w:tc>
          <w:tcPr>
            <w:tcW w:w="6804" w:type="dxa"/>
          </w:tcPr>
          <w:p w:rsidR="000973E0" w:rsidRPr="00255788" w:rsidRDefault="000973E0" w:rsidP="00A76D42">
            <w:pPr>
              <w:rPr>
                <w:color w:val="000000"/>
                <w:sz w:val="24"/>
                <w:szCs w:val="24"/>
              </w:rPr>
            </w:pPr>
            <w:r w:rsidRPr="00255788">
              <w:rPr>
                <w:color w:val="000000"/>
                <w:sz w:val="24"/>
                <w:szCs w:val="24"/>
              </w:rPr>
              <w:t>– – cu un conţinut de azot peste 10% din greutatea produsului anhidru în stare uscată</w:t>
            </w:r>
          </w:p>
        </w:tc>
        <w:tc>
          <w:tcPr>
            <w:tcW w:w="1838" w:type="dxa"/>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3105 20 900 </w:t>
            </w:r>
          </w:p>
        </w:tc>
        <w:tc>
          <w:tcPr>
            <w:tcW w:w="6804" w:type="dxa"/>
          </w:tcPr>
          <w:p w:rsidR="000973E0" w:rsidRPr="00255788" w:rsidRDefault="000973E0" w:rsidP="00A76D42">
            <w:pPr>
              <w:rPr>
                <w:color w:val="000000"/>
                <w:sz w:val="24"/>
                <w:szCs w:val="24"/>
              </w:rPr>
            </w:pPr>
            <w:r w:rsidRPr="00255788">
              <w:rPr>
                <w:color w:val="000000"/>
                <w:sz w:val="24"/>
                <w:szCs w:val="24"/>
              </w:rPr>
              <w:t>– – altele</w:t>
            </w:r>
          </w:p>
        </w:tc>
        <w:tc>
          <w:tcPr>
            <w:tcW w:w="1838" w:type="dxa"/>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Borders>
              <w:bottom w:val="single" w:sz="4" w:space="0" w:color="auto"/>
            </w:tcBorders>
          </w:tcPr>
          <w:p w:rsidR="000973E0" w:rsidRPr="00255788" w:rsidRDefault="000973E0" w:rsidP="00A76D42">
            <w:pPr>
              <w:ind w:left="6"/>
              <w:rPr>
                <w:b/>
                <w:color w:val="000000"/>
                <w:sz w:val="24"/>
                <w:szCs w:val="24"/>
              </w:rPr>
            </w:pPr>
            <w:r w:rsidRPr="00255788">
              <w:rPr>
                <w:b/>
                <w:color w:val="000000"/>
                <w:sz w:val="24"/>
                <w:szCs w:val="24"/>
              </w:rPr>
              <w:t>3105 30 000</w:t>
            </w:r>
          </w:p>
        </w:tc>
        <w:tc>
          <w:tcPr>
            <w:tcW w:w="6804" w:type="dxa"/>
            <w:tcBorders>
              <w:bottom w:val="single" w:sz="4" w:space="0" w:color="auto"/>
            </w:tcBorders>
          </w:tcPr>
          <w:p w:rsidR="000973E0" w:rsidRPr="00255788" w:rsidRDefault="000973E0" w:rsidP="00A76D42">
            <w:pPr>
              <w:rPr>
                <w:color w:val="000000"/>
                <w:sz w:val="24"/>
                <w:szCs w:val="24"/>
              </w:rPr>
            </w:pPr>
            <w:r w:rsidRPr="00255788">
              <w:rPr>
                <w:color w:val="000000"/>
                <w:sz w:val="24"/>
                <w:szCs w:val="24"/>
              </w:rPr>
              <w:t>– hidrogenoortofosfat de diamoniu (fosfat diamoniu)</w:t>
            </w:r>
          </w:p>
        </w:tc>
        <w:tc>
          <w:tcPr>
            <w:tcW w:w="1838" w:type="dxa"/>
            <w:tcBorders>
              <w:bottom w:val="single" w:sz="4" w:space="0" w:color="auto"/>
            </w:tcBorders>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Borders>
              <w:bottom w:val="single" w:sz="4" w:space="0" w:color="auto"/>
            </w:tcBorders>
          </w:tcPr>
          <w:p w:rsidR="000973E0" w:rsidRPr="00255788" w:rsidRDefault="000973E0" w:rsidP="00A76D42">
            <w:pPr>
              <w:ind w:left="6"/>
              <w:rPr>
                <w:b/>
                <w:color w:val="000000"/>
                <w:sz w:val="24"/>
                <w:szCs w:val="24"/>
              </w:rPr>
            </w:pPr>
            <w:r w:rsidRPr="00255788">
              <w:rPr>
                <w:b/>
                <w:color w:val="000000"/>
                <w:sz w:val="24"/>
                <w:szCs w:val="24"/>
              </w:rPr>
              <w:t xml:space="preserve">3105 40 000 </w:t>
            </w:r>
          </w:p>
        </w:tc>
        <w:tc>
          <w:tcPr>
            <w:tcW w:w="6804" w:type="dxa"/>
            <w:tcBorders>
              <w:bottom w:val="single" w:sz="4" w:space="0" w:color="auto"/>
            </w:tcBorders>
          </w:tcPr>
          <w:p w:rsidR="000973E0" w:rsidRPr="00255788" w:rsidRDefault="000973E0" w:rsidP="00A76D42">
            <w:pPr>
              <w:rPr>
                <w:color w:val="000000"/>
                <w:sz w:val="24"/>
                <w:szCs w:val="24"/>
              </w:rPr>
            </w:pPr>
            <w:r w:rsidRPr="00255788">
              <w:rPr>
                <w:color w:val="000000"/>
                <w:sz w:val="24"/>
                <w:szCs w:val="24"/>
              </w:rPr>
              <w:t>– dihidrogenoortofosfat de amoniu (fosfat monoamoniu), chiar în amestec cu hidrogenoortofosfat de diamoniu (fosfat diamoniu)</w:t>
            </w:r>
          </w:p>
        </w:tc>
        <w:tc>
          <w:tcPr>
            <w:tcW w:w="1838" w:type="dxa"/>
            <w:tcBorders>
              <w:bottom w:val="single" w:sz="4" w:space="0" w:color="auto"/>
            </w:tcBorders>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Borders>
              <w:top w:val="single" w:sz="4" w:space="0" w:color="auto"/>
            </w:tcBorders>
          </w:tcPr>
          <w:p w:rsidR="000973E0" w:rsidRPr="00255788" w:rsidRDefault="000973E0" w:rsidP="00A76D42">
            <w:pPr>
              <w:ind w:left="6"/>
              <w:rPr>
                <w:b/>
                <w:color w:val="000000"/>
                <w:sz w:val="24"/>
                <w:szCs w:val="24"/>
              </w:rPr>
            </w:pPr>
          </w:p>
        </w:tc>
        <w:tc>
          <w:tcPr>
            <w:tcW w:w="6804" w:type="dxa"/>
            <w:tcBorders>
              <w:top w:val="single" w:sz="4" w:space="0" w:color="auto"/>
            </w:tcBorders>
          </w:tcPr>
          <w:p w:rsidR="000973E0" w:rsidRPr="00255788" w:rsidRDefault="000973E0" w:rsidP="00A76D42">
            <w:pPr>
              <w:rPr>
                <w:color w:val="000000"/>
                <w:sz w:val="24"/>
                <w:szCs w:val="24"/>
              </w:rPr>
            </w:pPr>
            <w:r w:rsidRPr="00255788">
              <w:rPr>
                <w:color w:val="000000"/>
                <w:sz w:val="24"/>
                <w:szCs w:val="24"/>
              </w:rPr>
              <w:t>– alte îngrăşăminte minerale sau chimice conţinînd cele două elemente fertilizante: azot şi fosfor:</w:t>
            </w:r>
          </w:p>
        </w:tc>
        <w:tc>
          <w:tcPr>
            <w:tcW w:w="1838" w:type="dxa"/>
            <w:tcBorders>
              <w:top w:val="single" w:sz="4" w:space="0" w:color="auto"/>
            </w:tcBorders>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3105 51 000 </w:t>
            </w:r>
          </w:p>
        </w:tc>
        <w:tc>
          <w:tcPr>
            <w:tcW w:w="6804" w:type="dxa"/>
          </w:tcPr>
          <w:p w:rsidR="000973E0" w:rsidRPr="00255788" w:rsidRDefault="000973E0" w:rsidP="00A76D42">
            <w:pPr>
              <w:rPr>
                <w:color w:val="000000"/>
                <w:sz w:val="24"/>
                <w:szCs w:val="24"/>
              </w:rPr>
            </w:pPr>
            <w:r w:rsidRPr="00255788">
              <w:rPr>
                <w:color w:val="000000"/>
                <w:sz w:val="24"/>
                <w:szCs w:val="24"/>
              </w:rPr>
              <w:t>– – conţinînd nitraţi şi fosfaţi</w:t>
            </w:r>
          </w:p>
        </w:tc>
        <w:tc>
          <w:tcPr>
            <w:tcW w:w="1838" w:type="dxa"/>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3105 59 000 </w:t>
            </w:r>
          </w:p>
        </w:tc>
        <w:tc>
          <w:tcPr>
            <w:tcW w:w="6804" w:type="dxa"/>
          </w:tcPr>
          <w:p w:rsidR="000973E0" w:rsidRPr="00255788" w:rsidRDefault="000973E0" w:rsidP="00A76D42">
            <w:pPr>
              <w:rPr>
                <w:color w:val="000000"/>
                <w:sz w:val="24"/>
                <w:szCs w:val="24"/>
              </w:rPr>
            </w:pPr>
            <w:r w:rsidRPr="00255788">
              <w:rPr>
                <w:color w:val="000000"/>
                <w:sz w:val="24"/>
                <w:szCs w:val="24"/>
              </w:rPr>
              <w:t>– – altele</w:t>
            </w:r>
          </w:p>
        </w:tc>
        <w:tc>
          <w:tcPr>
            <w:tcW w:w="1838" w:type="dxa"/>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3105 60</w:t>
            </w:r>
          </w:p>
        </w:tc>
        <w:tc>
          <w:tcPr>
            <w:tcW w:w="6804" w:type="dxa"/>
          </w:tcPr>
          <w:p w:rsidR="000973E0" w:rsidRPr="00255788" w:rsidRDefault="000973E0" w:rsidP="00A76D42">
            <w:pPr>
              <w:rPr>
                <w:color w:val="000000"/>
                <w:sz w:val="24"/>
                <w:szCs w:val="24"/>
              </w:rPr>
            </w:pPr>
            <w:r w:rsidRPr="00255788">
              <w:rPr>
                <w:color w:val="000000"/>
                <w:sz w:val="24"/>
                <w:szCs w:val="24"/>
              </w:rPr>
              <w:t>– îngrăşăminte minerale sau chimice conţinînd cele două elemente fertilizante: fosfor şi potasiu:</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3105 60 100 </w:t>
            </w:r>
          </w:p>
        </w:tc>
        <w:tc>
          <w:tcPr>
            <w:tcW w:w="6804" w:type="dxa"/>
          </w:tcPr>
          <w:p w:rsidR="000973E0" w:rsidRPr="00255788" w:rsidRDefault="000973E0" w:rsidP="00A76D42">
            <w:pPr>
              <w:rPr>
                <w:color w:val="000000"/>
                <w:sz w:val="24"/>
                <w:szCs w:val="24"/>
              </w:rPr>
            </w:pPr>
            <w:r w:rsidRPr="00255788">
              <w:rPr>
                <w:color w:val="000000"/>
                <w:sz w:val="24"/>
                <w:szCs w:val="24"/>
              </w:rPr>
              <w:t>– – superfosfaţi de potasiu</w:t>
            </w:r>
          </w:p>
        </w:tc>
        <w:tc>
          <w:tcPr>
            <w:tcW w:w="1838" w:type="dxa"/>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3105 60 900 </w:t>
            </w:r>
          </w:p>
        </w:tc>
        <w:tc>
          <w:tcPr>
            <w:tcW w:w="6804" w:type="dxa"/>
          </w:tcPr>
          <w:p w:rsidR="000973E0" w:rsidRPr="00255788" w:rsidRDefault="000973E0" w:rsidP="00A76D42">
            <w:pPr>
              <w:rPr>
                <w:color w:val="000000"/>
                <w:sz w:val="24"/>
                <w:szCs w:val="24"/>
              </w:rPr>
            </w:pPr>
            <w:r w:rsidRPr="00255788">
              <w:rPr>
                <w:color w:val="000000"/>
                <w:sz w:val="24"/>
                <w:szCs w:val="24"/>
              </w:rPr>
              <w:t>– – altele</w:t>
            </w:r>
          </w:p>
        </w:tc>
        <w:tc>
          <w:tcPr>
            <w:tcW w:w="1838" w:type="dxa"/>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3105 90</w:t>
            </w:r>
          </w:p>
        </w:tc>
        <w:tc>
          <w:tcPr>
            <w:tcW w:w="6804" w:type="dxa"/>
          </w:tcPr>
          <w:p w:rsidR="000973E0" w:rsidRPr="00255788" w:rsidRDefault="000973E0" w:rsidP="00A76D42">
            <w:pPr>
              <w:rPr>
                <w:color w:val="000000"/>
                <w:sz w:val="24"/>
                <w:szCs w:val="24"/>
              </w:rPr>
            </w:pPr>
            <w:r w:rsidRPr="00255788">
              <w:rPr>
                <w:color w:val="000000"/>
                <w:sz w:val="24"/>
                <w:szCs w:val="24"/>
              </w:rPr>
              <w:t>– altele:</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3105 90 100 </w:t>
            </w:r>
          </w:p>
        </w:tc>
        <w:tc>
          <w:tcPr>
            <w:tcW w:w="6804" w:type="dxa"/>
          </w:tcPr>
          <w:p w:rsidR="000973E0" w:rsidRPr="00255788" w:rsidRDefault="000973E0" w:rsidP="00A76D42">
            <w:pPr>
              <w:rPr>
                <w:color w:val="000000"/>
                <w:sz w:val="24"/>
                <w:szCs w:val="24"/>
              </w:rPr>
            </w:pPr>
            <w:r w:rsidRPr="00255788">
              <w:rPr>
                <w:color w:val="000000"/>
                <w:sz w:val="24"/>
                <w:szCs w:val="24"/>
              </w:rPr>
              <w:t>– – nitrat de sodiu potasic natural, constînd dintr–un amestec natural de nitrat de sodiu şi de nitrat de potasiu (proporţia de potasiu putînd atinge 44%), cu un conţinut global în azot de maximum 16,3% din greutatea produsului anhidru în stare uscată</w:t>
            </w:r>
          </w:p>
        </w:tc>
        <w:tc>
          <w:tcPr>
            <w:tcW w:w="1838" w:type="dxa"/>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Pr>
          <w:p w:rsidR="000973E0" w:rsidRPr="00255788" w:rsidRDefault="000973E0" w:rsidP="00A76D42">
            <w:pPr>
              <w:ind w:left="6"/>
              <w:rPr>
                <w:b/>
                <w:color w:val="000000"/>
                <w:sz w:val="24"/>
                <w:szCs w:val="24"/>
              </w:rPr>
            </w:pPr>
          </w:p>
        </w:tc>
        <w:tc>
          <w:tcPr>
            <w:tcW w:w="6804" w:type="dxa"/>
          </w:tcPr>
          <w:p w:rsidR="000973E0" w:rsidRPr="00255788" w:rsidRDefault="000973E0" w:rsidP="00A76D42">
            <w:pPr>
              <w:rPr>
                <w:color w:val="000000"/>
                <w:sz w:val="24"/>
                <w:szCs w:val="24"/>
              </w:rPr>
            </w:pPr>
            <w:r w:rsidRPr="00255788">
              <w:rPr>
                <w:color w:val="000000"/>
                <w:sz w:val="24"/>
                <w:szCs w:val="24"/>
              </w:rPr>
              <w:t>– – altele:</w:t>
            </w:r>
          </w:p>
        </w:tc>
        <w:tc>
          <w:tcPr>
            <w:tcW w:w="1838" w:type="dxa"/>
          </w:tcPr>
          <w:p w:rsidR="000973E0" w:rsidRPr="00255788" w:rsidRDefault="000973E0" w:rsidP="00A76D42">
            <w:pPr>
              <w:jc w:val="center"/>
              <w:rPr>
                <w:color w:val="000000"/>
                <w:sz w:val="24"/>
                <w:szCs w:val="24"/>
              </w:rPr>
            </w:pP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3105 90 910 </w:t>
            </w:r>
          </w:p>
        </w:tc>
        <w:tc>
          <w:tcPr>
            <w:tcW w:w="6804" w:type="dxa"/>
          </w:tcPr>
          <w:p w:rsidR="000973E0" w:rsidRPr="00255788" w:rsidRDefault="000973E0" w:rsidP="00A76D42">
            <w:pPr>
              <w:rPr>
                <w:color w:val="000000"/>
                <w:sz w:val="24"/>
                <w:szCs w:val="24"/>
              </w:rPr>
            </w:pPr>
            <w:r w:rsidRPr="00255788">
              <w:rPr>
                <w:color w:val="000000"/>
                <w:sz w:val="24"/>
                <w:szCs w:val="24"/>
              </w:rPr>
              <w:t>– – – cu un conţinut de azot peste 10 din greutatea produsului anhidru în stare uscată</w:t>
            </w:r>
          </w:p>
        </w:tc>
        <w:tc>
          <w:tcPr>
            <w:tcW w:w="1838" w:type="dxa"/>
          </w:tcPr>
          <w:p w:rsidR="000973E0" w:rsidRPr="00255788" w:rsidRDefault="000973E0" w:rsidP="00A76D42">
            <w:pPr>
              <w:jc w:val="center"/>
              <w:rPr>
                <w:color w:val="000000"/>
                <w:sz w:val="24"/>
                <w:szCs w:val="24"/>
              </w:rPr>
            </w:pPr>
            <w:r w:rsidRPr="00255788">
              <w:rPr>
                <w:color w:val="000000"/>
                <w:sz w:val="24"/>
                <w:szCs w:val="24"/>
              </w:rPr>
              <w:t>–</w:t>
            </w:r>
          </w:p>
        </w:tc>
      </w:tr>
      <w:tr w:rsidR="000973E0" w:rsidRPr="00255788" w:rsidTr="00A76D42">
        <w:tc>
          <w:tcPr>
            <w:tcW w:w="1809" w:type="dxa"/>
          </w:tcPr>
          <w:p w:rsidR="000973E0" w:rsidRPr="00255788" w:rsidRDefault="000973E0" w:rsidP="00A76D42">
            <w:pPr>
              <w:ind w:left="6"/>
              <w:rPr>
                <w:b/>
                <w:color w:val="000000"/>
                <w:sz w:val="24"/>
                <w:szCs w:val="24"/>
              </w:rPr>
            </w:pPr>
            <w:r w:rsidRPr="00255788">
              <w:rPr>
                <w:b/>
                <w:color w:val="000000"/>
                <w:sz w:val="24"/>
                <w:szCs w:val="24"/>
              </w:rPr>
              <w:t xml:space="preserve">3105 90 990 </w:t>
            </w:r>
          </w:p>
        </w:tc>
        <w:tc>
          <w:tcPr>
            <w:tcW w:w="6804" w:type="dxa"/>
          </w:tcPr>
          <w:p w:rsidR="000973E0" w:rsidRPr="00255788" w:rsidRDefault="000973E0" w:rsidP="00A76D42">
            <w:pPr>
              <w:rPr>
                <w:color w:val="000000"/>
                <w:sz w:val="24"/>
                <w:szCs w:val="24"/>
              </w:rPr>
            </w:pPr>
            <w:r w:rsidRPr="00255788">
              <w:rPr>
                <w:color w:val="000000"/>
                <w:sz w:val="24"/>
                <w:szCs w:val="24"/>
              </w:rPr>
              <w:t>– – – altele</w:t>
            </w:r>
          </w:p>
        </w:tc>
        <w:tc>
          <w:tcPr>
            <w:tcW w:w="1838" w:type="dxa"/>
          </w:tcPr>
          <w:p w:rsidR="000973E0" w:rsidRPr="00255788" w:rsidRDefault="000973E0" w:rsidP="00A76D42">
            <w:pPr>
              <w:jc w:val="center"/>
              <w:rPr>
                <w:color w:val="000000"/>
                <w:sz w:val="24"/>
                <w:szCs w:val="24"/>
              </w:rPr>
            </w:pPr>
            <w:r w:rsidRPr="00255788">
              <w:rPr>
                <w:color w:val="000000"/>
                <w:sz w:val="24"/>
                <w:szCs w:val="24"/>
              </w:rPr>
              <w:t>–</w:t>
            </w:r>
          </w:p>
        </w:tc>
      </w:tr>
    </w:tbl>
    <w:p w:rsidR="000973E0" w:rsidRPr="00255788" w:rsidRDefault="000973E0" w:rsidP="000973E0"/>
    <w:p w:rsidR="000973E0" w:rsidRPr="00255788" w:rsidRDefault="000973E0" w:rsidP="000973E0"/>
    <w:tbl>
      <w:tblPr>
        <w:tblW w:w="10490" w:type="dxa"/>
        <w:tblInd w:w="-537" w:type="dxa"/>
        <w:tblBorders>
          <w:top w:val="double" w:sz="4" w:space="0" w:color="auto"/>
          <w:left w:val="double" w:sz="4" w:space="0" w:color="auto"/>
          <w:bottom w:val="double" w:sz="4" w:space="0" w:color="auto"/>
          <w:right w:val="double" w:sz="4" w:space="0" w:color="auto"/>
          <w:insideV w:val="single" w:sz="4" w:space="0" w:color="auto"/>
        </w:tblBorders>
        <w:tblLayout w:type="fixed"/>
        <w:tblCellMar>
          <w:left w:w="30" w:type="dxa"/>
          <w:right w:w="30" w:type="dxa"/>
        </w:tblCellMar>
        <w:tblLook w:val="0000"/>
      </w:tblPr>
      <w:tblGrid>
        <w:gridCol w:w="1827"/>
        <w:gridCol w:w="6820"/>
        <w:gridCol w:w="1843"/>
      </w:tblGrid>
      <w:tr w:rsidR="000973E0" w:rsidRPr="00255788" w:rsidTr="00A76D42">
        <w:trPr>
          <w:trHeight w:val="1283"/>
        </w:trPr>
        <w:tc>
          <w:tcPr>
            <w:tcW w:w="1827" w:type="dxa"/>
            <w:tcBorders>
              <w:top w:val="single" w:sz="4" w:space="0" w:color="auto"/>
              <w:left w:val="single" w:sz="4" w:space="0" w:color="auto"/>
              <w:bottom w:val="single" w:sz="4" w:space="0" w:color="auto"/>
            </w:tcBorders>
          </w:tcPr>
          <w:p w:rsidR="000973E0" w:rsidRPr="00255788" w:rsidRDefault="000973E0" w:rsidP="00A76D42">
            <w:pPr>
              <w:rPr>
                <w:b/>
                <w:snapToGrid w:val="0"/>
                <w:color w:val="000000"/>
                <w:sz w:val="24"/>
                <w:szCs w:val="24"/>
              </w:rPr>
            </w:pPr>
            <w:r w:rsidRPr="00255788">
              <w:rPr>
                <w:b/>
                <w:snapToGrid w:val="0"/>
                <w:color w:val="000000"/>
                <w:sz w:val="24"/>
                <w:szCs w:val="24"/>
              </w:rPr>
              <w:t>3808</w:t>
            </w:r>
          </w:p>
        </w:tc>
        <w:tc>
          <w:tcPr>
            <w:tcW w:w="6820" w:type="dxa"/>
            <w:tcBorders>
              <w:top w:val="single" w:sz="4" w:space="0" w:color="auto"/>
              <w:bottom w:val="single" w:sz="4" w:space="0" w:color="auto"/>
            </w:tcBorders>
          </w:tcPr>
          <w:p w:rsidR="000973E0" w:rsidRPr="00255788" w:rsidRDefault="000973E0" w:rsidP="00A76D42">
            <w:pPr>
              <w:rPr>
                <w:b/>
                <w:snapToGrid w:val="0"/>
                <w:color w:val="000000"/>
                <w:sz w:val="24"/>
                <w:szCs w:val="24"/>
              </w:rPr>
            </w:pPr>
            <w:r w:rsidRPr="00255788">
              <w:rPr>
                <w:b/>
                <w:snapToGrid w:val="0"/>
                <w:color w:val="000000"/>
                <w:sz w:val="24"/>
                <w:szCs w:val="24"/>
              </w:rPr>
              <w:t>Insecticide, rodenticide,  fungicide, erbicide, inhibitori de germinare şi regulatori de creştere pentru plante, dezinfectanţi şi produse similare, prezentate în forme sau ambalaje pentru vînzarea cu amănuntul sau ca preparate sau ca articole (de exemplu, panglici, meşe şi lumînări  cu sulf şi hîrtie specială contra muştelor):</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b/>
                <w:snapToGrid w:val="0"/>
                <w:color w:val="000000"/>
                <w:sz w:val="24"/>
                <w:szCs w:val="24"/>
              </w:rPr>
            </w:pP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3808 50 000</w:t>
            </w:r>
          </w:p>
        </w:tc>
        <w:tc>
          <w:tcPr>
            <w:tcW w:w="6820" w:type="dxa"/>
            <w:tcBorders>
              <w:top w:val="single" w:sz="4" w:space="0" w:color="auto"/>
              <w:bottom w:val="single" w:sz="4" w:space="0" w:color="auto"/>
            </w:tcBorders>
          </w:tcPr>
          <w:p w:rsidR="000973E0" w:rsidRPr="00255788" w:rsidRDefault="000973E0" w:rsidP="00A76D42">
            <w:pPr>
              <w:rPr>
                <w:rFonts w:eastAsia="EUAlbertina-Bold-Identity-H"/>
                <w:bCs/>
                <w:sz w:val="24"/>
                <w:szCs w:val="24"/>
              </w:rPr>
            </w:pPr>
            <w:r w:rsidRPr="00255788">
              <w:rPr>
                <w:snapToGrid w:val="0"/>
                <w:color w:val="000000"/>
                <w:sz w:val="24"/>
                <w:szCs w:val="24"/>
              </w:rPr>
              <w:t>– b</w:t>
            </w:r>
            <w:r w:rsidRPr="00255788">
              <w:rPr>
                <w:rFonts w:eastAsia="EUAlbertina-Bold-Identity-H"/>
                <w:bCs/>
                <w:sz w:val="24"/>
                <w:szCs w:val="24"/>
              </w:rPr>
              <w:t>unuri menţionate la Nota 1 de subpozitii de la acest capitol</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 altele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3808 91</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 – insecticide: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3808 91 100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piretroide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3808 91 200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hidrocarburi clorurate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3808 91 300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carbamaţi</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3808 91 400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compuşi organofosforici</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3808 91 900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altele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3808 92</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xml:space="preserve">– </w:t>
            </w:r>
            <w:r w:rsidRPr="00255788">
              <w:rPr>
                <w:snapToGrid w:val="0"/>
                <w:color w:val="000000"/>
                <w:sz w:val="24"/>
                <w:szCs w:val="24"/>
              </w:rPr>
              <w:t>fungicide: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anorganice: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3808 92 100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preparate pe bază de compuşi de cupru</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3808 92 200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altele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altele: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3808 92 300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ditiocarbamaţi</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3808 92 400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benzimidazoli</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3808 92 500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diazoli sau triazoli</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3808 92 600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diazine sau morfoline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3808 92 900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altele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3808 93</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 –</w:t>
            </w:r>
            <w:r w:rsidRPr="00255788">
              <w:rPr>
                <w:snapToGrid w:val="0"/>
                <w:color w:val="000000"/>
                <w:sz w:val="24"/>
                <w:szCs w:val="24"/>
              </w:rPr>
              <w:t xml:space="preserve"> erbicide, inhibitori de germinare şi regulatori de creştere pentru plante: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erbicide: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3808 93 110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fenoxi</w:t>
            </w:r>
            <w:r w:rsidRPr="00255788">
              <w:rPr>
                <w:b/>
                <w:snapToGrid w:val="0"/>
                <w:color w:val="000000"/>
                <w:sz w:val="24"/>
                <w:szCs w:val="24"/>
              </w:rPr>
              <w:t>–</w:t>
            </w:r>
            <w:r w:rsidRPr="00255788">
              <w:rPr>
                <w:snapToGrid w:val="0"/>
                <w:color w:val="000000"/>
                <w:sz w:val="24"/>
                <w:szCs w:val="24"/>
              </w:rPr>
              <w:t>fitohormoni</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3808 93 130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triazine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3808 93 150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xml:space="preserve">– – </w:t>
            </w:r>
            <w:r w:rsidRPr="00255788">
              <w:rPr>
                <w:snapToGrid w:val="0"/>
                <w:color w:val="000000"/>
                <w:sz w:val="24"/>
                <w:szCs w:val="24"/>
              </w:rPr>
              <w:t>pe bază de amide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3808 93 170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carbamaţi</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3808 93 210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derivaţi de dinitroanilină</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3808 93 230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derivaţi de uree, de uracil sau de sulfoniluree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3808 93 270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altele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3808 93 300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inhibitori de germinare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3808 93 900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regulatori de creştere pentru plante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3808 94</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 –</w:t>
            </w:r>
            <w:r w:rsidRPr="00255788">
              <w:rPr>
                <w:snapToGrid w:val="0"/>
                <w:color w:val="000000"/>
                <w:sz w:val="24"/>
                <w:szCs w:val="24"/>
              </w:rPr>
              <w:t xml:space="preserve"> dezinfectanţi:</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3808 94 100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săruri de amoniu cuaternar</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3808 94 200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pe bază de compuşi halogenaţi</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3808 94 900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w:t>
            </w:r>
            <w:r w:rsidRPr="00255788">
              <w:rPr>
                <w:snapToGrid w:val="0"/>
                <w:color w:val="000000"/>
                <w:sz w:val="24"/>
                <w:szCs w:val="24"/>
              </w:rPr>
              <w:t>altele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3808 99</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 –</w:t>
            </w:r>
            <w:r w:rsidRPr="00255788">
              <w:rPr>
                <w:snapToGrid w:val="0"/>
                <w:color w:val="000000"/>
                <w:sz w:val="24"/>
                <w:szCs w:val="24"/>
              </w:rPr>
              <w:t xml:space="preserve"> altele: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3808 99 100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00255788">
              <w:rPr>
                <w:snapToGrid w:val="0"/>
                <w:color w:val="000000"/>
                <w:sz w:val="24"/>
                <w:szCs w:val="24"/>
              </w:rPr>
              <w:t xml:space="preserve"> rodent</w:t>
            </w:r>
            <w:bookmarkStart w:id="0" w:name="_GoBack"/>
            <w:bookmarkEnd w:id="0"/>
            <w:r w:rsidRPr="00255788">
              <w:rPr>
                <w:snapToGrid w:val="0"/>
                <w:color w:val="000000"/>
                <w:sz w:val="24"/>
                <w:szCs w:val="24"/>
              </w:rPr>
              <w:t>icide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r w:rsidR="000973E0" w:rsidRPr="00255788" w:rsidTr="00A76D42">
        <w:trPr>
          <w:trHeight w:val="250"/>
        </w:trPr>
        <w:tc>
          <w:tcPr>
            <w:tcW w:w="1827" w:type="dxa"/>
            <w:tcBorders>
              <w:top w:val="single" w:sz="4" w:space="0" w:color="auto"/>
              <w:left w:val="single" w:sz="4" w:space="0" w:color="auto"/>
              <w:bottom w:val="single" w:sz="4" w:space="0" w:color="auto"/>
            </w:tcBorders>
          </w:tcPr>
          <w:p w:rsidR="000973E0" w:rsidRPr="00255788" w:rsidRDefault="000973E0" w:rsidP="00A76D42">
            <w:pPr>
              <w:rPr>
                <w:snapToGrid w:val="0"/>
                <w:color w:val="000000"/>
                <w:sz w:val="24"/>
                <w:szCs w:val="24"/>
              </w:rPr>
            </w:pPr>
            <w:r w:rsidRPr="00255788">
              <w:rPr>
                <w:snapToGrid w:val="0"/>
                <w:color w:val="000000"/>
                <w:sz w:val="24"/>
                <w:szCs w:val="24"/>
              </w:rPr>
              <w:t>3808 99 900</w:t>
            </w:r>
          </w:p>
        </w:tc>
        <w:tc>
          <w:tcPr>
            <w:tcW w:w="6820" w:type="dxa"/>
            <w:tcBorders>
              <w:top w:val="single" w:sz="4" w:space="0" w:color="auto"/>
              <w:bottom w:val="single" w:sz="4" w:space="0" w:color="auto"/>
            </w:tcBorders>
          </w:tcPr>
          <w:p w:rsidR="000973E0" w:rsidRPr="00255788" w:rsidRDefault="000973E0" w:rsidP="00A76D42">
            <w:pPr>
              <w:rPr>
                <w:snapToGrid w:val="0"/>
                <w:color w:val="000000"/>
                <w:sz w:val="24"/>
                <w:szCs w:val="24"/>
              </w:rPr>
            </w:pPr>
            <w:r w:rsidRPr="00255788">
              <w:rPr>
                <w:b/>
                <w:snapToGrid w:val="0"/>
                <w:color w:val="000000"/>
                <w:sz w:val="24"/>
                <w:szCs w:val="24"/>
              </w:rPr>
              <w:t>–</w:t>
            </w:r>
            <w:r w:rsidRPr="00255788">
              <w:rPr>
                <w:snapToGrid w:val="0"/>
                <w:color w:val="000000"/>
                <w:sz w:val="24"/>
                <w:szCs w:val="24"/>
              </w:rPr>
              <w:t xml:space="preserve"> </w:t>
            </w:r>
            <w:r w:rsidRPr="00255788">
              <w:rPr>
                <w:b/>
                <w:snapToGrid w:val="0"/>
                <w:color w:val="000000"/>
                <w:sz w:val="24"/>
                <w:szCs w:val="24"/>
              </w:rPr>
              <w:t>– –</w:t>
            </w:r>
            <w:r w:rsidRPr="00255788">
              <w:rPr>
                <w:snapToGrid w:val="0"/>
                <w:color w:val="000000"/>
                <w:sz w:val="24"/>
                <w:szCs w:val="24"/>
              </w:rPr>
              <w:t xml:space="preserve"> altele</w:t>
            </w:r>
          </w:p>
        </w:tc>
        <w:tc>
          <w:tcPr>
            <w:tcW w:w="1843" w:type="dxa"/>
            <w:tcBorders>
              <w:top w:val="single" w:sz="4" w:space="0" w:color="auto"/>
              <w:bottom w:val="single" w:sz="4" w:space="0" w:color="auto"/>
              <w:right w:val="single" w:sz="4" w:space="0" w:color="auto"/>
            </w:tcBorders>
          </w:tcPr>
          <w:p w:rsidR="000973E0" w:rsidRPr="00255788" w:rsidRDefault="000973E0" w:rsidP="00A76D42">
            <w:pPr>
              <w:jc w:val="center"/>
              <w:rPr>
                <w:snapToGrid w:val="0"/>
                <w:color w:val="000000"/>
                <w:sz w:val="24"/>
                <w:szCs w:val="24"/>
              </w:rPr>
            </w:pPr>
            <w:r w:rsidRPr="00255788">
              <w:rPr>
                <w:b/>
                <w:snapToGrid w:val="0"/>
                <w:color w:val="000000"/>
                <w:sz w:val="24"/>
                <w:szCs w:val="24"/>
              </w:rPr>
              <w:t>–</w:t>
            </w:r>
          </w:p>
        </w:tc>
      </w:tr>
    </w:tbl>
    <w:p w:rsidR="006F58CA" w:rsidRPr="00255788" w:rsidRDefault="006F58CA"/>
    <w:sectPr w:rsidR="006F58CA" w:rsidRPr="00255788" w:rsidSect="00C25AD9">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hyphenationZone w:val="425"/>
  <w:characterSpacingControl w:val="doNotCompress"/>
  <w:compat/>
  <w:rsids>
    <w:rsidRoot w:val="000973E0"/>
    <w:rsid w:val="000973E0"/>
    <w:rsid w:val="000C712D"/>
    <w:rsid w:val="000D20D8"/>
    <w:rsid w:val="001E1AEA"/>
    <w:rsid w:val="00255788"/>
    <w:rsid w:val="003B604F"/>
    <w:rsid w:val="00427F4F"/>
    <w:rsid w:val="005F3721"/>
    <w:rsid w:val="006D3E24"/>
    <w:rsid w:val="006F58CA"/>
    <w:rsid w:val="007E69F7"/>
    <w:rsid w:val="00930234"/>
    <w:rsid w:val="009955AB"/>
    <w:rsid w:val="00A905DD"/>
    <w:rsid w:val="00C25AD9"/>
    <w:rsid w:val="00CF67B3"/>
    <w:rsid w:val="00E95F57"/>
    <w:rsid w:val="00F75A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3E0"/>
    <w:pPr>
      <w:spacing w:after="0" w:line="240" w:lineRule="auto"/>
    </w:pPr>
    <w:rPr>
      <w:rFonts w:ascii="Times New Roman" w:eastAsia="Times New Roman" w:hAnsi="Times New Roman" w:cs="Times New Roman"/>
      <w:sz w:val="20"/>
      <w:szCs w:val="20"/>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9F7"/>
    <w:rPr>
      <w:rFonts w:ascii="Segoe UI" w:eastAsia="Times New Roman" w:hAnsi="Segoe UI" w:cs="Segoe UI"/>
      <w:sz w:val="18"/>
      <w:szCs w:val="18"/>
      <w:lang w:val="ro-RO"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User-55</dc:creator>
  <cp:lastModifiedBy>User-36</cp:lastModifiedBy>
  <cp:revision>2</cp:revision>
  <cp:lastPrinted>2017-07-19T14:25:00Z</cp:lastPrinted>
  <dcterms:created xsi:type="dcterms:W3CDTF">2017-10-19T12:22:00Z</dcterms:created>
  <dcterms:modified xsi:type="dcterms:W3CDTF">2017-10-19T12:22:00Z</dcterms:modified>
</cp:coreProperties>
</file>